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D9600B3F-B187-4649-BE71-787E6B8CE5F4" style="width:450.75pt;height:470.2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360"/>
        </w:sectPr>
      </w:pPr>
    </w:p>
    <w:p>
      <w:pPr>
        <w:pStyle w:val="Yo0H1"/>
        <w:jc w:val="left"/>
        <w:rPr>
          <w:noProof/>
        </w:rPr>
      </w:pPr>
      <w:bookmarkStart w:id="1" w:name="_Toc508378259"/>
      <w:bookmarkStart w:id="2" w:name="_GoBack"/>
      <w:bookmarkEnd w:id="2"/>
      <w:r>
        <w:rPr>
          <w:noProof/>
        </w:rPr>
        <w:lastRenderedPageBreak/>
        <w:t>4. Health and Well-being</w:t>
      </w:r>
      <w:bookmarkEnd w:id="1"/>
    </w:p>
    <w:tbl>
      <w:tblPr>
        <w:tblW w:w="5000" w:type="pct"/>
        <w:shd w:val="clear" w:color="auto" w:fill="FBD4B4"/>
        <w:tblCellMar>
          <w:top w:w="113" w:type="dxa"/>
          <w:bottom w:w="113" w:type="dxa"/>
        </w:tblCellMar>
        <w:tblLook w:val="04A0" w:firstRow="1" w:lastRow="0" w:firstColumn="1" w:lastColumn="0" w:noHBand="0" w:noVBand="1"/>
      </w:tblPr>
      <w:tblGrid>
        <w:gridCol w:w="8187"/>
        <w:gridCol w:w="1951"/>
      </w:tblGrid>
      <w:tr>
        <w:tc>
          <w:tcPr>
            <w:tcW w:w="4038" w:type="pct"/>
            <w:shd w:val="clear" w:color="auto" w:fill="FBD4B4"/>
            <w:vAlign w:val="center"/>
          </w:tcPr>
          <w:p>
            <w:pPr>
              <w:pStyle w:val="Yo5TextEUYouth"/>
              <w:framePr w:hSpace="0" w:wrap="auto" w:vAnchor="margin" w:hAnchor="text" w:xAlign="left" w:yAlign="inline"/>
              <w:rPr>
                <w:noProof/>
                <w:lang w:val="en-GB"/>
              </w:rPr>
            </w:pPr>
            <w:r>
              <w:rPr>
                <w:noProof/>
                <w:lang w:val="en-GB"/>
              </w:rPr>
              <w:t>EU youth indicators</w:t>
            </w:r>
          </w:p>
        </w:tc>
        <w:tc>
          <w:tcPr>
            <w:tcW w:w="962" w:type="pct"/>
            <w:shd w:val="clear" w:color="auto" w:fill="FBD4B4"/>
            <w:vAlign w:val="center"/>
          </w:tcPr>
          <w:p>
            <w:pPr>
              <w:pStyle w:val="p90H2"/>
              <w:spacing w:before="0" w:after="0"/>
              <w:ind w:left="0" w:firstLine="0"/>
              <w:rPr>
                <w:noProof/>
                <w:sz w:val="20"/>
              </w:rPr>
            </w:pPr>
          </w:p>
        </w:tc>
      </w:tr>
      <w:tr>
        <w:trPr>
          <w:trHeight w:val="400"/>
        </w:trPr>
        <w:tc>
          <w:tcPr>
            <w:tcW w:w="4038" w:type="pct"/>
            <w:shd w:val="clear" w:color="auto" w:fill="FBD4B4"/>
            <w:vAlign w:val="center"/>
          </w:tcPr>
          <w:p>
            <w:pPr>
              <w:pStyle w:val="Yo5TextEUYouthTOC"/>
              <w:framePr w:hSpace="0" w:wrap="auto" w:vAnchor="margin" w:hAnchor="text" w:xAlign="left" w:yAlign="inline"/>
            </w:pPr>
            <w:r>
              <w:t>Obesity</w:t>
            </w:r>
          </w:p>
        </w:tc>
        <w:tc>
          <w:tcPr>
            <w:tcW w:w="962" w:type="pct"/>
            <w:shd w:val="clear" w:color="auto" w:fill="FBD4B4"/>
            <w:vAlign w:val="center"/>
          </w:tcPr>
          <w:p>
            <w:pPr>
              <w:pStyle w:val="Yo5TextEUYouthTOC"/>
              <w:framePr w:hSpace="0" w:wrap="auto" w:vAnchor="margin" w:hAnchor="text" w:xAlign="left" w:yAlign="inline"/>
            </w:pPr>
            <w:r>
              <w:t>Figures 4-A and 4-B</w:t>
            </w:r>
          </w:p>
        </w:tc>
      </w:tr>
      <w:tr>
        <w:trPr>
          <w:trHeight w:val="400"/>
        </w:trPr>
        <w:tc>
          <w:tcPr>
            <w:tcW w:w="4038" w:type="pct"/>
            <w:shd w:val="clear" w:color="auto" w:fill="FBD4B4"/>
            <w:vAlign w:val="center"/>
          </w:tcPr>
          <w:p>
            <w:pPr>
              <w:pStyle w:val="Yo5TextEUYouthTOC"/>
              <w:framePr w:hSpace="0" w:wrap="auto" w:vAnchor="margin" w:hAnchor="text" w:xAlign="left" w:yAlign="inline"/>
            </w:pPr>
            <w:r>
              <w:t>Regular smokers</w:t>
            </w:r>
          </w:p>
        </w:tc>
        <w:tc>
          <w:tcPr>
            <w:tcW w:w="962" w:type="pct"/>
            <w:shd w:val="clear" w:color="auto" w:fill="FBD4B4"/>
            <w:vAlign w:val="center"/>
          </w:tcPr>
          <w:p>
            <w:pPr>
              <w:pStyle w:val="Yo5TextEUYouthTOC"/>
              <w:framePr w:hSpace="0" w:wrap="auto" w:vAnchor="margin" w:hAnchor="text" w:xAlign="left" w:yAlign="inline"/>
            </w:pPr>
            <w:r>
              <w:t>Figures 4-C and 4-D</w:t>
            </w:r>
          </w:p>
        </w:tc>
      </w:tr>
      <w:tr>
        <w:trPr>
          <w:trHeight w:val="398"/>
        </w:trPr>
        <w:tc>
          <w:tcPr>
            <w:tcW w:w="4038" w:type="pct"/>
            <w:shd w:val="clear" w:color="auto" w:fill="FBD4B4"/>
            <w:vAlign w:val="center"/>
          </w:tcPr>
          <w:p>
            <w:pPr>
              <w:pStyle w:val="Yo5TextEUYouthTOC"/>
              <w:framePr w:hSpace="0" w:wrap="auto" w:vAnchor="margin" w:hAnchor="text" w:xAlign="left" w:yAlign="inline"/>
            </w:pPr>
            <w:r>
              <w:t>Drunkenness in the past 30 days</w:t>
            </w:r>
          </w:p>
        </w:tc>
        <w:tc>
          <w:tcPr>
            <w:tcW w:w="962" w:type="pct"/>
            <w:shd w:val="clear" w:color="auto" w:fill="FBD4B4"/>
            <w:vAlign w:val="center"/>
          </w:tcPr>
          <w:p>
            <w:pPr>
              <w:pStyle w:val="Yo5TextEUYouthTOC"/>
              <w:framePr w:hSpace="0" w:wrap="auto" w:vAnchor="margin" w:hAnchor="text" w:xAlign="left" w:yAlign="inline"/>
            </w:pPr>
            <w:r>
              <w:t>Figures 4-E and 4-F</w:t>
            </w:r>
          </w:p>
        </w:tc>
      </w:tr>
      <w:tr>
        <w:trPr>
          <w:trHeight w:val="398"/>
        </w:trPr>
        <w:tc>
          <w:tcPr>
            <w:tcW w:w="4038" w:type="pct"/>
            <w:shd w:val="clear" w:color="auto" w:fill="FBD4B4"/>
            <w:vAlign w:val="center"/>
          </w:tcPr>
          <w:p>
            <w:pPr>
              <w:pStyle w:val="Yo5TextEUYouthTOC"/>
              <w:framePr w:hSpace="0" w:wrap="auto" w:vAnchor="margin" w:hAnchor="text" w:xAlign="left" w:yAlign="inline"/>
            </w:pPr>
            <w:r>
              <w:t>Self-reported cannabis use in the past year</w:t>
            </w:r>
          </w:p>
        </w:tc>
        <w:tc>
          <w:tcPr>
            <w:tcW w:w="962" w:type="pct"/>
            <w:shd w:val="clear" w:color="auto" w:fill="FBD4B4"/>
            <w:vAlign w:val="center"/>
          </w:tcPr>
          <w:p>
            <w:pPr>
              <w:pStyle w:val="Yo5TextEUYouthTOC"/>
              <w:framePr w:hSpace="0" w:wrap="auto" w:vAnchor="margin" w:hAnchor="text" w:xAlign="left" w:yAlign="inline"/>
            </w:pPr>
            <w:r>
              <w:t>Figures 4-G and 4-H</w:t>
            </w:r>
          </w:p>
        </w:tc>
      </w:tr>
      <w:tr>
        <w:trPr>
          <w:trHeight w:val="398"/>
        </w:trPr>
        <w:tc>
          <w:tcPr>
            <w:tcW w:w="4038" w:type="pct"/>
            <w:shd w:val="clear" w:color="auto" w:fill="FBD4B4"/>
            <w:vAlign w:val="center"/>
          </w:tcPr>
          <w:p>
            <w:pPr>
              <w:pStyle w:val="Yo5TextEUYouthTOC"/>
              <w:framePr w:hSpace="0" w:wrap="auto" w:vAnchor="margin" w:hAnchor="text" w:xAlign="left" w:yAlign="inline"/>
            </w:pPr>
            <w:r>
              <w:t>Injuries: self-reported road traffic accidents</w:t>
            </w:r>
          </w:p>
        </w:tc>
        <w:tc>
          <w:tcPr>
            <w:tcW w:w="962" w:type="pct"/>
            <w:shd w:val="clear" w:color="auto" w:fill="FBD4B4"/>
            <w:vAlign w:val="center"/>
          </w:tcPr>
          <w:p>
            <w:pPr>
              <w:pStyle w:val="Yo5TextEUYouthTOC"/>
              <w:framePr w:hSpace="0" w:wrap="auto" w:vAnchor="margin" w:hAnchor="text" w:xAlign="left" w:yAlign="inline"/>
            </w:pPr>
            <w:r>
              <w:t>Figures 4-I and 4-J</w:t>
            </w:r>
          </w:p>
        </w:tc>
      </w:tr>
      <w:tr>
        <w:trPr>
          <w:trHeight w:val="398"/>
        </w:trPr>
        <w:tc>
          <w:tcPr>
            <w:tcW w:w="4038" w:type="pct"/>
            <w:shd w:val="clear" w:color="auto" w:fill="FBD4B4"/>
            <w:vAlign w:val="center"/>
          </w:tcPr>
          <w:p>
            <w:pPr>
              <w:pStyle w:val="Yo5TextEUYouthTOC"/>
              <w:framePr w:hSpace="0" w:wrap="auto" w:vAnchor="margin" w:hAnchor="text" w:xAlign="left" w:yAlign="inline"/>
            </w:pPr>
            <w:r>
              <w:t>Psychological distress</w:t>
            </w:r>
          </w:p>
        </w:tc>
        <w:tc>
          <w:tcPr>
            <w:tcW w:w="962" w:type="pct"/>
            <w:shd w:val="clear" w:color="auto" w:fill="FBD4B4"/>
            <w:vAlign w:val="center"/>
          </w:tcPr>
          <w:p>
            <w:pPr>
              <w:pStyle w:val="Yo5TextEUYouthTOC"/>
              <w:framePr w:hSpace="0" w:wrap="auto" w:vAnchor="margin" w:hAnchor="text" w:xAlign="left" w:yAlign="inline"/>
            </w:pPr>
            <w:r>
              <w:t>Figures 4-K and 4-L</w:t>
            </w:r>
          </w:p>
        </w:tc>
      </w:tr>
      <w:tr>
        <w:trPr>
          <w:trHeight w:val="398"/>
        </w:trPr>
        <w:tc>
          <w:tcPr>
            <w:tcW w:w="4038" w:type="pct"/>
            <w:shd w:val="clear" w:color="auto" w:fill="FBD4B4"/>
            <w:vAlign w:val="center"/>
          </w:tcPr>
          <w:p>
            <w:pPr>
              <w:pStyle w:val="Yo5TextEUYouthTOC"/>
              <w:framePr w:hSpace="0" w:wrap="auto" w:vAnchor="margin" w:hAnchor="text" w:xAlign="left" w:yAlign="inline"/>
            </w:pPr>
            <w:r>
              <w:t xml:space="preserve">Cause of death of young people – suicide </w:t>
            </w:r>
          </w:p>
        </w:tc>
        <w:tc>
          <w:tcPr>
            <w:tcW w:w="962" w:type="pct"/>
            <w:shd w:val="clear" w:color="auto" w:fill="FBD4B4"/>
            <w:vAlign w:val="center"/>
          </w:tcPr>
          <w:p>
            <w:pPr>
              <w:pStyle w:val="Yo5TextEUYouthTOC"/>
              <w:framePr w:hSpace="0" w:wrap="auto" w:vAnchor="margin" w:hAnchor="text" w:xAlign="left" w:yAlign="inline"/>
            </w:pPr>
            <w:r>
              <w:t>Figures 4-M and 4-N</w:t>
            </w:r>
          </w:p>
        </w:tc>
      </w:tr>
    </w:tbl>
    <w:p>
      <w:pPr>
        <w:pStyle w:val="Yo5TextNotes"/>
        <w:rPr>
          <w:noProof/>
          <w:lang w:val="en-GB"/>
        </w:rPr>
      </w:pPr>
    </w:p>
    <w:p>
      <w:pPr>
        <w:pStyle w:val="Yo5TextNotes"/>
        <w:rPr>
          <w:noProof/>
          <w:lang w:val="en-GB"/>
        </w:rPr>
      </w:pPr>
    </w:p>
    <w:p>
      <w:pPr>
        <w:pStyle w:val="Yo1Text"/>
        <w:rPr>
          <w:noProof/>
        </w:rPr>
      </w:pPr>
    </w:p>
    <w:p>
      <w:pPr>
        <w:pStyle w:val="Yo0H2"/>
        <w:spacing w:before="0"/>
        <w:rPr>
          <w:noProof/>
        </w:rPr>
      </w:pPr>
      <w:r>
        <w:rPr>
          <w:noProof/>
        </w:rPr>
        <w:br w:type="page"/>
      </w:r>
      <w:bookmarkStart w:id="3" w:name="_Toc508378260"/>
      <w:r>
        <w:rPr>
          <w:noProof/>
        </w:rPr>
        <w:lastRenderedPageBreak/>
        <w:t>4.1. Introduction</w:t>
      </w:r>
    </w:p>
    <w:p>
      <w:pPr>
        <w:pStyle w:val="Yo1Textpara"/>
        <w:rPr>
          <w:noProof/>
        </w:rPr>
      </w:pPr>
      <w:r>
        <w:rPr>
          <w:noProof/>
        </w:rPr>
        <w:t>The EU Youth Strategy supports the health and well-being of young people, 'with a focus on the promotion of mental and sexual health, sport, physical activity and healthy life styles, as well as the prevention and treatment of injury, eating disorders, addictions and substance abuse' (</w:t>
      </w:r>
      <w:r>
        <w:rPr>
          <w:rStyle w:val="FootnoteReference"/>
          <w:noProof/>
        </w:rPr>
        <w:footnoteReference w:id="1"/>
      </w:r>
      <w:r>
        <w:rPr>
          <w:noProof/>
        </w:rPr>
        <w:t>). The foundations for lifelong good health and well-being are laid in childhood and adolescence. While young people generally feel healthier than older age groups, with a large majority of them considering that they are in good or very good health (</w:t>
      </w:r>
      <w:r>
        <w:rPr>
          <w:rStyle w:val="FootnoteReference"/>
          <w:noProof/>
        </w:rPr>
        <w:footnoteReference w:id="2"/>
      </w:r>
      <w:r>
        <w:rPr>
          <w:noProof/>
        </w:rPr>
        <w:t>), young people are more prone to 'risk behaviour' than older age groups. This is partly related to the normal changes young people undergo in their physiological and social development, and partly due to the difficulties they face in their transition to adulthood and independence. Vulnerable groups of young people such as those experiencing unemployment, poverty or social exclusion may be particularly prone to more serious problems in their physical and mental health.</w:t>
      </w:r>
    </w:p>
    <w:p>
      <w:pPr>
        <w:pStyle w:val="Yo1Textpara"/>
        <w:rPr>
          <w:noProof/>
        </w:rPr>
      </w:pPr>
      <w:r>
        <w:rPr>
          <w:noProof/>
        </w:rPr>
        <w:t>This chapter provides a snapshot of the main trends in areas covered by the EU Dashboard of Youth Indicators (</w:t>
      </w:r>
      <w:r>
        <w:rPr>
          <w:rStyle w:val="FootnoteReference"/>
          <w:noProof/>
        </w:rPr>
        <w:footnoteReference w:id="3"/>
      </w:r>
      <w:r>
        <w:rPr>
          <w:noProof/>
        </w:rPr>
        <w:t>). It is divided into two sub-sections: first, it looks at the main health risks (obesity, substance abuse and road traffic accidents resulting in injury); and second, it discusses two indicators related to young people's mental well-being (psychological distress and suicide).</w:t>
      </w:r>
    </w:p>
    <w:p>
      <w:pPr>
        <w:pStyle w:val="Yo0H2"/>
        <w:rPr>
          <w:noProof/>
        </w:rPr>
      </w:pPr>
      <w:r>
        <w:rPr>
          <w:noProof/>
        </w:rPr>
        <w:t>4.2. Health risks</w:t>
      </w:r>
    </w:p>
    <w:p>
      <w:pPr>
        <w:pStyle w:val="Yo1Textpara"/>
        <w:rPr>
          <w:noProof/>
        </w:rPr>
      </w:pPr>
      <w:r>
        <w:rPr>
          <w:noProof/>
        </w:rPr>
        <w:t>Behaviours considered to put young people's health at risk such as smoking, alcohol consumption, drug use, unhealthy eating, physical inactivity and unsafe sexual practices often cluster together and reinforce each other (</w:t>
      </w:r>
      <w:r>
        <w:rPr>
          <w:rStyle w:val="FootnoteReference"/>
          <w:noProof/>
        </w:rPr>
        <w:footnoteReference w:id="4"/>
      </w:r>
      <w:r>
        <w:rPr>
          <w:noProof/>
        </w:rPr>
        <w:t>). They are all influenced by social factors such as deprivation and social exclusion, poor access to education, as well as problematic family, school and living environments (</w:t>
      </w:r>
      <w:r>
        <w:rPr>
          <w:rStyle w:val="FootnoteReference"/>
          <w:noProof/>
        </w:rPr>
        <w:footnoteReference w:id="5"/>
      </w:r>
      <w:r>
        <w:rPr>
          <w:noProof/>
        </w:rPr>
        <w:t>). Moreover, these behaviours do not only have a strong impact on young people's health and well-being at the time they occur, but they also have life-long effects (</w:t>
      </w:r>
      <w:r>
        <w:rPr>
          <w:rStyle w:val="FootnoteReference"/>
          <w:noProof/>
        </w:rPr>
        <w:footnoteReference w:id="6"/>
      </w:r>
      <w:r>
        <w:rPr>
          <w:noProof/>
        </w:rPr>
        <w:t>).</w:t>
      </w:r>
    </w:p>
    <w:p>
      <w:pPr>
        <w:pStyle w:val="Yo1Textpara"/>
        <w:rPr>
          <w:noProof/>
        </w:rPr>
      </w:pPr>
      <w:r>
        <w:rPr>
          <w:noProof/>
        </w:rPr>
        <w:t>Young people are most vulnerable to risk behaviours when their life is in transition (</w:t>
      </w:r>
      <w:r>
        <w:rPr>
          <w:rStyle w:val="FootnoteReference"/>
          <w:noProof/>
        </w:rPr>
        <w:footnoteReference w:id="7"/>
      </w:r>
      <w:r>
        <w:rPr>
          <w:noProof/>
        </w:rPr>
        <w:t>). As they grow up, they move from childhood to adolescence, from education to work, and from living with their parents to living independently (Chapter 7). In this context, barriers to accessing higher levels of education, leaving school prematurely, long periods of unemployment or insecure housing situations all increase the probability of young people engaging in risk behaviours (</w:t>
      </w:r>
      <w:r>
        <w:rPr>
          <w:rStyle w:val="FootnoteReference"/>
          <w:noProof/>
        </w:rPr>
        <w:footnoteReference w:id="8"/>
      </w:r>
      <w:r>
        <w:rPr>
          <w:noProof/>
        </w:rPr>
        <w:t>). Moreover, these transition periods are becoming longer and more complex, thereby increasing young people's vulnerability (</w:t>
      </w:r>
      <w:r>
        <w:rPr>
          <w:rStyle w:val="FootnoteReference"/>
          <w:noProof/>
        </w:rPr>
        <w:footnoteReference w:id="9"/>
      </w:r>
      <w:r>
        <w:rPr>
          <w:noProof/>
        </w:rPr>
        <w:t>). This section therefore examines the most important health risks and looks at young people's susceptibility to 'risk behaviour'.</w:t>
      </w:r>
    </w:p>
    <w:p>
      <w:pPr>
        <w:pStyle w:val="Yo5TextEUYouthTOC"/>
        <w:framePr w:hSpace="0" w:wrap="auto" w:vAnchor="margin" w:hAnchor="text" w:xAlign="left" w:yAlign="inline"/>
        <w:rPr>
          <w:rFonts w:eastAsia="Times New Roman"/>
          <w:color w:val="DA1E48"/>
          <w:spacing w:val="20"/>
          <w:sz w:val="24"/>
          <w:szCs w:val="24"/>
        </w:rPr>
      </w:pPr>
      <w:r>
        <w:rPr>
          <w:rFonts w:eastAsia="Times New Roman"/>
          <w:color w:val="DA1E48"/>
          <w:spacing w:val="20"/>
          <w:sz w:val="24"/>
          <w:szCs w:val="24"/>
        </w:rPr>
        <w:lastRenderedPageBreak/>
        <w:t>4.2.1. Obesity</w:t>
      </w:r>
    </w:p>
    <w:p>
      <w:pPr>
        <w:pStyle w:val="Yo1Textpara"/>
        <w:rPr>
          <w:noProof/>
        </w:rPr>
      </w:pPr>
      <w:r>
        <w:rPr>
          <w:noProof/>
        </w:rPr>
        <w:t>Obesity and being overweight are serious health risks. Childhood obesity has lasting consequences, often lifelong (</w:t>
      </w:r>
      <w:r>
        <w:rPr>
          <w:rStyle w:val="FootnoteReference"/>
          <w:noProof/>
        </w:rPr>
        <w:footnoteReference w:id="10"/>
      </w:r>
      <w:r>
        <w:rPr>
          <w:noProof/>
        </w:rPr>
        <w:t>). In addition to an early onset of chronic diseases and lower life expectation, obese children and young people will likely experience bullying and poor attainment at school, lower productivity and less rewarding careers (</w:t>
      </w:r>
      <w:r>
        <w:rPr>
          <w:rStyle w:val="FootnoteReference"/>
          <w:noProof/>
        </w:rPr>
        <w:footnoteReference w:id="11"/>
      </w:r>
      <w:r>
        <w:rPr>
          <w:noProof/>
        </w:rPr>
        <w:t>). This also impacts negatively on national healthcare systems, government budgets and the productivity of the European economy (</w:t>
      </w:r>
      <w:r>
        <w:rPr>
          <w:rStyle w:val="FootnoteReference"/>
          <w:noProof/>
        </w:rPr>
        <w:footnoteReference w:id="12"/>
      </w:r>
      <w:r>
        <w:rPr>
          <w:noProof/>
        </w:rPr>
        <w:t>).</w:t>
      </w:r>
    </w:p>
    <w:p>
      <w:pPr>
        <w:pStyle w:val="Yo1Textpara"/>
        <w:rPr>
          <w:noProof/>
        </w:rPr>
      </w:pPr>
      <w:r>
        <w:rPr>
          <w:noProof/>
        </w:rPr>
        <w:t>There are worrying trends surrounding weight issues in Europe and around the world, as more and more people – adolescents and young adults among them – suffer from health problems related to being obese or overweight (</w:t>
      </w:r>
      <w:r>
        <w:rPr>
          <w:rStyle w:val="FootnoteReference"/>
          <w:noProof/>
        </w:rPr>
        <w:footnoteReference w:id="13"/>
      </w:r>
      <w:r>
        <w:rPr>
          <w:noProof/>
        </w:rPr>
        <w:t>). Researchers even talk about an 'obesity epidemic' (</w:t>
      </w:r>
      <w:r>
        <w:rPr>
          <w:rStyle w:val="FootnoteReference"/>
          <w:noProof/>
        </w:rPr>
        <w:footnoteReference w:id="14"/>
      </w:r>
      <w:r>
        <w:rPr>
          <w:noProof/>
        </w:rPr>
        <w:t>), which is difficult to halt and results from a combination of factors such as sedentary lifestyles with low levels of physical activity, as well as unhealthy food and eating habits (</w:t>
      </w:r>
      <w:r>
        <w:rPr>
          <w:rStyle w:val="FootnoteReference"/>
          <w:noProof/>
        </w:rPr>
        <w:footnoteReference w:id="15"/>
      </w:r>
      <w:r>
        <w:rPr>
          <w:noProof/>
        </w:rPr>
        <w:t>). Young people from lower socio-economic backgrounds are especially vulnerable to becoming overweight or obese (</w:t>
      </w:r>
      <w:r>
        <w:rPr>
          <w:rStyle w:val="FootnoteReference"/>
          <w:noProof/>
        </w:rPr>
        <w:footnoteReference w:id="16"/>
      </w:r>
      <w:r>
        <w:rPr>
          <w:noProof/>
        </w:rPr>
        <w:t>).</w:t>
      </w:r>
    </w:p>
    <w:p>
      <w:pPr>
        <w:pStyle w:val="Yo1Textpara"/>
        <w:rPr>
          <w:noProof/>
        </w:rPr>
      </w:pPr>
      <w:r>
        <w:rPr>
          <w:noProof/>
        </w:rPr>
        <w:t>European statistics presented here confirm that obesity is becoming more and more widespread, both among young people and in the total population. The increase between 2002 and 2008 in the proportion of obese young people was highlighted in the 2012 Youth Report (</w:t>
      </w:r>
      <w:r>
        <w:rPr>
          <w:rStyle w:val="FootnoteReference"/>
          <w:noProof/>
        </w:rPr>
        <w:footnoteReference w:id="17"/>
      </w:r>
      <w:r>
        <w:rPr>
          <w:noProof/>
        </w:rPr>
        <w:t>). Figure 4-A depicts the continuation of this trend through to 2014: the proportion of obese young people aged 18-24 increased in almost all countries with available data, with the biggest increases registered in Bulgaria, Germany and France. The proportion of obese young people decreased only in four countries: in Belgium, Czech Republic, Spain and Romania. In all four of these, the proportion of obese young people is below the EU-28 average (5.8 %).</w:t>
      </w:r>
    </w:p>
    <w:p>
      <w:pPr>
        <w:pStyle w:val="Yo1Textpara"/>
        <w:rPr>
          <w:noProof/>
        </w:rPr>
      </w:pPr>
      <w:r>
        <w:rPr>
          <w:noProof/>
        </w:rPr>
        <w:t>This 5.8 % average obesity rate among young people aged 18-24 in the EU-28 is around one third of the obesity rate in the total population (15.4 %) (Figure 4-A-b). However, countries vary greatly in this respect. The smallest difference between the rate for young people and that for the total population is in Ireland. Although the reliability of the data is low in this case, they indicate that the proportion of obese young people is only marginally lower than that of the total population. With roughly 1 in 6 young people who could be considered obese, Ireland is also the country registering the highest proportion of young people with a Body Mass Index (BMI) of 30 or above (Figure 4-A). Besides Ireland, the proportion of obese young people is also above 10 % in Malta (12 %) and the United Kingdom (10.8 %). On the other hand, obesity among young people aged 18-24 is below 3 % in Croatia, Lithuania, Romania and Slovakia.</w:t>
      </w:r>
    </w:p>
    <w:p>
      <w:pPr>
        <w:pStyle w:val="Yo5TitleFigure"/>
        <w:jc w:val="both"/>
      </w:pPr>
      <w:r>
        <w:rPr>
          <w:b/>
        </w:rPr>
        <w:lastRenderedPageBreak/>
        <w:t>Figure 4-A:</w:t>
      </w:r>
      <w:r>
        <w:t xml:space="preserve"> Proportion of young people aged 18-24 with a Body Mass Index of 30 or above (obesity level), by country, 2008 and 2014</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2127"/>
        <w:gridCol w:w="7742"/>
      </w:tblGrid>
      <w:tr>
        <w:trPr>
          <w:trHeight w:val="2949"/>
        </w:trPr>
        <w:tc>
          <w:tcPr>
            <w:tcW w:w="533"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9869" w:type="dxa"/>
            <w:gridSpan w:val="2"/>
            <w:tcBorders>
              <w:bottom w:val="nil"/>
            </w:tcBorders>
            <w:shd w:val="clear" w:color="auto" w:fill="auto"/>
          </w:tcPr>
          <w:p>
            <w:pPr>
              <w:pStyle w:val="Yo5TextNotes"/>
              <w:tabs>
                <w:tab w:val="clear" w:pos="1985"/>
                <w:tab w:val="left" w:pos="9248"/>
              </w:tabs>
              <w:ind w:left="176"/>
              <w:rPr>
                <w:noProof/>
                <w:lang w:eastAsia="en-GB"/>
              </w:rPr>
            </w:pPr>
            <w:r>
              <w:rPr>
                <w:noProof/>
                <w:lang w:eastAsia="en-GB"/>
              </w:rPr>
              <w:t xml:space="preserve">  %</w:t>
            </w:r>
            <w:r>
              <w:rPr>
                <w:noProof/>
                <w:lang w:eastAsia="en-GB"/>
              </w:rPr>
              <w:tab/>
              <w:t>%</w:t>
            </w:r>
          </w:p>
          <w:p>
            <w:pPr>
              <w:pStyle w:val="Yo5TextNotesafter"/>
              <w:rPr>
                <w:noProof/>
                <w:sz w:val="16"/>
              </w:rPr>
            </w:pPr>
            <w:r>
              <w:rPr>
                <w:noProof/>
                <w:snapToGrid/>
              </w:rPr>
              <w:drawing>
                <wp:inline distT="0" distB="0" distL="0" distR="0">
                  <wp:extent cx="6114415" cy="2115185"/>
                  <wp:effectExtent l="0" t="0" r="635" b="0"/>
                  <wp:docPr id="2" name="Picture 2" descr="\\s-eacea-fs03-p\EACEA.A7\Youth\04_Reports\a_EU_Youth_Reports\2018\03_graph\4_A_obe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cea-fs03-p\EACEA.A7\Youth\04_Reports\a_EU_Youth_Reports\2018\03_graph\4_A_obesity.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6114415" cy="2115185"/>
                          </a:xfrm>
                          <a:prstGeom prst="rect">
                            <a:avLst/>
                          </a:prstGeom>
                          <a:noFill/>
                          <a:ln>
                            <a:noFill/>
                          </a:ln>
                        </pic:spPr>
                      </pic:pic>
                    </a:graphicData>
                  </a:graphic>
                </wp:inline>
              </w:drawing>
            </w:r>
          </w:p>
        </w:tc>
      </w:tr>
      <w:tr>
        <w:trPr>
          <w:trHeight w:val="20"/>
        </w:trPr>
        <w:tc>
          <w:tcPr>
            <w:tcW w:w="533" w:type="dxa"/>
            <w:vMerge/>
            <w:shd w:val="clear" w:color="auto" w:fill="FB5F5F"/>
            <w:textDirection w:val="btLr"/>
            <w:vAlign w:val="bottom"/>
          </w:tcPr>
          <w:p>
            <w:pPr>
              <w:spacing w:after="0" w:line="240" w:lineRule="auto"/>
              <w:ind w:left="113" w:right="113"/>
              <w:rPr>
                <w:b/>
                <w:noProof/>
                <w:color w:val="FFFFFF"/>
                <w:sz w:val="16"/>
              </w:rPr>
            </w:pPr>
          </w:p>
        </w:tc>
        <w:tc>
          <w:tcPr>
            <w:tcW w:w="2127" w:type="dxa"/>
            <w:tcBorders>
              <w:top w:val="nil"/>
              <w:right w:val="nil"/>
            </w:tcBorders>
            <w:shd w:val="clear" w:color="auto" w:fill="auto"/>
            <w:tcMar>
              <w:left w:w="255" w:type="dxa"/>
            </w:tcMar>
          </w:tcPr>
          <w:p>
            <w:pPr>
              <w:pStyle w:val="Yo5TitleFigure"/>
              <w:spacing w:before="0"/>
              <w:rPr>
                <w:sz w:val="14"/>
                <w:szCs w:val="14"/>
              </w:rPr>
            </w:pPr>
            <w:r>
              <w:rPr>
                <w:b/>
                <w:sz w:val="14"/>
                <w:szCs w:val="14"/>
              </w:rPr>
              <w:t xml:space="preserve">Figure 4-A-b: </w:t>
            </w:r>
            <w:r>
              <w:rPr>
                <w:sz w:val="14"/>
                <w:szCs w:val="14"/>
              </w:rPr>
              <w:t>Obesity by age, EU-28 average, 2014</w:t>
            </w:r>
          </w:p>
          <w:p>
            <w:pPr>
              <w:pStyle w:val="Yo5TitleFigure"/>
              <w:tabs>
                <w:tab w:val="left" w:pos="1310"/>
              </w:tabs>
              <w:spacing w:before="0" w:after="0" w:line="240" w:lineRule="auto"/>
              <w:ind w:left="235"/>
              <w:rPr>
                <w:b/>
                <w:color w:val="auto"/>
                <w:sz w:val="14"/>
                <w:szCs w:val="14"/>
              </w:rPr>
            </w:pPr>
            <w:r>
              <w:rPr>
                <w:color w:val="auto"/>
                <w:sz w:val="14"/>
                <w:szCs w:val="14"/>
              </w:rPr>
              <w:t>%</w:t>
            </w:r>
            <w:r>
              <w:rPr>
                <w:lang w:eastAsia="en-GB"/>
              </w:rPr>
              <w:tab/>
              <w:t xml:space="preserve"> </w:t>
            </w:r>
            <w:r>
              <w:rPr>
                <w:color w:val="auto"/>
                <w:sz w:val="14"/>
                <w:szCs w:val="14"/>
                <w:lang w:eastAsia="en-GB"/>
              </w:rPr>
              <w:t>%</w:t>
            </w:r>
          </w:p>
          <w:p>
            <w:pPr>
              <w:pStyle w:val="Yo5TextNotes"/>
              <w:tabs>
                <w:tab w:val="clear" w:pos="1985"/>
                <w:tab w:val="right" w:pos="8722"/>
              </w:tabs>
              <w:rPr>
                <w:noProof/>
                <w:lang w:eastAsia="en-GB"/>
              </w:rPr>
            </w:pPr>
            <w:r>
              <w:rPr>
                <w:noProof/>
                <w:snapToGrid/>
                <w:lang w:val="en-US"/>
              </w:rPr>
              <w:drawing>
                <wp:inline distT="0" distB="0" distL="0" distR="0">
                  <wp:extent cx="1121410" cy="1200785"/>
                  <wp:effectExtent l="0" t="0" r="2540" b="0"/>
                  <wp:docPr id="3" name="Picture 3" descr="\\s-eacea-fs03-p\EACEA.A7\Youth\04_Reports\a_EU_Youth_Reports\2018\03_graph\4_A_b_obe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cea-fs03-p\EACEA.A7\Youth\04_Reports\a_EU_Youth_Reports\2018\03_graph\4_A_b_obesity.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121410" cy="1200785"/>
                          </a:xfrm>
                          <a:prstGeom prst="rect">
                            <a:avLst/>
                          </a:prstGeom>
                          <a:noFill/>
                          <a:ln>
                            <a:noFill/>
                          </a:ln>
                        </pic:spPr>
                      </pic:pic>
                    </a:graphicData>
                  </a:graphic>
                </wp:inline>
              </w:drawing>
            </w:r>
          </w:p>
        </w:tc>
        <w:tc>
          <w:tcPr>
            <w:tcW w:w="7742" w:type="dxa"/>
            <w:tcBorders>
              <w:top w:val="nil"/>
              <w:left w:val="nil"/>
            </w:tcBorders>
            <w:shd w:val="clear" w:color="auto" w:fill="auto"/>
          </w:tcPr>
          <w:p>
            <w:pPr>
              <w:pStyle w:val="Yo5TextNotesbeforeafter"/>
              <w:spacing w:before="120"/>
              <w:ind w:left="176"/>
              <w:rPr>
                <w:noProof/>
                <w:szCs w:val="14"/>
                <w:lang w:val="en-GB"/>
              </w:rPr>
            </w:pPr>
            <w:r>
              <w:rPr>
                <w:i/>
                <w:noProof/>
                <w:szCs w:val="14"/>
                <w:lang w:val="en-GB"/>
              </w:rPr>
              <w:t>Notes</w:t>
            </w:r>
            <w:r>
              <w:rPr>
                <w:noProof/>
                <w:szCs w:val="14"/>
                <w:lang w:val="en-GB"/>
              </w:rPr>
              <w:t>: The Body Mass Index (BMI) is calculated by dividing body weight (in kilograms) by height (in metres) squared. A person is considered overweight if he or she has a body mass index greater than or equal to 25. Obesity is the condition of severe overweight where a person has a body mass index equal to or greater than 30 (</w:t>
            </w:r>
            <w:r>
              <w:rPr>
                <w:rStyle w:val="FootnoteReference"/>
                <w:noProof/>
                <w:szCs w:val="14"/>
                <w:lang w:val="en-GB"/>
              </w:rPr>
              <w:footnoteReference w:id="18"/>
            </w:r>
            <w:r>
              <w:rPr>
                <w:noProof/>
                <w:szCs w:val="14"/>
                <w:lang w:val="en-GB"/>
              </w:rPr>
              <w:t>).</w:t>
            </w:r>
          </w:p>
          <w:p>
            <w:pPr>
              <w:pStyle w:val="Yo5TextNotesbeforeafter"/>
              <w:ind w:left="176"/>
              <w:rPr>
                <w:noProof/>
                <w:szCs w:val="14"/>
                <w:lang w:val="en-GB"/>
              </w:rPr>
            </w:pPr>
            <w:r>
              <w:rPr>
                <w:noProof/>
                <w:szCs w:val="14"/>
                <w:lang w:val="en-GB"/>
              </w:rPr>
              <w:t>The first wave of EHIS (EHIS wave 1 or EHIS round 2008) was conducted between 2006 and 2009. The second wave (EHIS wave 2 or EHIS round 2014) was conducted between 2013 and 2015. More specifically, while fieldwork was carried out in 2014 in most countries, it took place in 2013 in Belgium and the United Kingdom, and in 2015 in Denmark, Germany, Ireland, Italy, Iceland and Norway.</w:t>
            </w:r>
          </w:p>
          <w:p>
            <w:pPr>
              <w:pStyle w:val="Yo5TextNotesbeforeafter"/>
              <w:ind w:left="175"/>
              <w:rPr>
                <w:noProof/>
                <w:szCs w:val="14"/>
                <w:lang w:val="en-GB"/>
              </w:rPr>
            </w:pPr>
            <w:r>
              <w:rPr>
                <w:noProof/>
                <w:szCs w:val="14"/>
                <w:lang w:val="en-GB"/>
              </w:rPr>
              <w:t>Data have low reliability for Ireland.</w:t>
            </w:r>
          </w:p>
          <w:p>
            <w:pPr>
              <w:pStyle w:val="Yo5TextNotes"/>
              <w:tabs>
                <w:tab w:val="clear" w:pos="1985"/>
                <w:tab w:val="right" w:pos="8722"/>
              </w:tabs>
              <w:spacing w:before="120"/>
              <w:ind w:left="176"/>
              <w:jc w:val="left"/>
              <w:rPr>
                <w:noProof/>
                <w:lang w:val="en-GB" w:eastAsia="en-GB"/>
              </w:rPr>
            </w:pPr>
            <w:r>
              <w:rPr>
                <w:i/>
                <w:noProof/>
                <w:szCs w:val="14"/>
                <w:lang w:val="en-GB"/>
              </w:rPr>
              <w:t xml:space="preserve">Source: </w:t>
            </w:r>
            <w:r>
              <w:rPr>
                <w:noProof/>
                <w:szCs w:val="14"/>
                <w:lang w:val="en-GB"/>
              </w:rPr>
              <w:t xml:space="preserve">Eurostat, European Health Interview Survey (EHIS), </w:t>
            </w:r>
            <w:r>
              <w:rPr>
                <w:noProof/>
                <w:szCs w:val="14"/>
                <w:lang w:val="en-GB"/>
              </w:rPr>
              <w:br/>
              <w:t>2014: [hlth_ehis_bm1e], 2008: [hlth_ehis_de1]. Data extracted on 23/05/2017.</w:t>
            </w:r>
          </w:p>
        </w:tc>
      </w:tr>
    </w:tbl>
    <w:p>
      <w:pPr>
        <w:pStyle w:val="Yo1Textpara"/>
        <w:spacing w:before="0" w:line="240" w:lineRule="auto"/>
        <w:rPr>
          <w:noProof/>
          <w:sz w:val="16"/>
          <w:szCs w:val="16"/>
        </w:rPr>
      </w:pPr>
    </w:p>
    <w:tbl>
      <w:tblPr>
        <w:tblpPr w:leftFromText="180" w:rightFromText="180" w:vertAnchor="text" w:horzAnchor="margin" w:tblpXSpec="right" w:tblpY="1585"/>
        <w:tblOverlap w:val="never"/>
        <w:tblW w:w="0" w:type="auto"/>
        <w:shd w:val="clear" w:color="auto" w:fill="FFA3A4"/>
        <w:tblLook w:val="04A0" w:firstRow="1" w:lastRow="0" w:firstColumn="1" w:lastColumn="0" w:noHBand="0" w:noVBand="1"/>
      </w:tblPr>
      <w:tblGrid>
        <w:gridCol w:w="2977"/>
      </w:tblGrid>
      <w:tr>
        <w:tc>
          <w:tcPr>
            <w:tcW w:w="2977" w:type="dxa"/>
            <w:shd w:val="clear" w:color="auto" w:fill="FFA3A4"/>
          </w:tcPr>
          <w:p>
            <w:pPr>
              <w:pStyle w:val="Yo12Encart"/>
              <w:framePr w:hSpace="0" w:wrap="auto" w:vAnchor="margin" w:hAnchor="text" w:xAlign="left" w:yAlign="inline"/>
              <w:suppressOverlap w:val="0"/>
              <w:rPr>
                <w:noProof/>
                <w:sz w:val="22"/>
                <w:szCs w:val="22"/>
              </w:rPr>
            </w:pPr>
            <w:r>
              <w:rPr>
                <w:noProof/>
                <w:sz w:val="22"/>
                <w:szCs w:val="22"/>
              </w:rPr>
              <w:t>Obesity of young people is a growing concern across Europe, partly linked to unhealthy eating habits such as low levels of fruit and vegetable consumption.</w:t>
            </w:r>
          </w:p>
        </w:tc>
      </w:tr>
    </w:tbl>
    <w:p>
      <w:pPr>
        <w:pStyle w:val="Yo1Textpara"/>
        <w:rPr>
          <w:noProof/>
        </w:rPr>
      </w:pPr>
      <w:r>
        <w:rPr>
          <w:noProof/>
        </w:rPr>
        <w:t>Obesity among 25-29 year-olds is higher than for 18-24 year-olds. In 2014, on average in the EU-28, 8.9 % of 25-29 year-olds could be considered obese (Figure 4-A-b). Countries follow roughly the same pattern in this regard: there are more obese young people in the 25-29 age group than among 18-24 year-olds, but still fewer than within the total population. In 2014, obesity within the 25-29 age group was the highest in Malta (20.2 %), Ireland (16.5 %), Iceland (14.5 %) and the United Kingdom (14 %) (</w:t>
      </w:r>
      <w:r>
        <w:rPr>
          <w:rStyle w:val="FootnoteReference"/>
          <w:noProof/>
        </w:rPr>
        <w:footnoteReference w:id="19"/>
      </w:r>
      <w:r>
        <w:rPr>
          <w:noProof/>
        </w:rPr>
        <w:t>).</w:t>
      </w:r>
    </w:p>
    <w:p>
      <w:pPr>
        <w:pStyle w:val="Yo1Textpara"/>
        <w:rPr>
          <w:noProof/>
        </w:rPr>
      </w:pPr>
      <w:r>
        <w:rPr>
          <w:noProof/>
        </w:rPr>
        <w:t>As mentioned above, obesity is partly linked to unhealthy eating habits, such as excessive consumption of foods high in fat, salt and sugar as well as low consumption of fruit and vegetables (</w:t>
      </w:r>
      <w:r>
        <w:rPr>
          <w:rStyle w:val="FootnoteReference"/>
          <w:noProof/>
        </w:rPr>
        <w:footnoteReference w:id="20"/>
      </w:r>
      <w:r>
        <w:rPr>
          <w:noProof/>
        </w:rPr>
        <w:t>). Looking at the countries at the two extremes, this relationship is partly supported by data on the frequency of fruit consumption (</w:t>
      </w:r>
      <w:r>
        <w:rPr>
          <w:rStyle w:val="FootnoteReference"/>
          <w:noProof/>
        </w:rPr>
        <w:footnoteReference w:id="21"/>
      </w:r>
      <w:r>
        <w:rPr>
          <w:noProof/>
        </w:rPr>
        <w:t xml:space="preserve">). Ireland, Malta and the United Kingdom are among the countries with a relatively high percentage (above the EU-28 average of 11.1 %) of young people aged 15-24 reporting that they never or only occasionally consume fruit (though other countries are also on this list, most notably France and Belgium). At the same time, in Croatia, Latvia, Lithuania and Slovakia, the proportion of young people never or only occasionally consuming fruit is among the lowest in Europe, below 5.5 %. </w:t>
      </w:r>
    </w:p>
    <w:p>
      <w:pPr>
        <w:pStyle w:val="Yo1Textpara"/>
        <w:rPr>
          <w:noProof/>
        </w:rPr>
      </w:pPr>
      <w:r>
        <w:rPr>
          <w:noProof/>
        </w:rPr>
        <w:t>Nevertheless, it also has to be noted that not every country with a high percentage of young people who never, or only occasionally consume fruit have a high obesity ratio (see, for example, Belgium), so eating habits are only one factor among many contributing to obesity in young people. However, it is still of concern that as a general pattern, the proportion of young people aged 15-24 consuming fruit or vegetables at least once a day is around 10 percentage points lower than that of the total population in the EU-28 (</w:t>
      </w:r>
      <w:r>
        <w:rPr>
          <w:rStyle w:val="FootnoteReference"/>
          <w:noProof/>
        </w:rPr>
        <w:footnoteReference w:id="22"/>
      </w:r>
      <w:r>
        <w:rPr>
          <w:noProof/>
        </w:rPr>
        <w:t>). This pattern holds true in a large majority of European countries.</w:t>
      </w:r>
    </w:p>
    <w:p>
      <w:pPr>
        <w:pStyle w:val="Yo1Textpara"/>
        <w:rPr>
          <w:b/>
          <w:noProof/>
        </w:rPr>
      </w:pPr>
      <w:r>
        <w:rPr>
          <w:noProof/>
        </w:rPr>
        <w:t>Though socio-economic background is a stronger predictor of obesity than gender, gender differences in the proportion of obese young people aged 18-24 are prominent in some European countries (Figure 4-B). On average in the EU-28, young women and men have similar obesity rates, with young women being slightly more affected than men. However, countries show diverse gender patterns when it comes to obesity: while more than twice as many young women as young men are obese in Belgium, Czech Republic and Denmark, the opposite is true in Greece and Slovakia.</w:t>
      </w:r>
    </w:p>
    <w:p>
      <w:pPr>
        <w:pStyle w:val="Yo5TitleFigure"/>
      </w:pPr>
      <w:r>
        <w:rPr>
          <w:b/>
        </w:rPr>
        <w:t>Figure 4-B:</w:t>
      </w:r>
      <w:r>
        <w:t xml:space="preserve"> Gender differences in the proportion of obese young people aged 18-24, 2014</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520"/>
        </w:trPr>
        <w:tc>
          <w:tcPr>
            <w:tcW w:w="533" w:type="dxa"/>
            <w:shd w:val="clear" w:color="auto" w:fill="FB5F5F"/>
            <w:textDirection w:val="btLr"/>
            <w:vAlign w:val="bottom"/>
          </w:tcPr>
          <w:p>
            <w:pPr>
              <w:pStyle w:val="Yo13YouthIndicator"/>
              <w:jc w:val="center"/>
              <w:rPr>
                <w:noProof/>
                <w:lang w:eastAsia="fr-BE"/>
              </w:rPr>
            </w:pPr>
            <w:r>
              <w:rPr>
                <w:noProof/>
              </w:rPr>
              <w:t>EU youth indicator</w:t>
            </w:r>
          </w:p>
        </w:tc>
        <w:tc>
          <w:tcPr>
            <w:tcW w:w="9869" w:type="dxa"/>
            <w:shd w:val="clear" w:color="auto" w:fill="auto"/>
          </w:tcPr>
          <w:tbl>
            <w:tblPr>
              <w:tblW w:w="9673"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846"/>
              <w:gridCol w:w="425"/>
              <w:gridCol w:w="3402"/>
            </w:tblGrid>
            <w:tr>
              <w:trPr>
                <w:trHeight w:val="539"/>
              </w:trPr>
              <w:tc>
                <w:tcPr>
                  <w:tcW w:w="5846" w:type="dxa"/>
                  <w:vMerge w:val="restart"/>
                  <w:tcBorders>
                    <w:right w:val="nil"/>
                  </w:tcBorders>
                  <w:shd w:val="clear" w:color="auto" w:fill="auto"/>
                </w:tcPr>
                <w:p>
                  <w:pPr>
                    <w:pStyle w:val="a75TextbaseTable"/>
                    <w:rPr>
                      <w:noProof/>
                    </w:rPr>
                  </w:pPr>
                  <w:r>
                    <w:rPr>
                      <w:noProof/>
                      <w:snapToGrid/>
                    </w:rPr>
                    <mc:AlternateContent>
                      <mc:Choice Requires="wps">
                        <w:drawing>
                          <wp:anchor distT="0" distB="0" distL="114300" distR="114300" simplePos="0" relativeHeight="251655168" behindDoc="0" locked="0" layoutInCell="1" allowOverlap="1">
                            <wp:simplePos x="0" y="0"/>
                            <wp:positionH relativeFrom="column">
                              <wp:posOffset>2426970</wp:posOffset>
                            </wp:positionH>
                            <wp:positionV relativeFrom="paragraph">
                              <wp:posOffset>165100</wp:posOffset>
                            </wp:positionV>
                            <wp:extent cx="1071245" cy="1419225"/>
                            <wp:effectExtent l="0" t="3175"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142"/>
                                          <w:rPr>
                                            <w:rFonts w:ascii="Arial Narrow" w:hAnsi="Arial Narrow"/>
                                            <w:sz w:val="14"/>
                                            <w:szCs w:val="14"/>
                                          </w:rPr>
                                        </w:pPr>
                                        <w:r>
                                          <w:rPr>
                                            <w:rFonts w:ascii="Arial Narrow" w:hAnsi="Arial Narrow"/>
                                            <w:sz w:val="14"/>
                                            <w:szCs w:val="14"/>
                                          </w:rPr>
                                          <w:t>%</w:t>
                                        </w:r>
                                      </w:p>
                                      <w:p>
                                        <w:r>
                                          <w:rPr>
                                            <w:noProof/>
                                            <w:lang w:val="en-US"/>
                                          </w:rPr>
                                          <w:drawing>
                                            <wp:inline distT="0" distB="0" distL="0" distR="0">
                                              <wp:extent cx="890270" cy="1200785"/>
                                              <wp:effectExtent l="0" t="0" r="5080" b="0"/>
                                              <wp:docPr id="63" name="Picture 63" descr="\\s-eacea-fs03-p\EACEA.A7\Youth\04_Reports\a_EU_Youth_Reports\2018\03_graph\4_B_obesity_gender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acea-fs03-p\EACEA.A7\Youth\04_Reports\a_EU_Youth_Reports\2018\03_graph\4_B_obesity_gender_EU28.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890270" cy="12007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1.1pt;margin-top:13pt;width:84.35pt;height:111.7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" stroked="f">
                            <v:textbox>
                              <w:txbxContent>
                                <w:p>
                                  <w:pPr>
                                    <w:spacing w:after="0" w:line="240" w:lineRule="auto"/>
                                    <w:ind w:left="142"/>
                                    <w:rPr>
                                      <w:rFonts w:ascii="Arial Narrow" w:hAnsi="Arial Narrow"/>
                                      <w:sz w:val="14"/>
                                      <w:szCs w:val="14"/>
                                    </w:rPr>
                                  </w:pPr>
                                  <w:r>
                                    <w:rPr>
                                      <w:rFonts w:ascii="Arial Narrow" w:hAnsi="Arial Narrow"/>
                                      <w:sz w:val="14"/>
                                      <w:szCs w:val="14"/>
                                    </w:rPr>
                                    <w:t>%</w:t>
                                  </w:r>
                                </w:p>
                                <w:p>
                                  <w:r>
                                    <w:rPr>
                                      <w:noProof/>
                                      <w:lang w:val="en-US"/>
                                    </w:rPr>
                                    <w:drawing>
                                      <wp:inline distT="0" distB="0" distL="0" distR="0">
                                        <wp:extent cx="890270" cy="1200785"/>
                                        <wp:effectExtent l="0" t="0" r="5080" b="0"/>
                                        <wp:docPr id="63" name="Picture 63" descr="\\s-eacea-fs03-p\EACEA.A7\Youth\04_Reports\a_EU_Youth_Reports\2018\03_graph\4_B_obesity_gender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acea-fs03-p\EACEA.A7\Youth\04_Reports\a_EU_Youth_Reports\2018\03_graph\4_B_obesity_gender_EU28.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890270" cy="1200785"/>
                                                </a:xfrm>
                                                <a:prstGeom prst="rect">
                                                  <a:avLst/>
                                                </a:prstGeom>
                                                <a:noFill/>
                                                <a:ln>
                                                  <a:noFill/>
                                                </a:ln>
                                              </pic:spPr>
                                            </pic:pic>
                                          </a:graphicData>
                                        </a:graphic>
                                      </wp:inline>
                                    </w:drawing>
                                  </w:r>
                                </w:p>
                              </w:txbxContent>
                            </v:textbox>
                          </v:shape>
                        </w:pict>
                      </mc:Fallback>
                    </mc:AlternateContent>
                  </w:r>
                  <w:r>
                    <w:rPr>
                      <w:noProof/>
                      <w:snapToGrid/>
                    </w:rPr>
                    <w:drawing>
                      <wp:inline distT="0" distB="0" distL="0" distR="0">
                        <wp:extent cx="3625850" cy="2711450"/>
                        <wp:effectExtent l="0" t="0" r="0" b="0"/>
                        <wp:docPr id="4" name="Picture 4" descr="\\s-eacea-fs03-p\EACEA.A7\Youth\04_Reports\a_EU_Youth_Reports\2018\03_graph\4_B_obesity_gende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cea-fs03-p\EACEA.A7\Youth\04_Reports\a_EU_Youth_Reports\2018\03_graph\4_B_obesity_gender_MAP.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625850" cy="2711450"/>
                                </a:xfrm>
                                <a:prstGeom prst="rect">
                                  <a:avLst/>
                                </a:prstGeom>
                                <a:noFill/>
                                <a:ln>
                                  <a:noFill/>
                                </a:ln>
                              </pic:spPr>
                            </pic:pic>
                          </a:graphicData>
                        </a:graphic>
                      </wp:inline>
                    </w:drawing>
                  </w:r>
                </w:p>
              </w:tc>
              <w:tc>
                <w:tcPr>
                  <w:tcW w:w="425" w:type="dxa"/>
                  <w:tcBorders>
                    <w:top w:val="nil"/>
                    <w:left w:val="nil"/>
                    <w:bottom w:val="nil"/>
                    <w:right w:val="nil"/>
                  </w:tcBorders>
                  <w:vAlign w:val="center"/>
                </w:tcPr>
                <w:p>
                  <w:pPr>
                    <w:pStyle w:val="a75TextbaseTable"/>
                    <w:spacing w:beforeLines="20" w:before="48" w:after="20"/>
                    <w:rPr>
                      <w:noProof/>
                    </w:rPr>
                  </w:pPr>
                </w:p>
              </w:tc>
              <w:tc>
                <w:tcPr>
                  <w:tcW w:w="3402" w:type="dxa"/>
                  <w:tcBorders>
                    <w:top w:val="nil"/>
                    <w:left w:val="nil"/>
                    <w:bottom w:val="nil"/>
                  </w:tcBorders>
                  <w:shd w:val="clear" w:color="auto" w:fill="auto"/>
                  <w:vAlign w:val="center"/>
                </w:tcPr>
                <w:p>
                  <w:pPr>
                    <w:pStyle w:val="a75TextbaseTable"/>
                    <w:rPr>
                      <w:noProof/>
                    </w:rPr>
                  </w:pPr>
                </w:p>
              </w:tc>
            </w:tr>
            <w:tr>
              <w:trPr>
                <w:trHeight w:val="471"/>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Obesity among young men is at least twice as high as among young women</w:t>
                  </w:r>
                </w:p>
              </w:tc>
            </w:tr>
            <w:tr>
              <w:trPr>
                <w:trHeight w:val="437"/>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Obesity among young men is higher than among young women, but less than twice as high</w:t>
                  </w:r>
                </w:p>
              </w:tc>
            </w:tr>
            <w:tr>
              <w:trPr>
                <w:trHeight w:val="361"/>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Similar proportions of obesity in young men and women</w:t>
                  </w:r>
                </w:p>
              </w:tc>
            </w:tr>
            <w:t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58750" cy="15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Obesity among young women is higher than among young men, but less than twice as high</w:t>
                  </w:r>
                </w:p>
              </w:tc>
            </w:tr>
            <w:tr>
              <w:trPr>
                <w:trHeight w:val="347"/>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58750" cy="15875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Obesity among young women is at least twice as high as among young men</w:t>
                  </w:r>
                </w:p>
              </w:tc>
            </w:tr>
            <w:tr>
              <w:trPr>
                <w:trHeight w:val="402"/>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10" name="Picture 10" descr="NAv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NAvaiT"/>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Data not collected</w:t>
                  </w:r>
                </w:p>
              </w:tc>
            </w:tr>
            <w:tr>
              <w:trPr>
                <w:trHeight w:val="402"/>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p>
              </w:tc>
              <w:tc>
                <w:tcPr>
                  <w:tcW w:w="3402" w:type="dxa"/>
                  <w:tcBorders>
                    <w:top w:val="nil"/>
                    <w:left w:val="nil"/>
                    <w:bottom w:val="nil"/>
                  </w:tcBorders>
                  <w:shd w:val="clear" w:color="auto" w:fill="auto"/>
                  <w:vAlign w:val="center"/>
                </w:tcPr>
                <w:p>
                  <w:pPr>
                    <w:pStyle w:val="a75TextbaseTable"/>
                    <w:rPr>
                      <w:noProof/>
                    </w:rPr>
                  </w:pPr>
                </w:p>
              </w:tc>
            </w:tr>
          </w:tbl>
          <w:p>
            <w:pPr>
              <w:pStyle w:val="Yo5TextNotesafter"/>
              <w:rPr>
                <w:noProof/>
                <w:sz w:val="16"/>
              </w:rPr>
            </w:pPr>
          </w:p>
        </w:tc>
      </w:tr>
    </w:tbl>
    <w:p>
      <w:pPr>
        <w:pStyle w:val="Yo5TextNotesbeforeafter"/>
        <w:spacing w:before="120"/>
        <w:rPr>
          <w:noProof/>
          <w:szCs w:val="14"/>
          <w:lang w:val="en-GB"/>
        </w:rPr>
      </w:pPr>
      <w:r>
        <w:rPr>
          <w:i/>
          <w:noProof/>
          <w:szCs w:val="14"/>
          <w:lang w:val="en-GB"/>
        </w:rPr>
        <w:t>Notes</w:t>
      </w:r>
      <w:r>
        <w:rPr>
          <w:noProof/>
          <w:szCs w:val="14"/>
          <w:lang w:val="en-GB"/>
        </w:rPr>
        <w:t>: The second wave of EHIS (EHIS wave 2 or EHIS round 2014) was conducted between 2013 and 2015. More specifically, while fieldwork was carried out in 2014 in most countries, it took place in 2013 in Belgium and the United Kingdom, and in 2015 in Denmark, Germany, Ireland, Italy, Iceland and Norway.</w:t>
      </w:r>
    </w:p>
    <w:p>
      <w:pPr>
        <w:pStyle w:val="Yo5TextNotesbeforeafter"/>
        <w:rPr>
          <w:noProof/>
          <w:szCs w:val="14"/>
          <w:lang w:val="en-GB"/>
        </w:rPr>
      </w:pPr>
      <w:r>
        <w:rPr>
          <w:noProof/>
          <w:szCs w:val="14"/>
          <w:lang w:val="en-GB"/>
        </w:rPr>
        <w:t>Data have low reliability for Ireland.</w:t>
      </w:r>
    </w:p>
    <w:p>
      <w:pPr>
        <w:pStyle w:val="Yo5TextNotesbeforeafter"/>
        <w:rPr>
          <w:noProof/>
          <w:szCs w:val="14"/>
          <w:lang w:val="en-GB"/>
        </w:rPr>
      </w:pPr>
      <w:r>
        <w:rPr>
          <w:noProof/>
          <w:szCs w:val="14"/>
          <w:lang w:val="en-GB"/>
        </w:rPr>
        <w:t>Obesity in young men and women was regarded as similar if the male/female ratio was between 0.85 and 1.15.</w:t>
      </w:r>
    </w:p>
    <w:p>
      <w:pPr>
        <w:pStyle w:val="Yo5TextNotesbeforeafter"/>
        <w:spacing w:before="120"/>
        <w:rPr>
          <w:noProof/>
          <w:szCs w:val="14"/>
          <w:lang w:val="en-GB"/>
        </w:rPr>
      </w:pPr>
      <w:r>
        <w:rPr>
          <w:i/>
          <w:noProof/>
          <w:szCs w:val="14"/>
          <w:lang w:val="en-GB"/>
        </w:rPr>
        <w:t xml:space="preserve">Source: </w:t>
      </w:r>
      <w:r>
        <w:rPr>
          <w:noProof/>
          <w:szCs w:val="14"/>
          <w:lang w:val="en-GB"/>
        </w:rPr>
        <w:t>Own calculation based on Eurostat, European Health Interview Survey (EHIS), [hlth_ehis_bm1e]. Data extracted on 23.05.2017.</w:t>
      </w:r>
    </w:p>
    <w:p>
      <w:pPr>
        <w:pStyle w:val="Yo5TextNotesbeforeafter"/>
        <w:spacing w:before="0" w:after="0"/>
        <w:rPr>
          <w:noProof/>
          <w:szCs w:val="14"/>
          <w:lang w:val="en-GB"/>
        </w:rPr>
      </w:pPr>
    </w:p>
    <w:p>
      <w:pPr>
        <w:pStyle w:val="Yo1Textpara"/>
        <w:rPr>
          <w:noProof/>
        </w:rPr>
      </w:pPr>
      <w:r>
        <w:rPr>
          <w:noProof/>
        </w:rPr>
        <w:t>Such diverse patterns of gender difference could be partly due to multiple lifestyle differences between women and men: while women are more likely to have a healthy diet (young women consume more fruit and vegetables than young men in almost every European country (</w:t>
      </w:r>
      <w:r>
        <w:rPr>
          <w:rStyle w:val="FootnoteReference"/>
          <w:noProof/>
        </w:rPr>
        <w:footnoteReference w:id="23"/>
      </w:r>
      <w:r>
        <w:rPr>
          <w:noProof/>
        </w:rPr>
        <w:t>)), they engage in less physical activity than their male peers (</w:t>
      </w:r>
      <w:r>
        <w:rPr>
          <w:rStyle w:val="FootnoteReference"/>
          <w:noProof/>
        </w:rPr>
        <w:footnoteReference w:id="24"/>
      </w:r>
      <w:r>
        <w:rPr>
          <w:noProof/>
        </w:rPr>
        <w:t>). Differences between young men and women not engaging in any physical activity are especially striking in south-eastern European countries, where young people in general tend to be less active. In Greece, Spain, Romania and Turkey, the proportion of young women aged 15-24 spending no time on health-enhancing (non-work-related) aerobic physical activity is 20 percentage points or more higher than that of young men. At the other extreme, young people are engaged in physical activities to a greater extent in Nordic countries, and differences between men and women tend to be much smaller in this region. In Denmark, Estonia, Sweden and Iceland, the proportion of young women not engaging in any physical activity is even lower than that of young men (</w:t>
      </w:r>
      <w:r>
        <w:rPr>
          <w:rStyle w:val="FootnoteReference"/>
          <w:noProof/>
        </w:rPr>
        <w:footnoteReference w:id="25"/>
      </w:r>
      <w:r>
        <w:rPr>
          <w:noProof/>
        </w:rPr>
        <w:t>).</w:t>
      </w:r>
    </w:p>
    <w:p>
      <w:pPr>
        <w:pStyle w:val="Yo1Textpara"/>
        <w:rPr>
          <w:noProof/>
        </w:rPr>
      </w:pPr>
      <w:r>
        <w:rPr>
          <w:noProof/>
        </w:rPr>
        <w:t>In addition to differences in diet and physical activity, studies have shown the importance of socio-cultural factors in influencing gender differences in obesity ratios. These include the cultural association between obesity and social status among men (for example in Greece), and the different cultural norms or standards of beauty that result in pressure on women to be thin (</w:t>
      </w:r>
      <w:r>
        <w:rPr>
          <w:rStyle w:val="FootnoteReference"/>
          <w:noProof/>
        </w:rPr>
        <w:footnoteReference w:id="26"/>
      </w:r>
      <w:r>
        <w:rPr>
          <w:noProof/>
        </w:rPr>
        <w:t>).</w:t>
      </w:r>
    </w:p>
    <w:p>
      <w:pPr>
        <w:pStyle w:val="Yo5TextEUYouthTOC"/>
        <w:framePr w:hSpace="0" w:wrap="auto" w:vAnchor="margin" w:hAnchor="text" w:xAlign="left" w:yAlign="inline"/>
        <w:spacing w:before="240"/>
        <w:rPr>
          <w:rFonts w:eastAsia="Times New Roman"/>
          <w:color w:val="DA1E48"/>
          <w:spacing w:val="20"/>
          <w:sz w:val="24"/>
          <w:szCs w:val="24"/>
        </w:rPr>
      </w:pPr>
      <w:r>
        <w:rPr>
          <w:rFonts w:eastAsia="Times New Roman"/>
          <w:color w:val="DA1E48"/>
          <w:spacing w:val="20"/>
          <w:sz w:val="24"/>
          <w:szCs w:val="24"/>
        </w:rPr>
        <w:t>4.2.2. Substance abuse</w:t>
      </w:r>
    </w:p>
    <w:p>
      <w:pPr>
        <w:pStyle w:val="Yo1Textpara"/>
        <w:rPr>
          <w:noProof/>
        </w:rPr>
      </w:pPr>
      <w:r>
        <w:rPr>
          <w:noProof/>
        </w:rPr>
        <w:t>Young people – especially in adolescence – are particularly vulnerable to substance use and its related disorders. Late adolescence and young adulthood is often described as the age of 'experimentation', when young people try new substances, often without becoming addicted to them or misusing them (</w:t>
      </w:r>
      <w:r>
        <w:rPr>
          <w:noProof/>
          <w:vertAlign w:val="superscript"/>
        </w:rPr>
        <w:footnoteReference w:id="27"/>
      </w:r>
      <w:r>
        <w:rPr>
          <w:noProof/>
        </w:rPr>
        <w:t>). However, as mentioned above, the insecurity experienced in this transition period, together with factors such as unemployment, deprivation, an insecure family environment or peer pressure all increase the likelihood of risk behaviour. Therefore, for some young people, experimentation might turn into excessive use, bringing physical, mental and social risks (</w:t>
      </w:r>
      <w:r>
        <w:rPr>
          <w:noProof/>
          <w:vertAlign w:val="superscript"/>
        </w:rPr>
        <w:footnoteReference w:id="28"/>
      </w:r>
      <w:r>
        <w:rPr>
          <w:noProof/>
        </w:rPr>
        <w:t xml:space="preserve">). </w:t>
      </w:r>
    </w:p>
    <w:p>
      <w:pPr>
        <w:pStyle w:val="Yo1Textpara"/>
        <w:rPr>
          <w:noProof/>
        </w:rPr>
      </w:pPr>
      <w:r>
        <w:rPr>
          <w:noProof/>
        </w:rPr>
        <w:t xml:space="preserve">This sub-section looks into the three main forms of substance abuse: regular smoking, excessive drinking and cannabis consumption. </w:t>
      </w:r>
    </w:p>
    <w:p>
      <w:pPr>
        <w:pStyle w:val="Yo5TextEUYouthTOC"/>
        <w:framePr w:hSpace="0" w:wrap="auto" w:vAnchor="margin" w:hAnchor="text" w:xAlign="left" w:yAlign="inline"/>
        <w:spacing w:before="240"/>
        <w:rPr>
          <w:rFonts w:eastAsia="Times New Roman"/>
          <w:color w:val="DA1E48"/>
          <w:spacing w:val="20"/>
          <w:sz w:val="24"/>
          <w:szCs w:val="24"/>
        </w:rPr>
      </w:pPr>
      <w:r>
        <w:rPr>
          <w:rFonts w:eastAsia="Times New Roman"/>
          <w:color w:val="DA1E48"/>
          <w:spacing w:val="20"/>
          <w:sz w:val="24"/>
          <w:szCs w:val="24"/>
        </w:rPr>
        <w:t>a) Smoking</w:t>
      </w:r>
    </w:p>
    <w:tbl>
      <w:tblPr>
        <w:tblpPr w:leftFromText="180" w:rightFromText="180" w:vertAnchor="text" w:horzAnchor="margin" w:tblpXSpec="right" w:tblpY="626"/>
        <w:tblOverlap w:val="never"/>
        <w:tblW w:w="0" w:type="auto"/>
        <w:shd w:val="clear" w:color="auto" w:fill="FFA3A4"/>
        <w:tblLook w:val="04A0" w:firstRow="1" w:lastRow="0" w:firstColumn="1" w:lastColumn="0" w:noHBand="0" w:noVBand="1"/>
      </w:tblPr>
      <w:tblGrid>
        <w:gridCol w:w="3153"/>
      </w:tblGrid>
      <w:tr>
        <w:tc>
          <w:tcPr>
            <w:tcW w:w="3153" w:type="dxa"/>
            <w:shd w:val="clear" w:color="auto" w:fill="FFA3A4"/>
          </w:tcPr>
          <w:p>
            <w:pPr>
              <w:pStyle w:val="Yo12Encart"/>
              <w:framePr w:hSpace="0" w:wrap="auto" w:vAnchor="margin" w:hAnchor="text" w:xAlign="left" w:yAlign="inline"/>
              <w:suppressOverlap w:val="0"/>
              <w:rPr>
                <w:noProof/>
                <w:sz w:val="22"/>
                <w:szCs w:val="22"/>
              </w:rPr>
            </w:pPr>
            <w:r>
              <w:rPr>
                <w:rFonts w:ascii="Calibri" w:hAnsi="Calibri"/>
                <w:noProof/>
                <w:sz w:val="22"/>
                <w:szCs w:val="22"/>
              </w:rPr>
              <w:br w:type="page"/>
            </w:r>
            <w:r>
              <w:rPr>
                <w:noProof/>
                <w:szCs w:val="14"/>
              </w:rPr>
              <w:br w:type="page"/>
            </w:r>
            <w:r>
              <w:rPr>
                <w:noProof/>
                <w:sz w:val="22"/>
                <w:szCs w:val="22"/>
              </w:rPr>
              <w:t>The proportion of people smoking daily has been steadily decreasing, though not in all countries and not for every group.</w:t>
            </w:r>
          </w:p>
        </w:tc>
      </w:tr>
    </w:tbl>
    <w:p>
      <w:pPr>
        <w:pStyle w:val="Yo1Textpara"/>
        <w:rPr>
          <w:noProof/>
        </w:rPr>
      </w:pPr>
      <w:r>
        <w:rPr>
          <w:noProof/>
        </w:rPr>
        <w:t>Smoking is a well-known health risk and is the leading cause of preventable death (</w:t>
      </w:r>
      <w:r>
        <w:rPr>
          <w:rStyle w:val="FootnoteReference"/>
          <w:noProof/>
        </w:rPr>
        <w:footnoteReference w:id="29"/>
      </w:r>
      <w:r>
        <w:rPr>
          <w:noProof/>
        </w:rPr>
        <w:t>). As with most risk factors, tobacco use is also influenced by socio-economic factors, with young people from disadvantaged backgrounds being more vulnerable (</w:t>
      </w:r>
      <w:r>
        <w:rPr>
          <w:rStyle w:val="FootnoteReference"/>
          <w:noProof/>
        </w:rPr>
        <w:footnoteReference w:id="30"/>
      </w:r>
      <w:r>
        <w:rPr>
          <w:noProof/>
        </w:rPr>
        <w:t>).</w:t>
      </w:r>
    </w:p>
    <w:p>
      <w:pPr>
        <w:pStyle w:val="Yo1Textpara"/>
        <w:rPr>
          <w:noProof/>
        </w:rPr>
      </w:pPr>
      <w:r>
        <w:rPr>
          <w:noProof/>
        </w:rPr>
        <w:t>The proportion of people smoking daily has been steadily decreasing since the beginning of the 2000s in almost all European countries with available data (</w:t>
      </w:r>
      <w:r>
        <w:rPr>
          <w:rStyle w:val="FootnoteReference"/>
          <w:noProof/>
        </w:rPr>
        <w:footnoteReference w:id="31"/>
      </w:r>
      <w:r>
        <w:rPr>
          <w:noProof/>
        </w:rPr>
        <w:t>), pointing towards the effectiveness of anti-smoking campaigns and smoke-free spaces legislation (</w:t>
      </w:r>
      <w:r>
        <w:rPr>
          <w:noProof/>
          <w:vertAlign w:val="superscript"/>
        </w:rPr>
        <w:footnoteReference w:id="32"/>
      </w:r>
      <w:r>
        <w:rPr>
          <w:noProof/>
        </w:rPr>
        <w:t>). This trend is confirmed by the last two rounds of the European Health Interview Survey (EHIS), which is the data source used to calculate the EU youth indicator (</w:t>
      </w:r>
      <w:r>
        <w:rPr>
          <w:rStyle w:val="FootnoteReference"/>
          <w:noProof/>
        </w:rPr>
        <w:footnoteReference w:id="33"/>
      </w:r>
      <w:r>
        <w:rPr>
          <w:noProof/>
        </w:rPr>
        <w:t>). As Figure 4-C depicts, the proportion of daily smokers in the 15-24 age group decreased between 2008 and 2014 in almost all countries with available data, the only exception being Slovakia. In the 25-29 age group, increases in regular smoking took place only in France, Hungary, Austria and Slovakia (</w:t>
      </w:r>
      <w:r>
        <w:rPr>
          <w:rStyle w:val="FootnoteReference"/>
          <w:noProof/>
        </w:rPr>
        <w:footnoteReference w:id="34"/>
      </w:r>
      <w:r>
        <w:rPr>
          <w:noProof/>
        </w:rPr>
        <w:t>). The proportion of daily smokers among young people was the lowest in Norway, both in absolute terms and in comparison to Norway's total population.</w:t>
      </w:r>
    </w:p>
    <w:p>
      <w:pPr>
        <w:pStyle w:val="Yo5TitleFigure"/>
        <w:jc w:val="both"/>
      </w:pPr>
      <w:r>
        <w:rPr>
          <w:b/>
        </w:rPr>
        <w:t>Figure 4-C:</w:t>
      </w:r>
      <w:r>
        <w:t xml:space="preserve"> Proportion of daily smokers among young people aged 15-24, by country, 2008 and 2014</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2127"/>
        <w:gridCol w:w="7742"/>
      </w:tblGrid>
      <w:tr>
        <w:trPr>
          <w:trHeight w:val="2949"/>
        </w:trPr>
        <w:tc>
          <w:tcPr>
            <w:tcW w:w="533"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9869" w:type="dxa"/>
            <w:gridSpan w:val="2"/>
            <w:tcBorders>
              <w:bottom w:val="nil"/>
            </w:tcBorders>
            <w:shd w:val="clear" w:color="auto" w:fill="auto"/>
          </w:tcPr>
          <w:p>
            <w:pPr>
              <w:pStyle w:val="Yo5TextNotes"/>
              <w:tabs>
                <w:tab w:val="clear" w:pos="1985"/>
                <w:tab w:val="left" w:pos="9248"/>
              </w:tabs>
              <w:ind w:left="176"/>
              <w:rPr>
                <w:noProof/>
                <w:lang w:eastAsia="en-GB"/>
              </w:rPr>
            </w:pPr>
            <w:r>
              <w:rPr>
                <w:noProof/>
                <w:lang w:eastAsia="en-GB"/>
              </w:rPr>
              <w:t xml:space="preserve">  %</w:t>
            </w:r>
            <w:r>
              <w:rPr>
                <w:noProof/>
                <w:lang w:eastAsia="en-GB"/>
              </w:rPr>
              <w:tab/>
              <w:t>%</w:t>
            </w:r>
          </w:p>
          <w:p>
            <w:pPr>
              <w:pStyle w:val="Yo5TextNotesafter"/>
              <w:rPr>
                <w:noProof/>
                <w:sz w:val="16"/>
              </w:rPr>
            </w:pPr>
            <w:r>
              <w:rPr>
                <w:noProof/>
                <w:snapToGrid/>
              </w:rPr>
              <w:drawing>
                <wp:inline distT="0" distB="0" distL="0" distR="0">
                  <wp:extent cx="6114415" cy="2115185"/>
                  <wp:effectExtent l="0" t="0" r="635" b="0"/>
                  <wp:docPr id="11" name="Picture 11" descr="\\s-eacea-fs03-p\EACEA.A7\Youth\04_Reports\a_EU_Youth_Reports\2018\03_graph\4_C_sm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cea-fs03-p\EACEA.A7\Youth\04_Reports\a_EU_Youth_Reports\2018\03_graph\4_C_smoking.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6114415" cy="2115185"/>
                          </a:xfrm>
                          <a:prstGeom prst="rect">
                            <a:avLst/>
                          </a:prstGeom>
                          <a:noFill/>
                          <a:ln>
                            <a:noFill/>
                          </a:ln>
                        </pic:spPr>
                      </pic:pic>
                    </a:graphicData>
                  </a:graphic>
                </wp:inline>
              </w:drawing>
            </w:r>
          </w:p>
        </w:tc>
      </w:tr>
      <w:tr>
        <w:trPr>
          <w:trHeight w:val="2548"/>
        </w:trPr>
        <w:tc>
          <w:tcPr>
            <w:tcW w:w="533" w:type="dxa"/>
            <w:vMerge/>
            <w:shd w:val="clear" w:color="auto" w:fill="FB5F5F"/>
            <w:textDirection w:val="btLr"/>
            <w:vAlign w:val="bottom"/>
          </w:tcPr>
          <w:p>
            <w:pPr>
              <w:spacing w:after="0" w:line="240" w:lineRule="auto"/>
              <w:ind w:left="113" w:right="113"/>
              <w:rPr>
                <w:b/>
                <w:noProof/>
                <w:color w:val="FFFFFF"/>
                <w:sz w:val="16"/>
              </w:rPr>
            </w:pPr>
          </w:p>
        </w:tc>
        <w:tc>
          <w:tcPr>
            <w:tcW w:w="2127" w:type="dxa"/>
            <w:tcBorders>
              <w:top w:val="nil"/>
              <w:right w:val="nil"/>
            </w:tcBorders>
            <w:shd w:val="clear" w:color="auto" w:fill="auto"/>
            <w:tcMar>
              <w:left w:w="198" w:type="dxa"/>
            </w:tcMar>
          </w:tcPr>
          <w:p>
            <w:pPr>
              <w:pStyle w:val="Yo5TitleFigure"/>
              <w:spacing w:before="0" w:after="120"/>
              <w:rPr>
                <w:sz w:val="14"/>
                <w:szCs w:val="14"/>
              </w:rPr>
            </w:pPr>
            <w:r>
              <w:rPr>
                <w:b/>
                <w:sz w:val="14"/>
                <w:szCs w:val="14"/>
              </w:rPr>
              <w:t xml:space="preserve">Figure 4-C-b: </w:t>
            </w:r>
            <w:r>
              <w:rPr>
                <w:sz w:val="14"/>
                <w:szCs w:val="14"/>
              </w:rPr>
              <w:t>Daily smokers by age, EU-28 average, 2014</w:t>
            </w:r>
          </w:p>
          <w:p>
            <w:pPr>
              <w:pStyle w:val="Yo5TitleFigure"/>
              <w:tabs>
                <w:tab w:val="left" w:pos="1310"/>
              </w:tabs>
              <w:spacing w:before="0" w:after="0" w:line="240" w:lineRule="auto"/>
              <w:ind w:left="264"/>
              <w:rPr>
                <w:b/>
                <w:color w:val="auto"/>
                <w:sz w:val="14"/>
                <w:szCs w:val="14"/>
              </w:rPr>
            </w:pPr>
            <w:r>
              <w:rPr>
                <w:color w:val="auto"/>
                <w:sz w:val="14"/>
                <w:szCs w:val="14"/>
              </w:rPr>
              <w:t>%</w:t>
            </w:r>
            <w:r>
              <w:rPr>
                <w:lang w:eastAsia="en-GB"/>
              </w:rPr>
              <w:tab/>
              <w:t xml:space="preserve"> </w:t>
            </w:r>
            <w:r>
              <w:rPr>
                <w:color w:val="auto"/>
                <w:sz w:val="14"/>
                <w:szCs w:val="14"/>
                <w:lang w:eastAsia="en-GB"/>
              </w:rPr>
              <w:t>%</w:t>
            </w:r>
          </w:p>
          <w:p>
            <w:pPr>
              <w:pStyle w:val="Yo5TextNotes"/>
              <w:tabs>
                <w:tab w:val="clear" w:pos="1985"/>
                <w:tab w:val="right" w:pos="8722"/>
              </w:tabs>
              <w:spacing w:after="120"/>
              <w:rPr>
                <w:noProof/>
                <w:lang w:eastAsia="en-GB"/>
              </w:rPr>
            </w:pPr>
            <w:r>
              <w:rPr>
                <w:noProof/>
                <w:snapToGrid/>
                <w:lang w:val="en-US"/>
              </w:rPr>
              <w:drawing>
                <wp:inline distT="0" distB="0" distL="0" distR="0">
                  <wp:extent cx="1153160" cy="1240155"/>
                  <wp:effectExtent l="0" t="0" r="8890" b="0"/>
                  <wp:docPr id="12" name="Picture 12" descr="\\s-eacea-fs03-p\EACEA.A7\Youth\04_Reports\a_EU_Youth_Reports\2018\03_graph\4_C_b_sm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cea-fs03-p\EACEA.A7\Youth\04_Reports\a_EU_Youth_Reports\2018\03_graph\4_C_b_smoking.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153160" cy="1240155"/>
                          </a:xfrm>
                          <a:prstGeom prst="rect">
                            <a:avLst/>
                          </a:prstGeom>
                          <a:noFill/>
                          <a:ln>
                            <a:noFill/>
                          </a:ln>
                        </pic:spPr>
                      </pic:pic>
                    </a:graphicData>
                  </a:graphic>
                </wp:inline>
              </w:drawing>
            </w:r>
          </w:p>
        </w:tc>
        <w:tc>
          <w:tcPr>
            <w:tcW w:w="7742" w:type="dxa"/>
            <w:tcBorders>
              <w:top w:val="nil"/>
              <w:left w:val="nil"/>
            </w:tcBorders>
            <w:shd w:val="clear" w:color="auto" w:fill="auto"/>
          </w:tcPr>
          <w:p>
            <w:pPr>
              <w:pStyle w:val="Yo5TextNotesbeforeafter"/>
              <w:spacing w:before="240"/>
              <w:rPr>
                <w:noProof/>
                <w:szCs w:val="14"/>
                <w:lang w:val="en-GB"/>
              </w:rPr>
            </w:pPr>
            <w:r>
              <w:rPr>
                <w:i/>
                <w:noProof/>
                <w:szCs w:val="14"/>
                <w:lang w:val="en-GB"/>
              </w:rPr>
              <w:t>Notes</w:t>
            </w:r>
            <w:r>
              <w:rPr>
                <w:noProof/>
                <w:szCs w:val="14"/>
                <w:lang w:val="en-GB"/>
              </w:rPr>
              <w:t>: The first wave of EHIS (EHIS wave 1 or EHIS round 2008) was conducted between 2006 and 2009. The second wave (EHIS wave 2 or EHIS round 2014) was conducted between 2013 and 2015. More specifically, while fieldwork was carried out in 2014 in most countries, it took place in 2013 in Belgium and the United Kingdom, and in 2015 in Denmark, Germany, Ireland, Italy, Iceland and Norway.</w:t>
            </w:r>
          </w:p>
          <w:p>
            <w:pPr>
              <w:pStyle w:val="Yo5TextNotesbeforeafter"/>
              <w:rPr>
                <w:noProof/>
                <w:szCs w:val="14"/>
                <w:lang w:val="en-GB"/>
              </w:rPr>
            </w:pPr>
            <w:r>
              <w:rPr>
                <w:noProof/>
                <w:szCs w:val="14"/>
                <w:lang w:val="en-GB"/>
              </w:rPr>
              <w:t>Data have low reliability for Belgium (2008 and 2014), France (young people aged 25-29, 2008) and Poland (2008).</w:t>
            </w:r>
          </w:p>
          <w:p>
            <w:pPr>
              <w:pStyle w:val="Yo5TextNotes"/>
              <w:tabs>
                <w:tab w:val="clear" w:pos="1985"/>
                <w:tab w:val="right" w:pos="8722"/>
              </w:tabs>
              <w:jc w:val="left"/>
              <w:rPr>
                <w:noProof/>
                <w:lang w:val="en-GB" w:eastAsia="en-GB"/>
              </w:rPr>
            </w:pPr>
            <w:r>
              <w:rPr>
                <w:i/>
                <w:noProof/>
                <w:szCs w:val="14"/>
                <w:lang w:val="en-GB"/>
              </w:rPr>
              <w:t xml:space="preserve">Source: </w:t>
            </w:r>
            <w:r>
              <w:rPr>
                <w:noProof/>
                <w:szCs w:val="14"/>
                <w:lang w:val="en-GB"/>
              </w:rPr>
              <w:t xml:space="preserve">Eurostat, European Health Interview Survey (EHIS), </w:t>
            </w:r>
            <w:r>
              <w:rPr>
                <w:noProof/>
                <w:szCs w:val="14"/>
                <w:lang w:val="en-GB"/>
              </w:rPr>
              <w:br/>
              <w:t>2014: [hlth_ehis_sk3e], 2008: [hlth_ehis_de3]. Data extracted on 31/05/2017.</w:t>
            </w:r>
          </w:p>
        </w:tc>
      </w:tr>
    </w:tbl>
    <w:p>
      <w:pPr>
        <w:pStyle w:val="Yo1Textpara"/>
        <w:rPr>
          <w:noProof/>
        </w:rPr>
      </w:pPr>
      <w:r>
        <w:rPr>
          <w:noProof/>
        </w:rPr>
        <w:t>However, a relatively large percentage of young people still smoke daily in (at least some) European countries. In 2014, 15.5 % of young people aged 15-24 and 24.6 % of 25-29 year-olds smoked daily in the EU-28 on average (Figure 4-C-b). As Figure 4-C also depicts, the proportion of young people aged 15-24 smoking daily was relatively high in Hungary (27.2 %), Austria (26.8 %) and France (22.2 %). In these three countries, the proportion of 15-24 year-olds smoking daily was larger than the proportion of daily smokers in the total population (</w:t>
      </w:r>
      <w:r>
        <w:rPr>
          <w:noProof/>
          <w:vertAlign w:val="superscript"/>
        </w:rPr>
        <w:footnoteReference w:id="35"/>
      </w:r>
      <w:r>
        <w:rPr>
          <w:noProof/>
        </w:rPr>
        <w:t>).</w:t>
      </w:r>
    </w:p>
    <w:p>
      <w:pPr>
        <w:pStyle w:val="Yo1Textpara"/>
        <w:rPr>
          <w:noProof/>
        </w:rPr>
      </w:pPr>
      <w:r>
        <w:rPr>
          <w:noProof/>
        </w:rPr>
        <w:t>The overrepresentation of young people among daily smokers is on the other hand quite clear in the 25-29 age group: in almost all European countries, a larger proportion of young people aged 25-29 smoke daily in comparison with the proportion in the total population (</w:t>
      </w:r>
      <w:r>
        <w:rPr>
          <w:noProof/>
          <w:vertAlign w:val="superscript"/>
        </w:rPr>
        <w:footnoteReference w:id="36"/>
      </w:r>
      <w:r>
        <w:rPr>
          <w:noProof/>
        </w:rPr>
        <w:t xml:space="preserve">). </w:t>
      </w:r>
    </w:p>
    <w:p>
      <w:pPr>
        <w:pStyle w:val="Yo1Textpara"/>
        <w:rPr>
          <w:noProof/>
        </w:rPr>
      </w:pPr>
      <w:r>
        <w:rPr>
          <w:noProof/>
        </w:rPr>
        <w:br w:type="page"/>
        <w:t>Young men are particularly prone to daily smoking – with more of them smoking on a daily basis than young women in almost all countries with available data (Figure 4-D). On average in the EU-28, while 17.4 % of young men aged 15-24 were smoking daily in 2014, only 13.5 % of young women of the same age were doing so. The differences are especially pronounced moving from west to east and north to south (Figure 4-D). The biggest gender differences are in Czech Republic, Cyprus, Lithuania, Romania and Turkey, where young men are more than twice as likely to smoke daily as young women (in Turkey, this ratio is 5 to 1).</w:t>
      </w:r>
    </w:p>
    <w:tbl>
      <w:tblPr>
        <w:tblpPr w:leftFromText="180" w:rightFromText="180" w:vertAnchor="text" w:horzAnchor="margin" w:tblpXSpec="right" w:tblpY="-1772"/>
        <w:tblOverlap w:val="never"/>
        <w:tblW w:w="0" w:type="auto"/>
        <w:shd w:val="clear" w:color="auto" w:fill="FFA3A4"/>
        <w:tblLook w:val="04A0" w:firstRow="1" w:lastRow="0" w:firstColumn="1" w:lastColumn="0" w:noHBand="0" w:noVBand="1"/>
      </w:tblPr>
      <w:tblGrid>
        <w:gridCol w:w="3153"/>
      </w:tblGrid>
      <w:tr>
        <w:tc>
          <w:tcPr>
            <w:tcW w:w="3153" w:type="dxa"/>
            <w:shd w:val="clear" w:color="auto" w:fill="FFA3A4"/>
          </w:tcPr>
          <w:p>
            <w:pPr>
              <w:pStyle w:val="Yo12Encart"/>
              <w:framePr w:hSpace="0" w:wrap="auto" w:vAnchor="margin" w:hAnchor="text" w:xAlign="left" w:yAlign="inline"/>
              <w:suppressOverlap w:val="0"/>
              <w:rPr>
                <w:noProof/>
                <w:sz w:val="22"/>
                <w:szCs w:val="22"/>
              </w:rPr>
            </w:pPr>
            <w:r>
              <w:rPr>
                <w:rFonts w:ascii="Calibri" w:hAnsi="Calibri"/>
                <w:noProof/>
                <w:sz w:val="22"/>
                <w:szCs w:val="22"/>
              </w:rPr>
              <w:br w:type="page"/>
            </w:r>
            <w:r>
              <w:rPr>
                <w:noProof/>
                <w:szCs w:val="14"/>
              </w:rPr>
              <w:br w:type="page"/>
            </w:r>
            <w:r>
              <w:rPr>
                <w:noProof/>
                <w:sz w:val="22"/>
                <w:szCs w:val="22"/>
              </w:rPr>
              <w:t>Young men are much more likely to be habitual smokers than young women. However, differences between women and men are narrowing in some countries, with increasing proportions of female daily smokers.</w:t>
            </w:r>
          </w:p>
        </w:tc>
      </w:tr>
    </w:tbl>
    <w:p>
      <w:pPr>
        <w:pStyle w:val="Yo5TitleFigure"/>
      </w:pPr>
      <w:r>
        <w:rPr>
          <w:b/>
        </w:rPr>
        <w:t>Figure 4-D:</w:t>
      </w:r>
      <w:r>
        <w:t xml:space="preserve"> Gender differences in the proportion of daily smokers among young people aged 15-24, 2014</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520"/>
        </w:trPr>
        <w:tc>
          <w:tcPr>
            <w:tcW w:w="533" w:type="dxa"/>
            <w:shd w:val="clear" w:color="auto" w:fill="FB5F5F"/>
            <w:textDirection w:val="btLr"/>
            <w:vAlign w:val="bottom"/>
          </w:tcPr>
          <w:p>
            <w:pPr>
              <w:pStyle w:val="Yo13YouthIndicator"/>
              <w:jc w:val="center"/>
              <w:rPr>
                <w:noProof/>
                <w:lang w:eastAsia="fr-BE"/>
              </w:rPr>
            </w:pPr>
            <w:r>
              <w:rPr>
                <w:noProof/>
              </w:rPr>
              <w:t>EU youth indicator</w:t>
            </w:r>
          </w:p>
        </w:tc>
        <w:tc>
          <w:tcPr>
            <w:tcW w:w="9869" w:type="dxa"/>
            <w:shd w:val="clear" w:color="auto" w:fill="auto"/>
          </w:tcPr>
          <w:tbl>
            <w:tblPr>
              <w:tblW w:w="9673"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846"/>
              <w:gridCol w:w="425"/>
              <w:gridCol w:w="3402"/>
            </w:tblGrid>
            <w:tr>
              <w:trPr>
                <w:trHeight w:val="185"/>
              </w:trPr>
              <w:tc>
                <w:tcPr>
                  <w:tcW w:w="5846" w:type="dxa"/>
                  <w:vMerge w:val="restart"/>
                  <w:tcBorders>
                    <w:right w:val="nil"/>
                  </w:tcBorders>
                  <w:shd w:val="clear" w:color="auto" w:fill="auto"/>
                </w:tcPr>
                <w:p>
                  <w:pPr>
                    <w:pStyle w:val="a75TextbaseTable"/>
                    <w:rPr>
                      <w:noProof/>
                    </w:rPr>
                  </w:pPr>
                  <w:r>
                    <w:rPr>
                      <w:noProof/>
                      <w:snapToGrid/>
                    </w:rPr>
                    <mc:AlternateContent>
                      <mc:Choice Requires="wps">
                        <w:drawing>
                          <wp:anchor distT="0" distB="0" distL="114300" distR="114300" simplePos="0" relativeHeight="251656192" behindDoc="0" locked="0" layoutInCell="1" allowOverlap="1">
                            <wp:simplePos x="0" y="0"/>
                            <wp:positionH relativeFrom="column">
                              <wp:posOffset>2374900</wp:posOffset>
                            </wp:positionH>
                            <wp:positionV relativeFrom="paragraph">
                              <wp:posOffset>83820</wp:posOffset>
                            </wp:positionV>
                            <wp:extent cx="1176020" cy="1473835"/>
                            <wp:effectExtent l="3175" t="0" r="1905" b="444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47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252"/>
                                          <w:rPr>
                                            <w:rFonts w:ascii="Arial Narrow" w:hAnsi="Arial Narrow"/>
                                            <w:sz w:val="14"/>
                                            <w:szCs w:val="14"/>
                                          </w:rPr>
                                        </w:pPr>
                                        <w:r>
                                          <w:rPr>
                                            <w:rFonts w:ascii="Arial Narrow" w:hAnsi="Arial Narrow"/>
                                            <w:sz w:val="14"/>
                                            <w:szCs w:val="14"/>
                                          </w:rPr>
                                          <w:t>%</w:t>
                                        </w:r>
                                      </w:p>
                                      <w:p>
                                        <w:r>
                                          <w:rPr>
                                            <w:noProof/>
                                            <w:lang w:val="en-US"/>
                                          </w:rPr>
                                          <w:drawing>
                                            <wp:inline distT="0" distB="0" distL="0" distR="0">
                                              <wp:extent cx="954405" cy="1224280"/>
                                              <wp:effectExtent l="0" t="0" r="0" b="0"/>
                                              <wp:docPr id="64" name="Picture 64" descr="\\s-eacea-fs03-p\EACEA.A7\Youth\04_Reports\a_EU_Youth_Reports\2018\03_graph\4_D_smoking_gender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acea-fs03-p\EACEA.A7\Youth\04_Reports\a_EU_Youth_Reports\2018\03_graph\4_D_smoking_gender_EU28.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954405" cy="1224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7pt;margin-top:6.6pt;width:92.6pt;height:11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qQhQIAABg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" stroked="f">
                            <v:textbox>
                              <w:txbxContent>
                                <w:p>
                                  <w:pPr>
                                    <w:spacing w:after="0" w:line="240" w:lineRule="auto"/>
                                    <w:ind w:left="252"/>
                                    <w:rPr>
                                      <w:rFonts w:ascii="Arial Narrow" w:hAnsi="Arial Narrow"/>
                                      <w:sz w:val="14"/>
                                      <w:szCs w:val="14"/>
                                    </w:rPr>
                                  </w:pPr>
                                  <w:r>
                                    <w:rPr>
                                      <w:rFonts w:ascii="Arial Narrow" w:hAnsi="Arial Narrow"/>
                                      <w:sz w:val="14"/>
                                      <w:szCs w:val="14"/>
                                    </w:rPr>
                                    <w:t>%</w:t>
                                  </w:r>
                                </w:p>
                                <w:p>
                                  <w:r>
                                    <w:rPr>
                                      <w:noProof/>
                                      <w:lang w:val="en-US"/>
                                    </w:rPr>
                                    <w:drawing>
                                      <wp:inline distT="0" distB="0" distL="0" distR="0">
                                        <wp:extent cx="954405" cy="1224280"/>
                                        <wp:effectExtent l="0" t="0" r="0" b="0"/>
                                        <wp:docPr id="64" name="Picture 64" descr="\\s-eacea-fs03-p\EACEA.A7\Youth\04_Reports\a_EU_Youth_Reports\2018\03_graph\4_D_smoking_gender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acea-fs03-p\EACEA.A7\Youth\04_Reports\a_EU_Youth_Reports\2018\03_graph\4_D_smoking_gender_EU28.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954405" cy="1224280"/>
                                                </a:xfrm>
                                                <a:prstGeom prst="rect">
                                                  <a:avLst/>
                                                </a:prstGeom>
                                                <a:noFill/>
                                                <a:ln>
                                                  <a:noFill/>
                                                </a:ln>
                                              </pic:spPr>
                                            </pic:pic>
                                          </a:graphicData>
                                        </a:graphic>
                                      </wp:inline>
                                    </w:drawing>
                                  </w:r>
                                </w:p>
                              </w:txbxContent>
                            </v:textbox>
                          </v:shape>
                        </w:pict>
                      </mc:Fallback>
                    </mc:AlternateContent>
                  </w:r>
                  <w:r>
                    <w:rPr>
                      <w:noProof/>
                      <w:snapToGrid/>
                    </w:rPr>
                    <w:drawing>
                      <wp:inline distT="0" distB="0" distL="0" distR="0">
                        <wp:extent cx="3625850" cy="2711450"/>
                        <wp:effectExtent l="0" t="0" r="0" b="0"/>
                        <wp:docPr id="13" name="Picture 13" descr="\\s-eacea-fs03-p\EACEA.A7\Youth\04_Reports\a_EU_Youth_Reports\2018\03_graph\4_D_smoking_gende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cea-fs03-p\EACEA.A7\Youth\04_Reports\a_EU_Youth_Reports\2018\03_graph\4_D_smoking_gender_MAP.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625850" cy="2711450"/>
                                </a:xfrm>
                                <a:prstGeom prst="rect">
                                  <a:avLst/>
                                </a:prstGeom>
                                <a:noFill/>
                                <a:ln>
                                  <a:noFill/>
                                </a:ln>
                              </pic:spPr>
                            </pic:pic>
                          </a:graphicData>
                        </a:graphic>
                      </wp:inline>
                    </w:drawing>
                  </w:r>
                </w:p>
              </w:tc>
              <w:tc>
                <w:tcPr>
                  <w:tcW w:w="425" w:type="dxa"/>
                  <w:tcBorders>
                    <w:top w:val="nil"/>
                    <w:left w:val="nil"/>
                    <w:bottom w:val="nil"/>
                    <w:right w:val="nil"/>
                  </w:tcBorders>
                  <w:vAlign w:val="center"/>
                </w:tcPr>
                <w:p>
                  <w:pPr>
                    <w:pStyle w:val="a75TextbaseTable"/>
                    <w:rPr>
                      <w:noProof/>
                    </w:rPr>
                  </w:pPr>
                </w:p>
              </w:tc>
              <w:tc>
                <w:tcPr>
                  <w:tcW w:w="3402" w:type="dxa"/>
                  <w:tcBorders>
                    <w:top w:val="nil"/>
                    <w:left w:val="nil"/>
                    <w:bottom w:val="nil"/>
                  </w:tcBorders>
                  <w:shd w:val="clear" w:color="auto" w:fill="auto"/>
                  <w:vAlign w:val="center"/>
                </w:tcPr>
                <w:p>
                  <w:pPr>
                    <w:pStyle w:val="a75TextbaseTable"/>
                    <w:rPr>
                      <w:noProof/>
                    </w:rPr>
                  </w:pPr>
                </w:p>
              </w:tc>
            </w:tr>
            <w:tr>
              <w:trPr>
                <w:trHeight w:val="549"/>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 xml:space="preserve">Proportion of daily smokers among young men is more than five times larger than among young women </w:t>
                  </w:r>
                </w:p>
              </w:tc>
            </w:tr>
            <w:t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Proportion of daily smokers among young men is more than the double of the proportion of daily smokers among young women</w:t>
                  </w:r>
                </w:p>
              </w:tc>
            </w:tr>
            <w:tr>
              <w:trPr>
                <w:trHeight w:val="361"/>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 xml:space="preserve">Daily smoking among young men is considerably higher than among young women </w:t>
                  </w:r>
                </w:p>
              </w:tc>
            </w:tr>
            <w:tr>
              <w:trPr>
                <w:trHeight w:val="476"/>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Daily smoking among young men is somewhat higher than among young women</w:t>
                  </w:r>
                </w:p>
              </w:tc>
            </w:tr>
            <w:tr>
              <w:trPr>
                <w:trHeight w:val="347"/>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 xml:space="preserve">Similar proportions of young men and women smoke daily </w:t>
                  </w:r>
                </w:p>
              </w:tc>
            </w:tr>
            <w:tr>
              <w:trPr>
                <w:trHeight w:val="402"/>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58750" cy="15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Daily smoking among young women is somewhat higher than among young men</w:t>
                  </w:r>
                </w:p>
              </w:tc>
            </w:tr>
            <w:tr>
              <w:trPr>
                <w:trHeight w:val="402"/>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20" name="Picture 20" descr="NAv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NAvaiT"/>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Data not available/not collected</w:t>
                  </w:r>
                </w:p>
              </w:tc>
            </w:tr>
            <w:tr>
              <w:trPr>
                <w:trHeight w:val="36"/>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rPr>
                      <w:noProof/>
                    </w:rPr>
                  </w:pPr>
                </w:p>
              </w:tc>
              <w:tc>
                <w:tcPr>
                  <w:tcW w:w="3402" w:type="dxa"/>
                  <w:tcBorders>
                    <w:top w:val="nil"/>
                    <w:left w:val="nil"/>
                    <w:bottom w:val="nil"/>
                  </w:tcBorders>
                  <w:shd w:val="clear" w:color="auto" w:fill="auto"/>
                  <w:vAlign w:val="center"/>
                </w:tcPr>
                <w:p>
                  <w:pPr>
                    <w:pStyle w:val="a75TextbaseTable"/>
                    <w:rPr>
                      <w:noProof/>
                    </w:rPr>
                  </w:pPr>
                </w:p>
              </w:tc>
            </w:tr>
          </w:tbl>
          <w:p>
            <w:pPr>
              <w:pStyle w:val="Yo5TextNotesafter"/>
              <w:rPr>
                <w:noProof/>
                <w:sz w:val="16"/>
              </w:rPr>
            </w:pPr>
          </w:p>
        </w:tc>
      </w:tr>
    </w:tbl>
    <w:p>
      <w:pPr>
        <w:pStyle w:val="Yo5TextNotesbeforeafter"/>
        <w:rPr>
          <w:noProof/>
          <w:szCs w:val="14"/>
          <w:lang w:val="en-GB"/>
        </w:rPr>
      </w:pPr>
      <w:r>
        <w:rPr>
          <w:i/>
          <w:noProof/>
          <w:szCs w:val="14"/>
          <w:lang w:val="en-GB"/>
        </w:rPr>
        <w:t>Notes</w:t>
      </w:r>
      <w:r>
        <w:rPr>
          <w:noProof/>
          <w:szCs w:val="14"/>
          <w:lang w:val="en-GB"/>
        </w:rPr>
        <w:t>: The second wave of EHIS (EHIS wave 2 or EHIS round 2014) was conducted between 2013 and 2015. More specifically, while fieldwork was carried out in 2014 in most countries, it took place in 2013 in Belgium and the United Kingdom, and in 2015 in Denmark, Germany, Ireland, Italy, Iceland and Norway.</w:t>
      </w:r>
    </w:p>
    <w:p>
      <w:pPr>
        <w:pStyle w:val="Yo5TextNotesbeforeafter"/>
        <w:rPr>
          <w:noProof/>
          <w:szCs w:val="14"/>
          <w:lang w:val="en-GB"/>
        </w:rPr>
      </w:pPr>
      <w:r>
        <w:rPr>
          <w:noProof/>
          <w:szCs w:val="14"/>
          <w:lang w:val="en-GB"/>
        </w:rPr>
        <w:t>Daily smoking among young men is regarded as 'considerably higher' than among young women where the male/female ratio is between 1.5 and 2; it is regarded as 'somewhat higher' if the ratio is between 1.15 and 1.5; and regarded as 'similar' if the ratio is between 0.85 and 1.15.</w:t>
      </w:r>
    </w:p>
    <w:p>
      <w:pPr>
        <w:pStyle w:val="Yo5TextNotesbeforeafter"/>
        <w:spacing w:before="120"/>
        <w:rPr>
          <w:noProof/>
          <w:szCs w:val="14"/>
          <w:lang w:val="en-GB"/>
        </w:rPr>
      </w:pPr>
      <w:r>
        <w:rPr>
          <w:i/>
          <w:noProof/>
          <w:szCs w:val="14"/>
          <w:lang w:val="en-GB"/>
        </w:rPr>
        <w:t xml:space="preserve">Source: </w:t>
      </w:r>
      <w:r>
        <w:rPr>
          <w:noProof/>
          <w:szCs w:val="14"/>
          <w:lang w:val="en-GB"/>
        </w:rPr>
        <w:t>Own calculation based on</w:t>
      </w:r>
      <w:r>
        <w:rPr>
          <w:i/>
          <w:noProof/>
          <w:szCs w:val="14"/>
          <w:lang w:val="en-GB"/>
        </w:rPr>
        <w:t xml:space="preserve"> </w:t>
      </w:r>
      <w:r>
        <w:rPr>
          <w:noProof/>
          <w:szCs w:val="14"/>
          <w:lang w:val="en-GB"/>
        </w:rPr>
        <w:t>Eurostat, European Health Interview Survey (EHIS), [hlth_ehis_sk3e]. Data extracted on 31/05/2017.</w:t>
      </w:r>
    </w:p>
    <w:p>
      <w:pPr>
        <w:pStyle w:val="Yo5TextNotesbeforeafter"/>
        <w:spacing w:before="0" w:after="0"/>
        <w:rPr>
          <w:noProof/>
          <w:szCs w:val="14"/>
          <w:lang w:val="en-GB"/>
        </w:rPr>
      </w:pPr>
    </w:p>
    <w:p>
      <w:pPr>
        <w:pStyle w:val="Yo1Textpara"/>
        <w:rPr>
          <w:noProof/>
          <w:szCs w:val="22"/>
        </w:rPr>
      </w:pPr>
      <w:r>
        <w:rPr>
          <w:noProof/>
        </w:rPr>
        <w:t>The only country with more young female daily smokers than male is Ireland. However, while the total proportion of regular smokers aged 15-24 only increased in Slovakia between 2008 and 2014, the proportion of young female daily smokers increased in more countries: in Belgium (1.8 p.p.), Estonia (0.3 p.p.), Latvia (2.4 p.p.), Slovenia (0.8 p.p.) and Slovakia (2.6 p.p.). In contrast, the proportion of young male daily smokers only increased in Czech Republic (0.7 p.p.) and Slovakia (1.7 p.p.) (</w:t>
      </w:r>
      <w:r>
        <w:rPr>
          <w:rStyle w:val="FootnoteReference"/>
          <w:noProof/>
        </w:rPr>
        <w:footnoteReference w:id="37"/>
      </w:r>
      <w:r>
        <w:rPr>
          <w:noProof/>
        </w:rPr>
        <w:t>).</w:t>
      </w:r>
    </w:p>
    <w:p>
      <w:pPr>
        <w:pStyle w:val="Yo5TextEUYouthTOC"/>
        <w:framePr w:hSpace="0" w:wrap="auto" w:vAnchor="margin" w:hAnchor="text" w:xAlign="left" w:yAlign="inline"/>
        <w:rPr>
          <w:rFonts w:eastAsia="Times New Roman"/>
          <w:color w:val="DA1E48"/>
          <w:spacing w:val="20"/>
          <w:sz w:val="24"/>
          <w:szCs w:val="24"/>
        </w:rPr>
      </w:pPr>
      <w:r>
        <w:rPr>
          <w:rFonts w:eastAsia="Times New Roman"/>
          <w:b w:val="0"/>
          <w:color w:val="DA1E48"/>
          <w:spacing w:val="20"/>
          <w:sz w:val="24"/>
          <w:szCs w:val="24"/>
        </w:rPr>
        <w:br w:type="page"/>
      </w:r>
      <w:r>
        <w:rPr>
          <w:rFonts w:eastAsia="Times New Roman"/>
          <w:color w:val="DA1E48"/>
          <w:spacing w:val="20"/>
          <w:sz w:val="24"/>
          <w:szCs w:val="24"/>
        </w:rPr>
        <w:t>b) Alcohol consumption</w:t>
      </w:r>
    </w:p>
    <w:p>
      <w:pPr>
        <w:pStyle w:val="Yo1Textpara"/>
        <w:rPr>
          <w:noProof/>
          <w:szCs w:val="22"/>
        </w:rPr>
      </w:pPr>
      <w:r>
        <w:rPr>
          <w:noProof/>
          <w:szCs w:val="22"/>
        </w:rPr>
        <w:t>Alcohol is one of the most widely available and most commonly used psychoactive substances</w:t>
      </w:r>
      <w:r>
        <w:rPr>
          <w:noProof/>
        </w:rPr>
        <w:t> </w:t>
      </w:r>
      <w:r>
        <w:rPr>
          <w:noProof/>
          <w:szCs w:val="22"/>
        </w:rPr>
        <w:t>(</w:t>
      </w:r>
      <w:r>
        <w:rPr>
          <w:rStyle w:val="FootnoteReference"/>
          <w:noProof/>
          <w:szCs w:val="22"/>
        </w:rPr>
        <w:footnoteReference w:id="38"/>
      </w:r>
      <w:r>
        <w:rPr>
          <w:noProof/>
          <w:szCs w:val="22"/>
        </w:rPr>
        <w:t>). However, drinking alcohol, especially frequent drinking and drunkenness is not without health risks. Apart from being connected to hundreds of medical conditions and diseases, it can have 'adverse psychological, social and physical health consequences, including academic failure, violence, accidents, injury, use of other substances and unprotected sexual intercourse'</w:t>
      </w:r>
      <w:r>
        <w:rPr>
          <w:noProof/>
        </w:rPr>
        <w:t> </w:t>
      </w:r>
      <w:r>
        <w:rPr>
          <w:noProof/>
          <w:szCs w:val="22"/>
        </w:rPr>
        <w:t>(</w:t>
      </w:r>
      <w:r>
        <w:rPr>
          <w:rStyle w:val="FootnoteReference"/>
          <w:noProof/>
          <w:szCs w:val="22"/>
        </w:rPr>
        <w:footnoteReference w:id="39"/>
      </w:r>
      <w:r>
        <w:rPr>
          <w:noProof/>
          <w:szCs w:val="22"/>
        </w:rPr>
        <w:t>). Not only the volume of alcohol consumed but also consumption patterns play an important role in this respect; for example, heavy episodic drinking (or 'binge drinking') is particularly risky for young people. Therefore it is important to pay attention to the drinking habits of young people, especially in the youngest age groups.</w:t>
      </w:r>
    </w:p>
    <w:p>
      <w:pPr>
        <w:pStyle w:val="Yo1Textpara"/>
        <w:rPr>
          <w:noProof/>
          <w:szCs w:val="22"/>
        </w:rPr>
      </w:pPr>
      <w:r>
        <w:rPr>
          <w:noProof/>
          <w:szCs w:val="22"/>
        </w:rPr>
        <w:t xml:space="preserve">Figure 4-E depicts the proportion of students turning 16 in the year of data collection who reported having been drunk at least once during the preceding 30 days. Data is from the European School Survey Project on Alcohol and Other Drugs (ESPAD). </w:t>
      </w:r>
    </w:p>
    <w:p>
      <w:pPr>
        <w:pStyle w:val="Yo5TitleFigure"/>
        <w:jc w:val="both"/>
      </w:pPr>
      <w:r>
        <w:rPr>
          <w:b/>
        </w:rPr>
        <w:t>Figure 4-E:</w:t>
      </w:r>
      <w:r>
        <w:t xml:space="preserve"> Proportion of students turning 16 who reported having been drunk at least once during the past 30 days, by country, 2011 and 2015</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2949"/>
        </w:trPr>
        <w:tc>
          <w:tcPr>
            <w:tcW w:w="533"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9869" w:type="dxa"/>
            <w:shd w:val="clear" w:color="auto" w:fill="auto"/>
          </w:tcPr>
          <w:p>
            <w:pPr>
              <w:pStyle w:val="Yo5TextNotes"/>
              <w:tabs>
                <w:tab w:val="clear" w:pos="1985"/>
                <w:tab w:val="left" w:pos="9248"/>
              </w:tabs>
              <w:ind w:left="176"/>
              <w:rPr>
                <w:noProof/>
                <w:lang w:eastAsia="en-GB"/>
              </w:rPr>
            </w:pPr>
            <w:r>
              <w:rPr>
                <w:noProof/>
                <w:lang w:eastAsia="en-GB"/>
              </w:rPr>
              <w:t xml:space="preserve">  %</w:t>
            </w:r>
            <w:r>
              <w:rPr>
                <w:noProof/>
                <w:lang w:eastAsia="en-GB"/>
              </w:rPr>
              <w:tab/>
              <w:t>%</w:t>
            </w:r>
          </w:p>
          <w:p>
            <w:pPr>
              <w:pStyle w:val="Yo5TextNotesafter"/>
              <w:rPr>
                <w:noProof/>
                <w:sz w:val="16"/>
              </w:rPr>
            </w:pPr>
            <w:r>
              <w:rPr>
                <w:noProof/>
              </w:rPr>
              <w:fldChar w:fldCharType="begin"/>
            </w:r>
            <w:r>
              <w:rPr>
                <w:noProof/>
              </w:rPr>
              <w:instrText xml:space="preserve"> INCLUDEPICTURE  "C:\\Users\\paredcr\\AppData\\Local\\Temp\\03_graph\\4_E_drunkenness.jpg" \* MERGEFORMATINET </w:instrText>
            </w:r>
            <w:r>
              <w:rPr>
                <w:noProof/>
              </w:rPr>
              <w:fldChar w:fldCharType="separate"/>
            </w:r>
            <w:r>
              <w:rPr>
                <w:noProof/>
              </w:rPr>
              <w:fldChar w:fldCharType="begin"/>
            </w:r>
            <w:r>
              <w:rPr>
                <w:noProof/>
              </w:rPr>
              <w:instrText xml:space="preserve"> INCLUDEPICTURE  "C:\\Users\\paredcr\\AppData\\Local\\Temp\\03_graph\\4_E_drunkenness.jpg" \* MERGEFORMATINET </w:instrText>
            </w:r>
            <w:r>
              <w:rPr>
                <w:noProof/>
              </w:rPr>
              <w:fldChar w:fldCharType="separate"/>
            </w:r>
            <w:r>
              <w:rPr>
                <w:noProof/>
              </w:rPr>
              <w:fldChar w:fldCharType="begin"/>
            </w:r>
            <w:r>
              <w:rPr>
                <w:noProof/>
              </w:rPr>
              <w:instrText xml:space="preserve"> INCLUDEPICTURE  "C:\\Users\\paredcr\\AppData\\Local\\Temp\\03_graph\\4_E_drunkenness.jpg" \* MERGEFORMATINET </w:instrText>
            </w:r>
            <w:r>
              <w:rPr>
                <w:noProof/>
              </w:rPr>
              <w:fldChar w:fldCharType="separate"/>
            </w:r>
            <w:r>
              <w:rPr>
                <w:noProof/>
              </w:rPr>
              <w:fldChar w:fldCharType="begin"/>
            </w:r>
            <w:r>
              <w:rPr>
                <w:noProof/>
              </w:rPr>
              <w:instrText xml:space="preserve"> INCLUDEPICTURE  "C:\\Users\\paredcr\\AppData\\Local\\Temp\\03_graph\\4_E_drunkenness.jpg" \* MERGEFORMATINET </w:instrText>
            </w:r>
            <w:r>
              <w:rPr>
                <w:noProof/>
              </w:rPr>
              <w:fldChar w:fldCharType="separate"/>
            </w:r>
            <w:r>
              <w:rPr>
                <w:noProof/>
              </w:rPr>
              <w:pict>
                <v:shape id="_x0000_i1026" type="#_x0000_t75" style="width:481.5pt;height:165.75pt">
                  <v:imagedata r:id="rId40" r:href="rId41"/>
                </v:shape>
              </w:pict>
            </w:r>
            <w:r>
              <w:rPr>
                <w:noProof/>
              </w:rPr>
              <w:fldChar w:fldCharType="end"/>
            </w:r>
            <w:r>
              <w:rPr>
                <w:noProof/>
              </w:rPr>
              <w:fldChar w:fldCharType="end"/>
            </w:r>
            <w:r>
              <w:rPr>
                <w:noProof/>
              </w:rPr>
              <w:fldChar w:fldCharType="end"/>
            </w:r>
            <w:r>
              <w:rPr>
                <w:noProof/>
              </w:rPr>
              <w:fldChar w:fldCharType="end"/>
            </w:r>
          </w:p>
        </w:tc>
      </w:tr>
    </w:tbl>
    <w:p>
      <w:pPr>
        <w:pStyle w:val="Yo5TextNotesbeforeafter"/>
        <w:rPr>
          <w:noProof/>
          <w:szCs w:val="14"/>
          <w:lang w:val="en-GB"/>
        </w:rPr>
      </w:pPr>
      <w:r>
        <w:rPr>
          <w:i/>
          <w:noProof/>
          <w:szCs w:val="14"/>
          <w:lang w:val="en-GB"/>
        </w:rPr>
        <w:t>Notes</w:t>
      </w:r>
      <w:r>
        <w:rPr>
          <w:noProof/>
          <w:szCs w:val="14"/>
          <w:lang w:val="en-GB"/>
        </w:rPr>
        <w:t>: The ESPAD target population is defined as students who turn 16 in the calendar year of the survey and are present in the classroom on the day of the survey. Students who were enrolled in regular, vocational, general or academic studies were included, excluding those who were enrolled in either special schools or special classes for students with learning disorders or severe physical disabilities.</w:t>
      </w:r>
    </w:p>
    <w:p>
      <w:pPr>
        <w:pStyle w:val="Yo5TextNotesbeforeafter"/>
        <w:rPr>
          <w:noProof/>
          <w:szCs w:val="14"/>
          <w:lang w:val="en-GB"/>
        </w:rPr>
      </w:pPr>
      <w:r>
        <w:rPr>
          <w:noProof/>
          <w:szCs w:val="14"/>
          <w:lang w:val="en-GB"/>
        </w:rPr>
        <w:t>Belgium: Data collection was limited to the Flemish Community of Belgium.</w:t>
      </w:r>
    </w:p>
    <w:p>
      <w:pPr>
        <w:pStyle w:val="Yo5TextNotesbeforeafter"/>
        <w:rPr>
          <w:noProof/>
          <w:szCs w:val="14"/>
          <w:lang w:val="en-GB"/>
        </w:rPr>
      </w:pPr>
      <w:r>
        <w:rPr>
          <w:noProof/>
          <w:szCs w:val="14"/>
          <w:lang w:val="en-GB"/>
        </w:rPr>
        <w:t>Germany (2011): Data collection was limited to five out of sixteen states (</w:t>
      </w:r>
      <w:r>
        <w:rPr>
          <w:i/>
          <w:noProof/>
          <w:szCs w:val="14"/>
          <w:lang w:val="en-GB"/>
        </w:rPr>
        <w:t>Bundesländer</w:t>
      </w:r>
      <w:r>
        <w:rPr>
          <w:noProof/>
          <w:szCs w:val="14"/>
          <w:lang w:val="en-GB"/>
        </w:rPr>
        <w:t>): Bavaria, Berlin, Brandenburg, Mecklenburg-Western Pomerania and Thuringia.</w:t>
      </w:r>
    </w:p>
    <w:p>
      <w:pPr>
        <w:pStyle w:val="Yo5TextNotesbeforeafter"/>
        <w:rPr>
          <w:noProof/>
          <w:szCs w:val="14"/>
          <w:lang w:val="en-GB"/>
        </w:rPr>
      </w:pPr>
      <w:r>
        <w:rPr>
          <w:noProof/>
          <w:szCs w:val="14"/>
          <w:lang w:val="en-GB"/>
        </w:rPr>
        <w:t>Spain: Data is from the Spanish national school survey. Nevertheless, since the instruments used in the Spanish survey overlap to a large degree with the ESPAD questionnaire, the methodology used allows for rough comparisons across countries.</w:t>
      </w:r>
    </w:p>
    <w:p>
      <w:pPr>
        <w:pStyle w:val="Yo5TextNotesbeforeafter"/>
        <w:rPr>
          <w:noProof/>
          <w:szCs w:val="14"/>
          <w:lang w:val="en-GB"/>
        </w:rPr>
      </w:pPr>
      <w:r>
        <w:rPr>
          <w:noProof/>
          <w:szCs w:val="14"/>
          <w:lang w:val="en-GB"/>
        </w:rPr>
        <w:t xml:space="preserve">United Kingdom (2011): Limited comparability of data due to the low school-participation rate. </w:t>
      </w:r>
    </w:p>
    <w:p>
      <w:pPr>
        <w:pStyle w:val="Yo5TextNotesbeforeafter"/>
        <w:spacing w:before="120"/>
        <w:rPr>
          <w:noProof/>
          <w:szCs w:val="14"/>
          <w:lang w:val="en-GB"/>
        </w:rPr>
      </w:pPr>
      <w:r>
        <w:rPr>
          <w:i/>
          <w:noProof/>
          <w:szCs w:val="14"/>
          <w:lang w:val="en-GB"/>
        </w:rPr>
        <w:t xml:space="preserve">Source: </w:t>
      </w:r>
      <w:r>
        <w:rPr>
          <w:noProof/>
          <w:szCs w:val="14"/>
          <w:lang w:val="en-GB"/>
        </w:rPr>
        <w:t>ESPAD Reports 2011 and 2015.</w:t>
      </w:r>
    </w:p>
    <w:p>
      <w:pPr>
        <w:pStyle w:val="Yo5TextNotesbeforeafter"/>
        <w:spacing w:before="0" w:after="0"/>
        <w:rPr>
          <w:noProof/>
          <w:szCs w:val="14"/>
          <w:lang w:val="en-GB"/>
        </w:rPr>
      </w:pPr>
    </w:p>
    <w:p>
      <w:pPr>
        <w:pStyle w:val="Yo1Textpara"/>
        <w:rPr>
          <w:noProof/>
          <w:szCs w:val="22"/>
        </w:rPr>
      </w:pPr>
      <w:r>
        <w:rPr>
          <w:noProof/>
          <w:szCs w:val="22"/>
        </w:rPr>
        <w:t>The figure shows a rather encouraging trend between 2011 and 2015: no country has registered a significant increase in the proportion of students reporting recent incidents of intoxication</w:t>
      </w:r>
      <w:r>
        <w:rPr>
          <w:noProof/>
        </w:rPr>
        <w:t> </w:t>
      </w:r>
      <w:r>
        <w:rPr>
          <w:noProof/>
          <w:szCs w:val="22"/>
        </w:rPr>
        <w:t>(</w:t>
      </w:r>
      <w:r>
        <w:rPr>
          <w:rStyle w:val="FootnoteReference"/>
          <w:noProof/>
          <w:szCs w:val="22"/>
        </w:rPr>
        <w:footnoteReference w:id="40"/>
      </w:r>
      <w:r>
        <w:rPr>
          <w:noProof/>
          <w:szCs w:val="22"/>
        </w:rPr>
        <w:t>). In addition, there have been substantial decreases in the proportion of students reporting on their recent drunkenness in several countries, especially in Ireland, Spain and Slovakia. Nevertheless, incidents of intoxication are still relatively common in Denmark, with almost one third of students experiencing drunkenness in the 30 days preceding the data collection. Other countries with a relatively high proportion of students (around or over 20</w:t>
      </w:r>
      <w:r>
        <w:rPr>
          <w:noProof/>
        </w:rPr>
        <w:t> </w:t>
      </w:r>
      <w:r>
        <w:rPr>
          <w:noProof/>
          <w:szCs w:val="22"/>
        </w:rPr>
        <w:t>%) reporting intoxication are Spain, Hungary and Austria.</w:t>
      </w:r>
    </w:p>
    <w:tbl>
      <w:tblPr>
        <w:tblpPr w:leftFromText="180" w:rightFromText="180" w:vertAnchor="text" w:horzAnchor="margin" w:tblpXSpec="right" w:tblpY="-34"/>
        <w:tblOverlap w:val="never"/>
        <w:tblW w:w="0" w:type="auto"/>
        <w:shd w:val="clear" w:color="auto" w:fill="FFA3A4"/>
        <w:tblLook w:val="04A0" w:firstRow="1" w:lastRow="0" w:firstColumn="1" w:lastColumn="0" w:noHBand="0" w:noVBand="1"/>
      </w:tblPr>
      <w:tblGrid>
        <w:gridCol w:w="3153"/>
      </w:tblGrid>
      <w:tr>
        <w:tc>
          <w:tcPr>
            <w:tcW w:w="3153" w:type="dxa"/>
            <w:shd w:val="clear" w:color="auto" w:fill="FFA3A4"/>
          </w:tcPr>
          <w:p>
            <w:pPr>
              <w:pStyle w:val="Yo12Encart"/>
              <w:framePr w:hSpace="0" w:wrap="auto" w:vAnchor="margin" w:hAnchor="text" w:xAlign="left" w:yAlign="inline"/>
              <w:suppressOverlap w:val="0"/>
              <w:rPr>
                <w:noProof/>
                <w:sz w:val="22"/>
                <w:szCs w:val="22"/>
              </w:rPr>
            </w:pPr>
            <w:r>
              <w:rPr>
                <w:noProof/>
                <w:sz w:val="22"/>
                <w:szCs w:val="22"/>
              </w:rPr>
              <w:t>Fewer 16 year-olds report recent incidents of intoxication than four years ago. Boys report more incidents of drunkenness than girls, though gender differences are relatively small in many countries.</w:t>
            </w:r>
          </w:p>
        </w:tc>
      </w:tr>
    </w:tbl>
    <w:p>
      <w:pPr>
        <w:pStyle w:val="Yo1Textpara"/>
        <w:rPr>
          <w:noProof/>
          <w:szCs w:val="22"/>
        </w:rPr>
      </w:pPr>
      <w:r>
        <w:rPr>
          <w:noProof/>
          <w:szCs w:val="22"/>
        </w:rPr>
        <w:t>Figure 4-F looks at gender differences in the reported incidence of drunkenness. As the figure depicts, in general, boys and girls report recent incidents of drunkenness in similar proportions in many of the European countries with available data. Nevertheless, there are more countries where incidents of intoxication are reported more often by boys than girls. Moreover, in Cyprus, Romania, Albania and Montenegro, boys are more than twice as likely to report drunkenness as girls (in Montenegro, this ratio is 3 to 1). As is evident from the map, the geographical patterns are similar to those for daily smoking habits (Figure 4-D), but are less pronounced.</w:t>
      </w:r>
    </w:p>
    <w:p>
      <w:pPr>
        <w:pStyle w:val="Yo5TitleFigure"/>
      </w:pPr>
      <w:r>
        <w:rPr>
          <w:b/>
        </w:rPr>
        <w:t>Figure 4-F:</w:t>
      </w:r>
      <w:r>
        <w:t xml:space="preserve"> Gender differences in the proportion of students turning 16 who reported having been drunk at least once during the past 30 days, 2015</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520"/>
        </w:trPr>
        <w:tc>
          <w:tcPr>
            <w:tcW w:w="533"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9869" w:type="dxa"/>
            <w:shd w:val="clear" w:color="auto" w:fill="auto"/>
          </w:tcPr>
          <w:tbl>
            <w:tblPr>
              <w:tblW w:w="9673"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846"/>
              <w:gridCol w:w="425"/>
              <w:gridCol w:w="3402"/>
            </w:tblGrid>
            <w:tr>
              <w:trPr>
                <w:trHeight w:val="539"/>
              </w:trPr>
              <w:tc>
                <w:tcPr>
                  <w:tcW w:w="5846" w:type="dxa"/>
                  <w:vMerge w:val="restart"/>
                  <w:tcBorders>
                    <w:right w:val="nil"/>
                  </w:tcBorders>
                  <w:shd w:val="clear" w:color="auto" w:fill="auto"/>
                </w:tcPr>
                <w:p>
                  <w:pPr>
                    <w:pStyle w:val="a75TextbaseTable"/>
                    <w:rPr>
                      <w:noProof/>
                    </w:rPr>
                  </w:pPr>
                  <w:r>
                    <w:rPr>
                      <w:noProof/>
                      <w:snapToGrid/>
                    </w:rPr>
                    <w:drawing>
                      <wp:inline distT="0" distB="0" distL="0" distR="0">
                        <wp:extent cx="3625850" cy="2790825"/>
                        <wp:effectExtent l="0" t="0" r="0" b="9525"/>
                        <wp:docPr id="22" name="Picture 22" descr="\\s-eacea-fs03-p\EACEA.A7\Youth\04_Reports\a_EU_Youth_Reports\2018\03_graph\4_F_drunkenness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cea-fs03-p\EACEA.A7\Youth\04_Reports\a_EU_Youth_Reports\2018\03_graph\4_F_drunkenness_gender.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3625850" cy="2790825"/>
                                </a:xfrm>
                                <a:prstGeom prst="rect">
                                  <a:avLst/>
                                </a:prstGeom>
                                <a:noFill/>
                                <a:ln>
                                  <a:noFill/>
                                </a:ln>
                              </pic:spPr>
                            </pic:pic>
                          </a:graphicData>
                        </a:graphic>
                      </wp:inline>
                    </w:drawing>
                  </w:r>
                </w:p>
              </w:tc>
              <w:tc>
                <w:tcPr>
                  <w:tcW w:w="425" w:type="dxa"/>
                  <w:tcBorders>
                    <w:top w:val="nil"/>
                    <w:left w:val="nil"/>
                    <w:bottom w:val="nil"/>
                    <w:right w:val="nil"/>
                  </w:tcBorders>
                  <w:vAlign w:val="center"/>
                </w:tcPr>
                <w:p>
                  <w:pPr>
                    <w:pStyle w:val="a75TextbaseTable"/>
                    <w:spacing w:beforeLines="20" w:before="48" w:after="20"/>
                    <w:rPr>
                      <w:noProof/>
                    </w:rPr>
                  </w:pPr>
                </w:p>
              </w:tc>
              <w:tc>
                <w:tcPr>
                  <w:tcW w:w="3402" w:type="dxa"/>
                  <w:tcBorders>
                    <w:top w:val="nil"/>
                    <w:left w:val="nil"/>
                    <w:bottom w:val="nil"/>
                  </w:tcBorders>
                  <w:shd w:val="clear" w:color="auto" w:fill="auto"/>
                  <w:vAlign w:val="center"/>
                </w:tcPr>
                <w:p>
                  <w:pPr>
                    <w:pStyle w:val="a75TextbaseTable"/>
                    <w:rPr>
                      <w:noProof/>
                    </w:rPr>
                  </w:pPr>
                </w:p>
              </w:tc>
            </w:tr>
            <w:t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Boys report recent incidents of intoxication more than twice as often as girls</w:t>
                  </w:r>
                </w:p>
              </w:tc>
            </w:tr>
            <w:t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Boys report recent incidents of intoxication more often than girls, but less than twice as often</w:t>
                  </w:r>
                </w:p>
              </w:tc>
            </w:tr>
            <w:tr>
              <w:trPr>
                <w:trHeight w:val="361"/>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Similar proportions of boys and girls report recent incidents of intoxication</w:t>
                  </w:r>
                </w:p>
              </w:tc>
            </w:tr>
            <w:t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Girls report recent incidents of intoxication more often than boys</w:t>
                  </w:r>
                </w:p>
              </w:tc>
            </w:tr>
            <w:tr>
              <w:trPr>
                <w:trHeight w:val="347"/>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27" name="Picture 27" descr="NAv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NAvaiT"/>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Data not collected</w:t>
                  </w:r>
                </w:p>
              </w:tc>
            </w:tr>
            <w:tr>
              <w:trPr>
                <w:trHeight w:val="402"/>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p>
              </w:tc>
            </w:tr>
            <w:tr>
              <w:trPr>
                <w:trHeight w:val="402"/>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p>
              </w:tc>
              <w:tc>
                <w:tcPr>
                  <w:tcW w:w="3402" w:type="dxa"/>
                  <w:tcBorders>
                    <w:top w:val="nil"/>
                    <w:left w:val="nil"/>
                    <w:bottom w:val="nil"/>
                  </w:tcBorders>
                  <w:shd w:val="clear" w:color="auto" w:fill="auto"/>
                  <w:vAlign w:val="center"/>
                </w:tcPr>
                <w:p>
                  <w:pPr>
                    <w:pStyle w:val="a75TextbaseTable"/>
                    <w:rPr>
                      <w:noProof/>
                    </w:rPr>
                  </w:pPr>
                </w:p>
              </w:tc>
            </w:tr>
          </w:tbl>
          <w:p>
            <w:pPr>
              <w:pStyle w:val="Yo5TextNotesafter"/>
              <w:rPr>
                <w:noProof/>
                <w:sz w:val="16"/>
              </w:rPr>
            </w:pPr>
          </w:p>
        </w:tc>
      </w:tr>
    </w:tbl>
    <w:p>
      <w:pPr>
        <w:pStyle w:val="Yo5TextNotesbeforeafter"/>
        <w:rPr>
          <w:noProof/>
          <w:szCs w:val="14"/>
          <w:lang w:val="en-GB"/>
        </w:rPr>
      </w:pPr>
      <w:r>
        <w:rPr>
          <w:i/>
          <w:noProof/>
          <w:szCs w:val="14"/>
          <w:lang w:val="en-GB"/>
        </w:rPr>
        <w:t>Notes</w:t>
      </w:r>
      <w:r>
        <w:rPr>
          <w:noProof/>
          <w:szCs w:val="14"/>
          <w:lang w:val="en-GB"/>
        </w:rPr>
        <w:t>: The ESPAD target population is defined as students who turn 16 in the calendar year of the survey and are present in the classroom on the day of the survey. Students who were enrolled in regular, vocational, general or academic studies were included, excluding those who were enrolled in either special schools or special classes for students with learning disorders or severe physical disabilities.</w:t>
      </w:r>
    </w:p>
    <w:p>
      <w:pPr>
        <w:pStyle w:val="Yo5TextNotesbeforeafter"/>
        <w:rPr>
          <w:noProof/>
          <w:szCs w:val="14"/>
          <w:lang w:val="en-GB"/>
        </w:rPr>
      </w:pPr>
      <w:r>
        <w:rPr>
          <w:noProof/>
          <w:szCs w:val="14"/>
          <w:lang w:val="en-GB"/>
        </w:rPr>
        <w:t>Spain: Data is from the Spanish national school survey. Nevertheless, since the instruments used in the Spanish survey overlap to a large degree with the ESPAD questionnaire, the methodology used allows for rough country comparisons.</w:t>
      </w:r>
    </w:p>
    <w:p>
      <w:pPr>
        <w:pStyle w:val="Yo5TextNotesbeforeafter"/>
        <w:rPr>
          <w:noProof/>
          <w:szCs w:val="14"/>
          <w:lang w:val="en-GB"/>
        </w:rPr>
      </w:pPr>
      <w:r>
        <w:rPr>
          <w:noProof/>
          <w:szCs w:val="14"/>
          <w:lang w:val="en-GB"/>
        </w:rPr>
        <w:t>The proportions of boys and girls reporting recent incidents of intoxication were regarded as similar if the boy/girl ratio was between 0.85 and 1.15.</w:t>
      </w:r>
    </w:p>
    <w:p>
      <w:pPr>
        <w:pStyle w:val="Yo5TextNotesbeforeafter"/>
        <w:spacing w:before="120"/>
        <w:rPr>
          <w:noProof/>
          <w:szCs w:val="14"/>
          <w:lang w:val="en-GB"/>
        </w:rPr>
      </w:pPr>
      <w:r>
        <w:rPr>
          <w:i/>
          <w:noProof/>
          <w:szCs w:val="14"/>
          <w:lang w:val="en-GB"/>
        </w:rPr>
        <w:t xml:space="preserve">Source: </w:t>
      </w:r>
      <w:r>
        <w:rPr>
          <w:noProof/>
          <w:szCs w:val="14"/>
          <w:lang w:val="en-GB"/>
        </w:rPr>
        <w:t>Own calculation based on</w:t>
      </w:r>
      <w:r>
        <w:rPr>
          <w:i/>
          <w:noProof/>
          <w:szCs w:val="14"/>
          <w:lang w:val="en-GB"/>
        </w:rPr>
        <w:t xml:space="preserve"> </w:t>
      </w:r>
      <w:r>
        <w:rPr>
          <w:noProof/>
          <w:szCs w:val="14"/>
          <w:lang w:val="en-GB"/>
        </w:rPr>
        <w:t>ESPAD Report 2015.</w:t>
      </w:r>
    </w:p>
    <w:p>
      <w:pPr>
        <w:pStyle w:val="Yo5TextNotesbeforeafter"/>
        <w:spacing w:before="0" w:after="0"/>
        <w:rPr>
          <w:noProof/>
          <w:szCs w:val="14"/>
          <w:lang w:val="en-GB"/>
        </w:rPr>
      </w:pPr>
    </w:p>
    <w:p>
      <w:pPr>
        <w:pStyle w:val="Yo1Textpara"/>
        <w:rPr>
          <w:noProof/>
          <w:szCs w:val="22"/>
        </w:rPr>
      </w:pPr>
      <w:r>
        <w:rPr>
          <w:noProof/>
          <w:szCs w:val="22"/>
        </w:rPr>
        <w:t>Besides recent incidents of intoxication, another important indicator on alcohol consumption which is highly relevant for young people is related to experiencing heavy episodic drinking. In the European Union, 15.4</w:t>
      </w:r>
      <w:r>
        <w:rPr>
          <w:noProof/>
        </w:rPr>
        <w:t> </w:t>
      </w:r>
      <w:r>
        <w:rPr>
          <w:noProof/>
          <w:szCs w:val="22"/>
        </w:rPr>
        <w:t>% of 15-19 year-olds reported monthly experiences of heavy episodic drinking in 2014, but this proportion was over 40</w:t>
      </w:r>
      <w:r>
        <w:rPr>
          <w:noProof/>
        </w:rPr>
        <w:t> </w:t>
      </w:r>
      <w:r>
        <w:rPr>
          <w:noProof/>
          <w:szCs w:val="22"/>
        </w:rPr>
        <w:t>% in Denmark and Norway, and over 30</w:t>
      </w:r>
      <w:r>
        <w:rPr>
          <w:noProof/>
        </w:rPr>
        <w:t> </w:t>
      </w:r>
      <w:r>
        <w:rPr>
          <w:noProof/>
          <w:szCs w:val="22"/>
        </w:rPr>
        <w:t>% in Belgium and Austria</w:t>
      </w:r>
      <w:r>
        <w:rPr>
          <w:noProof/>
        </w:rPr>
        <w:t> </w:t>
      </w:r>
      <w:r>
        <w:rPr>
          <w:noProof/>
          <w:szCs w:val="22"/>
        </w:rPr>
        <w:t>(</w:t>
      </w:r>
      <w:r>
        <w:rPr>
          <w:rStyle w:val="FootnoteReference"/>
          <w:noProof/>
          <w:szCs w:val="22"/>
        </w:rPr>
        <w:footnoteReference w:id="41"/>
      </w:r>
      <w:r>
        <w:rPr>
          <w:noProof/>
          <w:szCs w:val="22"/>
        </w:rPr>
        <w:t>). Regarding gender differences, 15-19 year-old boys reported monthly episodes of heavy drinking more frequently than their female peers. Differences are greatest in Croatia, Cyprus, Hungary, Poland and Turkey. On the other hand, higher proportions of 15-19 year-old girls than boys experience heavy episodic drinking every month in Denmark, the United Kingdom and Iceland</w:t>
      </w:r>
      <w:r>
        <w:rPr>
          <w:noProof/>
        </w:rPr>
        <w:t> </w:t>
      </w:r>
      <w:r>
        <w:rPr>
          <w:noProof/>
          <w:szCs w:val="22"/>
        </w:rPr>
        <w:t>(</w:t>
      </w:r>
      <w:r>
        <w:rPr>
          <w:rStyle w:val="FootnoteReference"/>
          <w:noProof/>
          <w:szCs w:val="22"/>
        </w:rPr>
        <w:footnoteReference w:id="42"/>
      </w:r>
      <w:r>
        <w:rPr>
          <w:noProof/>
          <w:szCs w:val="22"/>
        </w:rPr>
        <w:t>).</w:t>
      </w:r>
    </w:p>
    <w:p>
      <w:pPr>
        <w:pStyle w:val="Yo5TextEUYouthTOC"/>
        <w:framePr w:hSpace="0" w:wrap="auto" w:vAnchor="margin" w:hAnchor="text" w:xAlign="left" w:yAlign="inline"/>
        <w:spacing w:before="240"/>
        <w:rPr>
          <w:rFonts w:eastAsia="Times New Roman"/>
          <w:color w:val="DA1E48"/>
          <w:spacing w:val="20"/>
          <w:sz w:val="24"/>
          <w:szCs w:val="24"/>
        </w:rPr>
      </w:pPr>
      <w:r>
        <w:rPr>
          <w:rFonts w:eastAsia="Times New Roman"/>
          <w:color w:val="DA1E48"/>
          <w:spacing w:val="20"/>
          <w:sz w:val="24"/>
          <w:szCs w:val="24"/>
        </w:rPr>
        <w:t>c) Cannabis use</w:t>
      </w:r>
    </w:p>
    <w:tbl>
      <w:tblPr>
        <w:tblpPr w:leftFromText="180" w:rightFromText="180" w:vertAnchor="text" w:horzAnchor="margin" w:tblpXSpec="right" w:tblpY="1341"/>
        <w:tblOverlap w:val="never"/>
        <w:tblW w:w="0" w:type="auto"/>
        <w:shd w:val="clear" w:color="auto" w:fill="FFA3A4"/>
        <w:tblLook w:val="04A0" w:firstRow="1" w:lastRow="0" w:firstColumn="1" w:lastColumn="0" w:noHBand="0" w:noVBand="1"/>
      </w:tblPr>
      <w:tblGrid>
        <w:gridCol w:w="2977"/>
      </w:tblGrid>
      <w:tr>
        <w:tc>
          <w:tcPr>
            <w:tcW w:w="2977"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Young people are more likely to use cannabis than older age groups. Young men are more prone to substance use than young women.</w:t>
            </w:r>
          </w:p>
        </w:tc>
      </w:tr>
    </w:tbl>
    <w:p>
      <w:pPr>
        <w:pStyle w:val="Yo1Textpara"/>
        <w:rPr>
          <w:noProof/>
          <w:szCs w:val="22"/>
        </w:rPr>
      </w:pPr>
      <w:r>
        <w:rPr>
          <w:noProof/>
          <w:szCs w:val="22"/>
        </w:rPr>
        <w:t>This section focuses on cannabis, the most popular drug used by young people. Though it can be harmless when consumed in moderation, cannabis use is a known risk factor for mental disorders</w:t>
      </w:r>
      <w:r>
        <w:rPr>
          <w:noProof/>
        </w:rPr>
        <w:t> </w:t>
      </w:r>
      <w:r>
        <w:rPr>
          <w:noProof/>
          <w:szCs w:val="22"/>
        </w:rPr>
        <w:t>(</w:t>
      </w:r>
      <w:r>
        <w:rPr>
          <w:noProof/>
          <w:szCs w:val="22"/>
          <w:vertAlign w:val="superscript"/>
        </w:rPr>
        <w:footnoteReference w:id="43"/>
      </w:r>
      <w:r>
        <w:rPr>
          <w:noProof/>
          <w:szCs w:val="22"/>
        </w:rPr>
        <w:t xml:space="preserve">). As with other forms of substance abuse, cannabis use is also linked to </w:t>
      </w:r>
      <w:r>
        <w:rPr>
          <w:noProof/>
        </w:rPr>
        <w:t>experiences of insecurity in young adulthood: for example, increasing unemployment rates among young people in recent periods have been associated with increasing levels of cannabis consumption (</w:t>
      </w:r>
      <w:r>
        <w:rPr>
          <w:rStyle w:val="FootnoteReference"/>
          <w:noProof/>
        </w:rPr>
        <w:footnoteReference w:id="44"/>
      </w:r>
      <w:r>
        <w:rPr>
          <w:noProof/>
        </w:rPr>
        <w:t>).</w:t>
      </w:r>
    </w:p>
    <w:p>
      <w:pPr>
        <w:pStyle w:val="Yo1Textpara"/>
        <w:rPr>
          <w:noProof/>
        </w:rPr>
      </w:pPr>
      <w:r>
        <w:rPr>
          <w:noProof/>
        </w:rPr>
        <w:t xml:space="preserve">Young people are more prone to using cannabis than older age groups: according to national surveys collected by the EMCDDA, in all countries with available data, the likelihood of using cannabis decreases with age. Thus, young people aged 15 to 24 are much more likely to use this substance than older age groups (Figure 4-G). In addition, </w:t>
      </w:r>
      <w:r>
        <w:rPr>
          <w:noProof/>
          <w:szCs w:val="22"/>
        </w:rPr>
        <w:t>cannabis use is associated with the other two most common forms of substance abuse: those who drink and smoke more are also more likely to use illicit drugs, mostly cannabis</w:t>
      </w:r>
      <w:r>
        <w:rPr>
          <w:noProof/>
        </w:rPr>
        <w:t> </w:t>
      </w:r>
      <w:r>
        <w:rPr>
          <w:noProof/>
          <w:szCs w:val="22"/>
        </w:rPr>
        <w:t>(</w:t>
      </w:r>
      <w:r>
        <w:rPr>
          <w:rStyle w:val="FootnoteReference"/>
          <w:noProof/>
          <w:szCs w:val="22"/>
        </w:rPr>
        <w:footnoteReference w:id="45"/>
      </w:r>
      <w:r>
        <w:rPr>
          <w:noProof/>
          <w:szCs w:val="22"/>
        </w:rPr>
        <w:t>).</w:t>
      </w:r>
    </w:p>
    <w:p>
      <w:pPr>
        <w:pStyle w:val="Yo5TitleFigure"/>
        <w:jc w:val="both"/>
      </w:pPr>
      <w:r>
        <w:rPr>
          <w:b/>
        </w:rPr>
        <w:t>Figure 4-G:</w:t>
      </w:r>
      <w:r>
        <w:t xml:space="preserve"> Prevalence of cannabis use in the past 12 months, by country and by age, year of the last available national survey</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520"/>
        </w:trPr>
        <w:tc>
          <w:tcPr>
            <w:tcW w:w="533" w:type="dxa"/>
            <w:shd w:val="clear" w:color="auto" w:fill="FB5F5F"/>
            <w:textDirection w:val="btLr"/>
            <w:vAlign w:val="bottom"/>
          </w:tcPr>
          <w:p>
            <w:pPr>
              <w:pStyle w:val="Yo13YouthIndicator"/>
              <w:jc w:val="center"/>
              <w:rPr>
                <w:noProof/>
                <w:lang w:eastAsia="fr-BE"/>
              </w:rPr>
            </w:pPr>
            <w:r>
              <w:rPr>
                <w:noProof/>
              </w:rPr>
              <w:t>EU youth indicator</w:t>
            </w:r>
          </w:p>
        </w:tc>
        <w:tc>
          <w:tcPr>
            <w:tcW w:w="9869" w:type="dxa"/>
            <w:shd w:val="clear" w:color="auto" w:fill="auto"/>
          </w:tcPr>
          <w:p>
            <w:pPr>
              <w:pStyle w:val="Yo5TextNotes"/>
              <w:tabs>
                <w:tab w:val="clear" w:pos="1985"/>
                <w:tab w:val="left" w:pos="9248"/>
              </w:tabs>
              <w:ind w:left="176"/>
              <w:rPr>
                <w:noProof/>
                <w:lang w:eastAsia="en-GB"/>
              </w:rPr>
            </w:pPr>
            <w:r>
              <w:rPr>
                <w:noProof/>
                <w:lang w:eastAsia="en-GB"/>
              </w:rPr>
              <w:t xml:space="preserve"> %</w:t>
            </w:r>
            <w:r>
              <w:rPr>
                <w:noProof/>
                <w:lang w:eastAsia="en-GB"/>
              </w:rPr>
              <w:tab/>
              <w:t>%</w:t>
            </w:r>
          </w:p>
          <w:p>
            <w:pPr>
              <w:pStyle w:val="Yo5TextNotesafter"/>
              <w:rPr>
                <w:noProof/>
                <w:sz w:val="16"/>
              </w:rPr>
            </w:pPr>
            <w:r>
              <w:rPr>
                <w:noProof/>
                <w:snapToGrid/>
              </w:rPr>
              <mc:AlternateContent>
                <mc:Choice Requires="wps">
                  <w:drawing>
                    <wp:anchor distT="0" distB="0" distL="114300" distR="114300" simplePos="0" relativeHeight="251659264" behindDoc="0" locked="0" layoutInCell="1" allowOverlap="1">
                      <wp:simplePos x="0" y="0"/>
                      <wp:positionH relativeFrom="column">
                        <wp:posOffset>2515235</wp:posOffset>
                      </wp:positionH>
                      <wp:positionV relativeFrom="paragraph">
                        <wp:posOffset>90805</wp:posOffset>
                      </wp:positionV>
                      <wp:extent cx="3348355" cy="329565"/>
                      <wp:effectExtent l="10160" t="5080" r="13335" b="825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329565"/>
                              </a:xfrm>
                              <a:prstGeom prst="rect">
                                <a:avLst/>
                              </a:prstGeom>
                              <a:solidFill>
                                <a:srgbClr val="FFFFFF"/>
                              </a:solidFill>
                              <a:ln w="9525">
                                <a:solidFill>
                                  <a:srgbClr val="FFFFFF"/>
                                </a:solidFill>
                                <a:miter lim="800000"/>
                                <a:headEnd/>
                                <a:tailEnd/>
                              </a:ln>
                            </wps:spPr>
                            <wps:txbx>
                              <w:txbxContent>
                                <w:tbl>
                                  <w:tblPr>
                                    <w:tblW w:w="0" w:type="auto"/>
                                    <w:jc w:val="center"/>
                                    <w:tblLayout w:type="fixed"/>
                                    <w:tblLook w:val="04A0" w:firstRow="1" w:lastRow="0" w:firstColumn="1" w:lastColumn="0" w:noHBand="0" w:noVBand="1"/>
                                  </w:tblPr>
                                  <w:tblGrid>
                                    <w:gridCol w:w="444"/>
                                    <w:gridCol w:w="1266"/>
                                    <w:gridCol w:w="447"/>
                                    <w:gridCol w:w="1044"/>
                                    <w:gridCol w:w="447"/>
                                    <w:gridCol w:w="1355"/>
                                  </w:tblGrid>
                                  <w:tr>
                                    <w:trPr>
                                      <w:jc w:val="center"/>
                                    </w:trPr>
                                    <w:tc>
                                      <w:tcPr>
                                        <w:tcW w:w="444" w:type="dxa"/>
                                        <w:shd w:val="clear" w:color="auto" w:fill="auto"/>
                                        <w:vAlign w:val="center"/>
                                      </w:tcPr>
                                      <w:p>
                                        <w:pPr>
                                          <w:pStyle w:val="p91Textpara"/>
                                          <w:spacing w:before="60" w:after="60" w:line="240" w:lineRule="auto"/>
                                          <w:jc w:val="left"/>
                                          <w:rPr>
                                            <w:color w:val="auto"/>
                                            <w:sz w:val="16"/>
                                            <w:szCs w:val="16"/>
                                          </w:rPr>
                                        </w:pPr>
                                        <w:r>
                                          <w:rPr>
                                            <w:noProof/>
                                            <w:lang w:val="en-US"/>
                                          </w:rPr>
                                          <w:drawing>
                                            <wp:inline distT="0" distB="0" distL="0" distR="0">
                                              <wp:extent cx="142875" cy="1428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266" w:type="dxa"/>
                                        <w:vAlign w:val="center"/>
                                      </w:tcPr>
                                      <w:p>
                                        <w:pPr>
                                          <w:pStyle w:val="p91Textpara"/>
                                          <w:spacing w:before="60" w:after="60" w:line="240" w:lineRule="auto"/>
                                          <w:jc w:val="center"/>
                                          <w:rPr>
                                            <w:rFonts w:eastAsia="Cambria"/>
                                            <w:bCs/>
                                            <w:noProof/>
                                            <w:color w:val="auto"/>
                                            <w:sz w:val="16"/>
                                            <w:szCs w:val="16"/>
                                          </w:rPr>
                                        </w:pPr>
                                        <w:r>
                                          <w:rPr>
                                            <w:color w:val="auto"/>
                                            <w:sz w:val="16"/>
                                            <w:szCs w:val="16"/>
                                          </w:rPr>
                                          <w:t>Aged 15-24</w:t>
                                        </w:r>
                                      </w:p>
                                    </w:tc>
                                    <w:tc>
                                      <w:tcPr>
                                        <w:tcW w:w="447" w:type="dxa"/>
                                        <w:shd w:val="clear" w:color="auto" w:fill="auto"/>
                                        <w:vAlign w:val="center"/>
                                      </w:tcPr>
                                      <w:p>
                                        <w:pPr>
                                          <w:pStyle w:val="p91Textpara"/>
                                          <w:spacing w:before="60" w:after="60" w:line="240" w:lineRule="auto"/>
                                          <w:jc w:val="left"/>
                                          <w:rPr>
                                            <w:color w:val="auto"/>
                                            <w:sz w:val="16"/>
                                            <w:szCs w:val="16"/>
                                          </w:rPr>
                                        </w:pPr>
                                        <w:r>
                                          <w:rPr>
                                            <w:noProof/>
                                            <w:lang w:val="en-US"/>
                                          </w:rPr>
                                          <w:drawing>
                                            <wp:inline distT="0" distB="0" distL="0" distR="0">
                                              <wp:extent cx="142875" cy="142875"/>
                                              <wp:effectExtent l="0" t="0" r="9525" b="9525"/>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44" w:type="dxa"/>
                                        <w:vAlign w:val="center"/>
                                      </w:tcPr>
                                      <w:p>
                                        <w:pPr>
                                          <w:pStyle w:val="p91Textpara"/>
                                          <w:spacing w:before="60" w:after="60" w:line="240" w:lineRule="auto"/>
                                          <w:jc w:val="center"/>
                                          <w:rPr>
                                            <w:rFonts w:eastAsia="Cambria"/>
                                            <w:bCs/>
                                            <w:noProof/>
                                            <w:color w:val="auto"/>
                                            <w:sz w:val="16"/>
                                            <w:szCs w:val="16"/>
                                          </w:rPr>
                                        </w:pPr>
                                        <w:r>
                                          <w:rPr>
                                            <w:rFonts w:eastAsia="Cambria"/>
                                            <w:bCs/>
                                            <w:noProof/>
                                            <w:color w:val="auto"/>
                                            <w:sz w:val="16"/>
                                            <w:szCs w:val="16"/>
                                          </w:rPr>
                                          <w:t>Aged 15-34</w:t>
                                        </w:r>
                                      </w:p>
                                    </w:tc>
                                    <w:tc>
                                      <w:tcPr>
                                        <w:tcW w:w="447" w:type="dxa"/>
                                      </w:tcPr>
                                      <w:p>
                                        <w:pPr>
                                          <w:pStyle w:val="p91Textpara"/>
                                          <w:spacing w:before="60" w:after="60" w:line="240" w:lineRule="auto"/>
                                          <w:jc w:val="left"/>
                                          <w:rPr>
                                            <w:color w:val="auto"/>
                                            <w:sz w:val="16"/>
                                            <w:szCs w:val="16"/>
                                          </w:rPr>
                                        </w:pPr>
                                        <w:r>
                                          <w:rPr>
                                            <w:noProof/>
                                            <w:sz w:val="16"/>
                                            <w:szCs w:val="16"/>
                                            <w:lang w:val="en-US"/>
                                          </w:rPr>
                                          <w:drawing>
                                            <wp:inline distT="0" distB="0" distL="0" distR="0">
                                              <wp:extent cx="142875" cy="142875"/>
                                              <wp:effectExtent l="0" t="0" r="9525" b="9525"/>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55" w:type="dxa"/>
                                        <w:vAlign w:val="center"/>
                                      </w:tcPr>
                                      <w:p>
                                        <w:pPr>
                                          <w:pStyle w:val="p91Textpara"/>
                                          <w:spacing w:before="60" w:after="60" w:line="240" w:lineRule="auto"/>
                                          <w:jc w:val="center"/>
                                          <w:rPr>
                                            <w:rFonts w:eastAsia="Cambria"/>
                                            <w:bCs/>
                                            <w:noProof/>
                                            <w:color w:val="auto"/>
                                            <w:sz w:val="16"/>
                                            <w:szCs w:val="16"/>
                                          </w:rPr>
                                        </w:pPr>
                                        <w:r>
                                          <w:rPr>
                                            <w:color w:val="auto"/>
                                            <w:sz w:val="16"/>
                                            <w:szCs w:val="16"/>
                                          </w:rPr>
                                          <w:t>Aged 15-64</w:t>
                                        </w:r>
                                      </w:p>
                                    </w:tc>
                                  </w:tr>
                                </w:tb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8.05pt;margin-top:7.15pt;width:263.65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" strokecolor="white">
                      <v:textbox>
                        <w:txbxContent>
                          <w:tbl>
                            <w:tblPr>
                              <w:tblW w:w="0" w:type="auto"/>
                              <w:jc w:val="center"/>
                              <w:tblLayout w:type="fixed"/>
                              <w:tblLook w:val="04A0" w:firstRow="1" w:lastRow="0" w:firstColumn="1" w:lastColumn="0" w:noHBand="0" w:noVBand="1"/>
                            </w:tblPr>
                            <w:tblGrid>
                              <w:gridCol w:w="444"/>
                              <w:gridCol w:w="1266"/>
                              <w:gridCol w:w="447"/>
                              <w:gridCol w:w="1044"/>
                              <w:gridCol w:w="447"/>
                              <w:gridCol w:w="1355"/>
                            </w:tblGrid>
                            <w:tr>
                              <w:trPr>
                                <w:jc w:val="center"/>
                              </w:trPr>
                              <w:tc>
                                <w:tcPr>
                                  <w:tcW w:w="444" w:type="dxa"/>
                                  <w:shd w:val="clear" w:color="auto" w:fill="auto"/>
                                  <w:vAlign w:val="center"/>
                                </w:tcPr>
                                <w:p>
                                  <w:pPr>
                                    <w:pStyle w:val="p91Textpara"/>
                                    <w:spacing w:before="60" w:after="60" w:line="240" w:lineRule="auto"/>
                                    <w:jc w:val="left"/>
                                    <w:rPr>
                                      <w:color w:val="auto"/>
                                      <w:sz w:val="16"/>
                                      <w:szCs w:val="16"/>
                                    </w:rPr>
                                  </w:pPr>
                                  <w:r>
                                    <w:rPr>
                                      <w:noProof/>
                                      <w:lang w:val="en-US"/>
                                    </w:rPr>
                                    <w:drawing>
                                      <wp:inline distT="0" distB="0" distL="0" distR="0">
                                        <wp:extent cx="142875" cy="1428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266" w:type="dxa"/>
                                  <w:vAlign w:val="center"/>
                                </w:tcPr>
                                <w:p>
                                  <w:pPr>
                                    <w:pStyle w:val="p91Textpara"/>
                                    <w:spacing w:before="60" w:after="60" w:line="240" w:lineRule="auto"/>
                                    <w:jc w:val="center"/>
                                    <w:rPr>
                                      <w:rFonts w:eastAsia="Cambria"/>
                                      <w:bCs/>
                                      <w:noProof/>
                                      <w:color w:val="auto"/>
                                      <w:sz w:val="16"/>
                                      <w:szCs w:val="16"/>
                                    </w:rPr>
                                  </w:pPr>
                                  <w:r>
                                    <w:rPr>
                                      <w:color w:val="auto"/>
                                      <w:sz w:val="16"/>
                                      <w:szCs w:val="16"/>
                                    </w:rPr>
                                    <w:t>Aged 15-24</w:t>
                                  </w:r>
                                </w:p>
                              </w:tc>
                              <w:tc>
                                <w:tcPr>
                                  <w:tcW w:w="447" w:type="dxa"/>
                                  <w:shd w:val="clear" w:color="auto" w:fill="auto"/>
                                  <w:vAlign w:val="center"/>
                                </w:tcPr>
                                <w:p>
                                  <w:pPr>
                                    <w:pStyle w:val="p91Textpara"/>
                                    <w:spacing w:before="60" w:after="60" w:line="240" w:lineRule="auto"/>
                                    <w:jc w:val="left"/>
                                    <w:rPr>
                                      <w:color w:val="auto"/>
                                      <w:sz w:val="16"/>
                                      <w:szCs w:val="16"/>
                                    </w:rPr>
                                  </w:pPr>
                                  <w:r>
                                    <w:rPr>
                                      <w:noProof/>
                                      <w:lang w:val="en-US"/>
                                    </w:rPr>
                                    <w:drawing>
                                      <wp:inline distT="0" distB="0" distL="0" distR="0">
                                        <wp:extent cx="142875" cy="142875"/>
                                        <wp:effectExtent l="0" t="0" r="9525" b="9525"/>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44" w:type="dxa"/>
                                  <w:vAlign w:val="center"/>
                                </w:tcPr>
                                <w:p>
                                  <w:pPr>
                                    <w:pStyle w:val="p91Textpara"/>
                                    <w:spacing w:before="60" w:after="60" w:line="240" w:lineRule="auto"/>
                                    <w:jc w:val="center"/>
                                    <w:rPr>
                                      <w:rFonts w:eastAsia="Cambria"/>
                                      <w:bCs/>
                                      <w:noProof/>
                                      <w:color w:val="auto"/>
                                      <w:sz w:val="16"/>
                                      <w:szCs w:val="16"/>
                                    </w:rPr>
                                  </w:pPr>
                                  <w:r>
                                    <w:rPr>
                                      <w:rFonts w:eastAsia="Cambria"/>
                                      <w:bCs/>
                                      <w:noProof/>
                                      <w:color w:val="auto"/>
                                      <w:sz w:val="16"/>
                                      <w:szCs w:val="16"/>
                                    </w:rPr>
                                    <w:t>Aged 15-34</w:t>
                                  </w:r>
                                </w:p>
                              </w:tc>
                              <w:tc>
                                <w:tcPr>
                                  <w:tcW w:w="447" w:type="dxa"/>
                                </w:tcPr>
                                <w:p>
                                  <w:pPr>
                                    <w:pStyle w:val="p91Textpara"/>
                                    <w:spacing w:before="60" w:after="60" w:line="240" w:lineRule="auto"/>
                                    <w:jc w:val="left"/>
                                    <w:rPr>
                                      <w:color w:val="auto"/>
                                      <w:sz w:val="16"/>
                                      <w:szCs w:val="16"/>
                                    </w:rPr>
                                  </w:pPr>
                                  <w:r>
                                    <w:rPr>
                                      <w:noProof/>
                                      <w:sz w:val="16"/>
                                      <w:szCs w:val="16"/>
                                      <w:lang w:val="en-US"/>
                                    </w:rPr>
                                    <w:drawing>
                                      <wp:inline distT="0" distB="0" distL="0" distR="0">
                                        <wp:extent cx="142875" cy="142875"/>
                                        <wp:effectExtent l="0" t="0" r="9525" b="9525"/>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55" w:type="dxa"/>
                                  <w:vAlign w:val="center"/>
                                </w:tcPr>
                                <w:p>
                                  <w:pPr>
                                    <w:pStyle w:val="p91Textpara"/>
                                    <w:spacing w:before="60" w:after="60" w:line="240" w:lineRule="auto"/>
                                    <w:jc w:val="center"/>
                                    <w:rPr>
                                      <w:rFonts w:eastAsia="Cambria"/>
                                      <w:bCs/>
                                      <w:noProof/>
                                      <w:color w:val="auto"/>
                                      <w:sz w:val="16"/>
                                      <w:szCs w:val="16"/>
                                    </w:rPr>
                                  </w:pPr>
                                  <w:r>
                                    <w:rPr>
                                      <w:color w:val="auto"/>
                                      <w:sz w:val="16"/>
                                      <w:szCs w:val="16"/>
                                    </w:rPr>
                                    <w:t>Aged 15-64</w:t>
                                  </w:r>
                                </w:p>
                              </w:tc>
                            </w:tr>
                          </w:tbl>
                          <w:p/>
                        </w:txbxContent>
                      </v:textbox>
                    </v:shape>
                  </w:pict>
                </mc:Fallback>
              </mc:AlternateContent>
            </w:r>
            <w:r>
              <w:rPr>
                <w:noProof/>
                <w:snapToGrid/>
              </w:rPr>
              <w:drawing>
                <wp:inline distT="0" distB="0" distL="0" distR="0">
                  <wp:extent cx="6122670" cy="1463040"/>
                  <wp:effectExtent l="0" t="0" r="0" b="3810"/>
                  <wp:docPr id="28" name="Picture 28" descr="\\s-eacea-fs03-p\EACEA.A7\Youth\04_Reports\a_EU_Youth_Reports\2018\03_graph\4_G_canna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cea-fs03-p\EACEA.A7\Youth\04_Reports\a_EU_Youth_Reports\2018\03_graph\4_G_cannabis.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6122670" cy="1463040"/>
                          </a:xfrm>
                          <a:prstGeom prst="rect">
                            <a:avLst/>
                          </a:prstGeom>
                          <a:noFill/>
                          <a:ln>
                            <a:noFill/>
                          </a:ln>
                        </pic:spPr>
                      </pic:pic>
                    </a:graphicData>
                  </a:graphic>
                </wp:inline>
              </w:drawing>
            </w:r>
          </w:p>
        </w:tc>
      </w:tr>
    </w:tbl>
    <w:p>
      <w:pPr>
        <w:pStyle w:val="Yo5TextNotesbeforeafter"/>
        <w:rPr>
          <w:noProof/>
          <w:lang w:val="en-GB"/>
        </w:rPr>
      </w:pPr>
      <w:r>
        <w:rPr>
          <w:i/>
          <w:noProof/>
          <w:lang w:val="en-GB"/>
        </w:rPr>
        <w:t xml:space="preserve">Notes: </w:t>
      </w:r>
      <w:r>
        <w:rPr>
          <w:noProof/>
          <w:lang w:val="en-GB"/>
        </w:rPr>
        <w:t>LU: 1998;</w:t>
      </w:r>
      <w:r>
        <w:rPr>
          <w:i/>
          <w:noProof/>
          <w:lang w:val="en-GB"/>
        </w:rPr>
        <w:t xml:space="preserve"> </w:t>
      </w:r>
      <w:r>
        <w:rPr>
          <w:noProof/>
          <w:lang w:val="en-GB"/>
        </w:rPr>
        <w:t>EL: 2004; HU: 2007; AT, EE: 2008; SK: 2010; IE, LV, TR: 2011; BG, DE, HR, CY, LT, PT, SI: 2012; BE, DK, ES, MT, RO: 2013; CZ, FR, IT, NL, PL, FI, SE, UK, NO: 2014.</w:t>
      </w:r>
    </w:p>
    <w:p>
      <w:pPr>
        <w:pStyle w:val="Yo5TextNotesbeforeafter"/>
        <w:rPr>
          <w:noProof/>
          <w:lang w:val="en-GB"/>
        </w:rPr>
      </w:pPr>
      <w:r>
        <w:rPr>
          <w:noProof/>
          <w:lang w:val="en-GB"/>
        </w:rPr>
        <w:t>United Kingdom: Data are for England and Wales only.</w:t>
      </w:r>
    </w:p>
    <w:p>
      <w:pPr>
        <w:pStyle w:val="Yo5TextNotesbeforeafter"/>
        <w:rPr>
          <w:noProof/>
          <w:lang w:val="en-US"/>
        </w:rPr>
      </w:pPr>
      <w:r>
        <w:rPr>
          <w:i/>
          <w:noProof/>
          <w:lang w:val="en-US"/>
        </w:rPr>
        <w:t>Source:</w:t>
      </w:r>
      <w:r>
        <w:rPr>
          <w:noProof/>
          <w:lang w:val="en-US"/>
        </w:rPr>
        <w:t xml:space="preserve"> EMCDDA.</w:t>
      </w:r>
    </w:p>
    <w:p>
      <w:pPr>
        <w:pStyle w:val="Yo5TextNotesbeforeafter"/>
        <w:rPr>
          <w:noProof/>
          <w:lang w:val="en-US"/>
        </w:rPr>
      </w:pPr>
    </w:p>
    <w:p>
      <w:pPr>
        <w:pStyle w:val="Yo1Textpara"/>
        <w:rPr>
          <w:noProof/>
        </w:rPr>
      </w:pPr>
      <w:r>
        <w:rPr>
          <w:noProof/>
        </w:rPr>
        <w:t>As Figure 4-G depicts, the proportion of young people using cannabis in the past 12 months is the highest in France (27.1 %), Czech Republic (26.8 %) and Denmark (23.9 %). Data for these countries are all based on relatively recent national surveys. The greatest differences between cannabis use among young adults and that of the wider population (between 15 and 64 years of age) are in Hungary, where young adults are more than four times more likely to have used cannabis in the past year than the wider adult population. The differential is also high in Croatia and Romania at three-and-a-half times.</w:t>
      </w:r>
    </w:p>
    <w:p>
      <w:pPr>
        <w:pStyle w:val="Yo1Textpara"/>
        <w:rPr>
          <w:noProof/>
        </w:rPr>
      </w:pPr>
      <w:r>
        <w:rPr>
          <w:noProof/>
        </w:rPr>
        <w:t>Given that data presented on Figure 4-G have different reference years for different countries, it is difficult to draw conclusions on recent trends in cannabis consumption. Nevertheless, ESPAD reports can provide some insight into the changes in cannabis consumption among 16 year-old students. According to ESPAD data, the 12-month prevalence of cannabis consumption increased significantly in Bulgaria, Croatia, Italy and Liechtenstein, while decreased in Belgium (Flemish Community), Denmark, France, Hungary, Latvia and Iceland (</w:t>
      </w:r>
      <w:r>
        <w:rPr>
          <w:rStyle w:val="FootnoteReference"/>
          <w:noProof/>
        </w:rPr>
        <w:footnoteReference w:id="46"/>
      </w:r>
      <w:r>
        <w:rPr>
          <w:noProof/>
        </w:rPr>
        <w:t>).</w:t>
      </w:r>
    </w:p>
    <w:p>
      <w:pPr>
        <w:pStyle w:val="Yo1Textpara"/>
        <w:rPr>
          <w:noProof/>
        </w:rPr>
      </w:pPr>
      <w:r>
        <w:rPr>
          <w:noProof/>
        </w:rPr>
        <w:t xml:space="preserve">As with regular smoking, men are more prone to cannabis use than women in all countries with available data (Figure 4-H). Nevertheless, geographical patterns are less clear-cut. Gender differences are the largest again in Turkey, though cannabis consumption is very low for both men and women. Young men are more than twice as likely to use cannabis as young women in Estonia, Ireland, Greece, Cyprus, Lithuania, Hungary and Poland. Differences are the smallest in Belgium. </w:t>
      </w:r>
    </w:p>
    <w:p>
      <w:pPr>
        <w:pStyle w:val="Yo5TitleFigure"/>
        <w:jc w:val="both"/>
      </w:pPr>
      <w:r>
        <w:rPr>
          <w:b/>
        </w:rPr>
        <w:t>Figure 4-H:</w:t>
      </w:r>
      <w:r>
        <w:t xml:space="preserve"> Gender differences in the prevalence of cannabis use in the past 12 months among young people aged 15-24, year of the last available national survey</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520"/>
        </w:trPr>
        <w:tc>
          <w:tcPr>
            <w:tcW w:w="533" w:type="dxa"/>
            <w:shd w:val="clear" w:color="auto" w:fill="FB5F5F"/>
            <w:textDirection w:val="btLr"/>
            <w:vAlign w:val="bottom"/>
          </w:tcPr>
          <w:p>
            <w:pPr>
              <w:pStyle w:val="Yo13YouthIndicator"/>
              <w:jc w:val="center"/>
              <w:rPr>
                <w:noProof/>
                <w:lang w:eastAsia="fr-BE"/>
              </w:rPr>
            </w:pPr>
            <w:r>
              <w:rPr>
                <w:noProof/>
              </w:rPr>
              <w:t>EU youth indicator</w:t>
            </w:r>
          </w:p>
        </w:tc>
        <w:tc>
          <w:tcPr>
            <w:tcW w:w="9869" w:type="dxa"/>
            <w:shd w:val="clear" w:color="auto" w:fill="auto"/>
          </w:tcPr>
          <w:tbl>
            <w:tblPr>
              <w:tblW w:w="9673"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846"/>
              <w:gridCol w:w="425"/>
              <w:gridCol w:w="3402"/>
            </w:tblGrid>
            <w:tr>
              <w:trPr>
                <w:trHeight w:val="539"/>
              </w:trPr>
              <w:tc>
                <w:tcPr>
                  <w:tcW w:w="5846" w:type="dxa"/>
                  <w:vMerge w:val="restart"/>
                  <w:tcBorders>
                    <w:right w:val="nil"/>
                  </w:tcBorders>
                  <w:shd w:val="clear" w:color="auto" w:fill="auto"/>
                </w:tcPr>
                <w:p>
                  <w:pPr>
                    <w:pStyle w:val="a75TextbaseTable"/>
                    <w:rPr>
                      <w:noProof/>
                    </w:rPr>
                  </w:pPr>
                  <w:r>
                    <w:rPr>
                      <w:noProof/>
                      <w:snapToGrid/>
                    </w:rPr>
                    <w:drawing>
                      <wp:inline distT="0" distB="0" distL="0" distR="0">
                        <wp:extent cx="3625850" cy="2711450"/>
                        <wp:effectExtent l="0" t="0" r="0" b="0"/>
                        <wp:docPr id="29" name="Picture 29" descr="\\s-eacea-fs03-p\EACEA.A7\Youth\04_Reports\a_EU_Youth_Reports\2018\03_graph\4_H_cannabis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acea-fs03-p\EACEA.A7\Youth\04_Reports\a_EU_Youth_Reports\2018\03_graph\4_H_cannabis_gender.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625850" cy="2711450"/>
                                </a:xfrm>
                                <a:prstGeom prst="rect">
                                  <a:avLst/>
                                </a:prstGeom>
                                <a:noFill/>
                                <a:ln>
                                  <a:noFill/>
                                </a:ln>
                              </pic:spPr>
                            </pic:pic>
                          </a:graphicData>
                        </a:graphic>
                      </wp:inline>
                    </w:drawing>
                  </w:r>
                </w:p>
              </w:tc>
              <w:tc>
                <w:tcPr>
                  <w:tcW w:w="425" w:type="dxa"/>
                  <w:tcBorders>
                    <w:top w:val="nil"/>
                    <w:left w:val="nil"/>
                    <w:bottom w:val="nil"/>
                    <w:right w:val="nil"/>
                  </w:tcBorders>
                  <w:vAlign w:val="center"/>
                </w:tcPr>
                <w:p>
                  <w:pPr>
                    <w:pStyle w:val="a75TextbaseTable"/>
                    <w:spacing w:beforeLines="20" w:before="48" w:after="20"/>
                    <w:rPr>
                      <w:noProof/>
                    </w:rPr>
                  </w:pPr>
                </w:p>
              </w:tc>
              <w:tc>
                <w:tcPr>
                  <w:tcW w:w="3402" w:type="dxa"/>
                  <w:tcBorders>
                    <w:top w:val="nil"/>
                    <w:left w:val="nil"/>
                    <w:bottom w:val="nil"/>
                  </w:tcBorders>
                  <w:shd w:val="clear" w:color="auto" w:fill="auto"/>
                  <w:vAlign w:val="center"/>
                </w:tcPr>
                <w:p>
                  <w:pPr>
                    <w:pStyle w:val="a75TextbaseTable"/>
                    <w:rPr>
                      <w:noProof/>
                    </w:rPr>
                  </w:pPr>
                </w:p>
              </w:tc>
            </w:tr>
            <w:t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Proportion of cannabis users among young men is more than five times larger than among young women</w:t>
                  </w:r>
                </w:p>
              </w:tc>
            </w:tr>
            <w:t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Proportion of cannabis users among young men is more than the double of the proportion of cannabis users among young women</w:t>
                  </w:r>
                </w:p>
              </w:tc>
            </w:tr>
            <w:tr>
              <w:trPr>
                <w:trHeight w:val="361"/>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 xml:space="preserve">Cannabis use was considerably higher among young men than among young women </w:t>
                  </w:r>
                </w:p>
              </w:tc>
            </w:tr>
            <w:t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Cannabis use was somewhat higher among young men than among young women</w:t>
                  </w:r>
                </w:p>
              </w:tc>
            </w:tr>
            <w:tr>
              <w:trPr>
                <w:trHeight w:val="347"/>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34" name="Picture 34" descr="NAv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NAvaiT"/>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Data not available/not collected</w:t>
                  </w:r>
                </w:p>
              </w:tc>
            </w:tr>
            <w:tr>
              <w:trPr>
                <w:trHeight w:val="402"/>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p>
              </w:tc>
            </w:tr>
            <w:tr>
              <w:trPr>
                <w:trHeight w:val="402"/>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p>
              </w:tc>
              <w:tc>
                <w:tcPr>
                  <w:tcW w:w="3402" w:type="dxa"/>
                  <w:tcBorders>
                    <w:top w:val="nil"/>
                    <w:left w:val="nil"/>
                    <w:bottom w:val="nil"/>
                  </w:tcBorders>
                  <w:shd w:val="clear" w:color="auto" w:fill="auto"/>
                  <w:vAlign w:val="center"/>
                </w:tcPr>
                <w:p>
                  <w:pPr>
                    <w:pStyle w:val="a75TextbaseTable"/>
                    <w:rPr>
                      <w:noProof/>
                    </w:rPr>
                  </w:pPr>
                </w:p>
              </w:tc>
            </w:tr>
          </w:tbl>
          <w:p>
            <w:pPr>
              <w:pStyle w:val="Yo5TextNotesafter"/>
              <w:rPr>
                <w:noProof/>
                <w:sz w:val="16"/>
              </w:rPr>
            </w:pPr>
          </w:p>
        </w:tc>
      </w:tr>
    </w:tbl>
    <w:p>
      <w:pPr>
        <w:pStyle w:val="Yo5TextNotesbeforeafter"/>
        <w:rPr>
          <w:noProof/>
          <w:lang w:val="en-GB"/>
        </w:rPr>
      </w:pPr>
      <w:r>
        <w:rPr>
          <w:i/>
          <w:noProof/>
          <w:lang w:val="en-GB"/>
        </w:rPr>
        <w:t xml:space="preserve">Notes: </w:t>
      </w:r>
      <w:r>
        <w:rPr>
          <w:noProof/>
          <w:lang w:val="en-GB"/>
        </w:rPr>
        <w:t>LU: 1998;</w:t>
      </w:r>
      <w:r>
        <w:rPr>
          <w:i/>
          <w:noProof/>
          <w:lang w:val="en-GB"/>
        </w:rPr>
        <w:t xml:space="preserve"> </w:t>
      </w:r>
      <w:r>
        <w:rPr>
          <w:noProof/>
          <w:lang w:val="en-GB"/>
        </w:rPr>
        <w:t>EL: 2004; HU: 2007; AT, EE: 2008; SK: 2010; IE, LV, TR: 2011; BG, DE, HR, CY, LT, PT, SI: 2012; BE, DK, ES, MT, RO: 2013; CZ, FR, IT, NL, PL, FI, SE, UK, NO: 2014.</w:t>
      </w:r>
    </w:p>
    <w:p>
      <w:pPr>
        <w:pStyle w:val="Yo5TextNotesbeforeafter"/>
        <w:rPr>
          <w:noProof/>
          <w:szCs w:val="14"/>
          <w:lang w:val="en-GB"/>
        </w:rPr>
      </w:pPr>
      <w:r>
        <w:rPr>
          <w:noProof/>
          <w:szCs w:val="14"/>
          <w:lang w:val="en-GB"/>
        </w:rPr>
        <w:t>The prevalence of cannabis use in the past year among young men is regarded as 'considerably higher' than among young women if the male/female ratio was between 1.5 and 2; and it is regarded as 'somewhat higher' if the ratio was between 1.15 and 1.5.</w:t>
      </w:r>
    </w:p>
    <w:p>
      <w:pPr>
        <w:pStyle w:val="Yo5TextNotesbeforeafter"/>
        <w:rPr>
          <w:noProof/>
          <w:lang w:val="en-US"/>
        </w:rPr>
      </w:pPr>
      <w:r>
        <w:rPr>
          <w:i/>
          <w:noProof/>
          <w:lang w:val="en-US"/>
        </w:rPr>
        <w:t>Source:</w:t>
      </w:r>
      <w:r>
        <w:rPr>
          <w:noProof/>
          <w:lang w:val="en-US"/>
        </w:rPr>
        <w:t xml:space="preserve"> EMCDDA.</w:t>
      </w:r>
    </w:p>
    <w:p>
      <w:pPr>
        <w:pStyle w:val="Yo5TextNotesbeforeafter"/>
        <w:rPr>
          <w:noProof/>
          <w:lang w:val="en-GB"/>
        </w:rPr>
      </w:pPr>
    </w:p>
    <w:p>
      <w:pPr>
        <w:pStyle w:val="Yo5TextEUYouthTOC"/>
        <w:framePr w:hSpace="0" w:wrap="auto" w:vAnchor="margin" w:hAnchor="text" w:xAlign="left" w:yAlign="inline"/>
        <w:rPr>
          <w:rFonts w:eastAsia="Times New Roman"/>
          <w:color w:val="DA1E48"/>
          <w:spacing w:val="20"/>
          <w:sz w:val="24"/>
          <w:szCs w:val="24"/>
        </w:rPr>
      </w:pPr>
      <w:r>
        <w:rPr>
          <w:rFonts w:eastAsia="Times New Roman"/>
          <w:b w:val="0"/>
          <w:color w:val="DA1E48"/>
          <w:spacing w:val="20"/>
          <w:sz w:val="24"/>
          <w:szCs w:val="24"/>
        </w:rPr>
        <w:br w:type="page"/>
      </w:r>
      <w:r>
        <w:rPr>
          <w:rFonts w:eastAsia="Times New Roman"/>
          <w:color w:val="DA1E48"/>
          <w:spacing w:val="20"/>
          <w:sz w:val="24"/>
          <w:szCs w:val="24"/>
        </w:rPr>
        <w:t>4.2.3. Road traffic accidents resulting in injury</w:t>
      </w:r>
    </w:p>
    <w:tbl>
      <w:tblPr>
        <w:tblpPr w:leftFromText="180" w:rightFromText="180" w:vertAnchor="text" w:horzAnchor="margin" w:tblpXSpec="right" w:tblpY="1569"/>
        <w:tblOverlap w:val="never"/>
        <w:tblW w:w="0" w:type="auto"/>
        <w:shd w:val="clear" w:color="auto" w:fill="FFA3A4"/>
        <w:tblLook w:val="04A0" w:firstRow="1" w:lastRow="0" w:firstColumn="1" w:lastColumn="0" w:noHBand="0" w:noVBand="1"/>
      </w:tblPr>
      <w:tblGrid>
        <w:gridCol w:w="2977"/>
      </w:tblGrid>
      <w:tr>
        <w:tc>
          <w:tcPr>
            <w:tcW w:w="2977"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Though the proportion of young people involved in road traffic accidents decreased in many countries, they are still overrepresented among people reporting related injuries. Young men are more prone to risky behaviour than young women.</w:t>
            </w:r>
          </w:p>
        </w:tc>
      </w:tr>
    </w:tbl>
    <w:p>
      <w:pPr>
        <w:pStyle w:val="Yo1Textpara"/>
        <w:rPr>
          <w:noProof/>
        </w:rPr>
      </w:pPr>
      <w:r>
        <w:rPr>
          <w:noProof/>
        </w:rPr>
        <w:t>Risk behaviours affecting young people include dangerous driving or driving without due care and attention. These can be operationalised by looking at road traffic accidents resulting in injury. Young people are much more prone to having such accidents than older generations, due to a mixture of different factors such as inexperience, more risk-taking, as well as having a tendency to drive at night, under the influence of drugs and alcohol, or letting themselves be distracted, for example by mobile phones (</w:t>
      </w:r>
      <w:r>
        <w:rPr>
          <w:rStyle w:val="FootnoteReference"/>
          <w:noProof/>
        </w:rPr>
        <w:footnoteReference w:id="47"/>
      </w:r>
      <w:r>
        <w:rPr>
          <w:noProof/>
        </w:rPr>
        <w:t>). In fact, injuries resulting from road accidents are the leading cause of death and disability among young people (</w:t>
      </w:r>
      <w:r>
        <w:rPr>
          <w:noProof/>
          <w:vertAlign w:val="superscript"/>
        </w:rPr>
        <w:footnoteReference w:id="48"/>
      </w:r>
      <w:r>
        <w:rPr>
          <w:noProof/>
        </w:rPr>
        <w:t>). As Figure 4-I-b shows, in 2014, in the EU-28 on average, 2.8 % of young people aged 15-24 reported a road traffic accident resulting in injury, while this proportion is 2.3 % among 25 to 29 year-olds and only 1.7 % within the total population.</w:t>
      </w:r>
    </w:p>
    <w:p>
      <w:pPr>
        <w:pStyle w:val="Yo1Textpara"/>
        <w:rPr>
          <w:noProof/>
        </w:rPr>
      </w:pPr>
      <w:r>
        <w:rPr>
          <w:noProof/>
        </w:rPr>
        <w:t>Young people's likelihood of being involved in road traffic accidents resulting in injury however varies quite substantially among European countries. While over 5 % of young people aged 15-24 reported such accidents in Slovenia and Iceland, this proportion remained below 1 % in Bulgaria, Czech Republic, Romania and Slovakia.</w:t>
      </w:r>
    </w:p>
    <w:p>
      <w:pPr>
        <w:pStyle w:val="Yo5TitleFigure"/>
        <w:jc w:val="both"/>
      </w:pPr>
      <w:r>
        <w:rPr>
          <w:b/>
        </w:rPr>
        <w:t>Figure 4-I:</w:t>
      </w:r>
      <w:r>
        <w:t xml:space="preserve"> Young people aged 15-24 reporting a road traffic accident resulting in injury, by country, 2008 and 2014</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2694"/>
        <w:gridCol w:w="7175"/>
      </w:tblGrid>
      <w:tr>
        <w:trPr>
          <w:trHeight w:val="520"/>
        </w:trPr>
        <w:tc>
          <w:tcPr>
            <w:tcW w:w="533"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9869" w:type="dxa"/>
            <w:gridSpan w:val="2"/>
            <w:tcBorders>
              <w:bottom w:val="nil"/>
            </w:tcBorders>
            <w:shd w:val="clear" w:color="auto" w:fill="auto"/>
          </w:tcPr>
          <w:p>
            <w:pPr>
              <w:pStyle w:val="Yo5TextNotes"/>
              <w:tabs>
                <w:tab w:val="clear" w:pos="1985"/>
                <w:tab w:val="left" w:pos="9248"/>
              </w:tabs>
              <w:ind w:left="176"/>
              <w:rPr>
                <w:noProof/>
                <w:lang w:eastAsia="en-GB"/>
              </w:rPr>
            </w:pPr>
            <w:r>
              <w:rPr>
                <w:noProof/>
                <w:lang w:eastAsia="en-GB"/>
              </w:rPr>
              <w:t xml:space="preserve"> %</w:t>
            </w:r>
            <w:r>
              <w:rPr>
                <w:noProof/>
                <w:lang w:eastAsia="en-GB"/>
              </w:rPr>
              <w:tab/>
              <w:t>%</w:t>
            </w:r>
          </w:p>
          <w:p>
            <w:pPr>
              <w:pStyle w:val="Yo5TextNotesafter"/>
              <w:rPr>
                <w:noProof/>
                <w:sz w:val="16"/>
              </w:rPr>
            </w:pPr>
            <w:r>
              <w:rPr>
                <w:noProof/>
              </w:rPr>
              <w:fldChar w:fldCharType="begin"/>
            </w:r>
            <w:r>
              <w:rPr>
                <w:noProof/>
              </w:rPr>
              <w:instrText xml:space="preserve"> INCLUDEPICTURE  "C:\\Users\\paredcr\\AppData\\Local\\Temp\\03_graph\\4_I_accidents.jpg" \* MERGEFORMATINET </w:instrText>
            </w:r>
            <w:r>
              <w:rPr>
                <w:noProof/>
              </w:rPr>
              <w:fldChar w:fldCharType="separate"/>
            </w:r>
            <w:r>
              <w:rPr>
                <w:noProof/>
              </w:rPr>
              <w:fldChar w:fldCharType="begin"/>
            </w:r>
            <w:r>
              <w:rPr>
                <w:noProof/>
              </w:rPr>
              <w:instrText xml:space="preserve"> INCLUDEPICTURE  "C:\\Users\\paredcr\\AppData\\Local\\Temp\\03_graph\\4_I_accidents.jpg" \* MERGEFORMATINET </w:instrText>
            </w:r>
            <w:r>
              <w:rPr>
                <w:noProof/>
              </w:rPr>
              <w:fldChar w:fldCharType="separate"/>
            </w:r>
            <w:r>
              <w:rPr>
                <w:noProof/>
              </w:rPr>
              <w:fldChar w:fldCharType="begin"/>
            </w:r>
            <w:r>
              <w:rPr>
                <w:noProof/>
              </w:rPr>
              <w:instrText xml:space="preserve"> INCLUDEPICTURE  "C:\\Users\\paredcr\\AppData\\Local\\Temp\\03_graph\\4_I_accidents.jpg" \* MERGEFORMATINET </w:instrText>
            </w:r>
            <w:r>
              <w:rPr>
                <w:noProof/>
              </w:rPr>
              <w:fldChar w:fldCharType="separate"/>
            </w:r>
            <w:r>
              <w:rPr>
                <w:noProof/>
              </w:rPr>
              <w:fldChar w:fldCharType="begin"/>
            </w:r>
            <w:r>
              <w:rPr>
                <w:noProof/>
              </w:rPr>
              <w:instrText xml:space="preserve"> INCLUDEPICTURE  "C:\\Users\\paredcr\\AppData\\Local\\Temp\\03_graph\\4_I_accidents.jpg" \* MERGEFORMATINET </w:instrText>
            </w:r>
            <w:r>
              <w:rPr>
                <w:noProof/>
              </w:rPr>
              <w:fldChar w:fldCharType="separate"/>
            </w:r>
            <w:r>
              <w:rPr>
                <w:noProof/>
              </w:rPr>
              <w:pict>
                <v:shape id="_x0000_i1027" type="#_x0000_t75" style="width:481.5pt;height:165.75pt">
                  <v:imagedata r:id="rId52" r:href="rId53"/>
                </v:shape>
              </w:pict>
            </w:r>
            <w:r>
              <w:rPr>
                <w:noProof/>
              </w:rPr>
              <w:fldChar w:fldCharType="end"/>
            </w:r>
            <w:r>
              <w:rPr>
                <w:noProof/>
              </w:rPr>
              <w:fldChar w:fldCharType="end"/>
            </w:r>
            <w:r>
              <w:rPr>
                <w:noProof/>
              </w:rPr>
              <w:fldChar w:fldCharType="end"/>
            </w:r>
            <w:r>
              <w:rPr>
                <w:noProof/>
              </w:rPr>
              <w:fldChar w:fldCharType="end"/>
            </w:r>
          </w:p>
        </w:tc>
      </w:tr>
      <w:tr>
        <w:trPr>
          <w:trHeight w:val="374"/>
        </w:trPr>
        <w:tc>
          <w:tcPr>
            <w:tcW w:w="533" w:type="dxa"/>
            <w:vMerge/>
            <w:shd w:val="clear" w:color="auto" w:fill="FB5F5F"/>
            <w:textDirection w:val="btLr"/>
            <w:vAlign w:val="bottom"/>
          </w:tcPr>
          <w:p>
            <w:pPr>
              <w:spacing w:after="0" w:line="240" w:lineRule="auto"/>
              <w:ind w:left="113" w:right="113"/>
              <w:rPr>
                <w:b/>
                <w:noProof/>
                <w:color w:val="FFFFFF"/>
                <w:sz w:val="16"/>
              </w:rPr>
            </w:pPr>
          </w:p>
        </w:tc>
        <w:tc>
          <w:tcPr>
            <w:tcW w:w="2694" w:type="dxa"/>
            <w:tcBorders>
              <w:top w:val="nil"/>
              <w:right w:val="nil"/>
            </w:tcBorders>
            <w:shd w:val="clear" w:color="auto" w:fill="auto"/>
            <w:tcMar>
              <w:left w:w="198" w:type="dxa"/>
            </w:tcMar>
          </w:tcPr>
          <w:p>
            <w:pPr>
              <w:pStyle w:val="Yo5TitleFigure"/>
              <w:spacing w:before="60"/>
              <w:rPr>
                <w:sz w:val="14"/>
                <w:szCs w:val="14"/>
              </w:rPr>
            </w:pPr>
            <w:r>
              <w:rPr>
                <w:b/>
                <w:sz w:val="14"/>
                <w:szCs w:val="14"/>
              </w:rPr>
              <w:t xml:space="preserve">Figure 4-I-b: </w:t>
            </w:r>
            <w:r>
              <w:rPr>
                <w:sz w:val="14"/>
                <w:szCs w:val="14"/>
              </w:rPr>
              <w:t>People reporting a road accident, by age, EU-28 average, 2014</w:t>
            </w:r>
          </w:p>
          <w:p>
            <w:pPr>
              <w:pStyle w:val="Yo5TitleFigure"/>
              <w:tabs>
                <w:tab w:val="left" w:pos="1552"/>
              </w:tabs>
              <w:spacing w:before="0" w:after="0" w:line="240" w:lineRule="auto"/>
              <w:ind w:left="656"/>
              <w:rPr>
                <w:b/>
                <w:color w:val="auto"/>
                <w:sz w:val="14"/>
                <w:szCs w:val="14"/>
              </w:rPr>
            </w:pPr>
            <w:r>
              <w:rPr>
                <w:color w:val="auto"/>
                <w:sz w:val="14"/>
                <w:szCs w:val="14"/>
              </w:rPr>
              <w:t>%</w:t>
            </w:r>
            <w:r>
              <w:rPr>
                <w:lang w:eastAsia="en-GB"/>
              </w:rPr>
              <w:tab/>
            </w:r>
            <w:r>
              <w:rPr>
                <w:color w:val="auto"/>
                <w:sz w:val="14"/>
                <w:szCs w:val="14"/>
                <w:lang w:eastAsia="en-GB"/>
              </w:rPr>
              <w:t>%</w:t>
            </w:r>
          </w:p>
          <w:p>
            <w:pPr>
              <w:pStyle w:val="Yo5TitleFigure"/>
              <w:spacing w:before="0" w:after="0"/>
              <w:ind w:left="369"/>
              <w:rPr>
                <w:lang w:eastAsia="en-GB"/>
              </w:rPr>
            </w:pPr>
            <w:r>
              <w:rPr>
                <w:lang w:val="en-US"/>
              </w:rPr>
              <w:drawing>
                <wp:inline distT="0" distB="0" distL="0" distR="0">
                  <wp:extent cx="970280" cy="1169035"/>
                  <wp:effectExtent l="0" t="0" r="1270" b="0"/>
                  <wp:docPr id="36" name="Picture 36" descr="\\s-eacea-fs03-p\EACEA.A7\Youth\04_Reports\a_EU_Youth_Reports\2018\03_graph\4_I_b_acci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acea-fs03-p\EACEA.A7\Youth\04_Reports\a_EU_Youth_Reports\2018\03_graph\4_I_b_accidents.jpg"/>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970280" cy="1169035"/>
                          </a:xfrm>
                          <a:prstGeom prst="rect">
                            <a:avLst/>
                          </a:prstGeom>
                          <a:noFill/>
                          <a:ln>
                            <a:noFill/>
                          </a:ln>
                        </pic:spPr>
                      </pic:pic>
                    </a:graphicData>
                  </a:graphic>
                </wp:inline>
              </w:drawing>
            </w:r>
          </w:p>
        </w:tc>
        <w:tc>
          <w:tcPr>
            <w:tcW w:w="7175" w:type="dxa"/>
            <w:tcBorders>
              <w:top w:val="nil"/>
              <w:left w:val="nil"/>
            </w:tcBorders>
            <w:shd w:val="clear" w:color="auto" w:fill="auto"/>
          </w:tcPr>
          <w:p>
            <w:pPr>
              <w:pStyle w:val="Yo5TextNotesbeforeafter"/>
              <w:spacing w:before="240"/>
              <w:rPr>
                <w:noProof/>
                <w:lang w:val="en-GB"/>
              </w:rPr>
            </w:pPr>
            <w:r>
              <w:rPr>
                <w:i/>
                <w:noProof/>
                <w:lang w:val="en-GB"/>
              </w:rPr>
              <w:t>Notes:</w:t>
            </w:r>
            <w:r>
              <w:rPr>
                <w:noProof/>
                <w:lang w:val="en-GB"/>
              </w:rPr>
              <w:t xml:space="preserve"> Refers to the proportion of young people who reported injuries occurring in the past year from road accidents.</w:t>
            </w:r>
          </w:p>
          <w:p>
            <w:pPr>
              <w:pStyle w:val="Yo5TextNotesbeforeafter"/>
              <w:rPr>
                <w:noProof/>
                <w:szCs w:val="14"/>
                <w:lang w:val="en-GB"/>
              </w:rPr>
            </w:pPr>
            <w:r>
              <w:rPr>
                <w:noProof/>
                <w:szCs w:val="14"/>
                <w:lang w:val="en-GB"/>
              </w:rPr>
              <w:t>The first wave of EHIS (EHIS wave 1 or EHIS round 2008) was conducted between 2006 and 2009. The second wave (EHIS wave 2 or EHIS round 2014) was conducted between 2013 and 2015. More specifically, while fieldwork was carried out in 2014 in most countries, it took place in 2013 in Belgium and the United Kingdom, and in 2015 in Denmark, Germany, Ireland, Italy, Iceland and Norway.</w:t>
            </w:r>
          </w:p>
          <w:p>
            <w:pPr>
              <w:pStyle w:val="Yo5TextNotes"/>
              <w:tabs>
                <w:tab w:val="clear" w:pos="1985"/>
                <w:tab w:val="right" w:pos="8722"/>
              </w:tabs>
              <w:jc w:val="left"/>
              <w:rPr>
                <w:noProof/>
                <w:lang w:val="en-GB" w:eastAsia="en-GB"/>
              </w:rPr>
            </w:pPr>
            <w:r>
              <w:rPr>
                <w:i/>
                <w:noProof/>
                <w:szCs w:val="14"/>
                <w:lang w:val="en-GB"/>
              </w:rPr>
              <w:t xml:space="preserve">Source: </w:t>
            </w:r>
            <w:r>
              <w:rPr>
                <w:noProof/>
                <w:szCs w:val="14"/>
                <w:lang w:val="en-GB"/>
              </w:rPr>
              <w:t xml:space="preserve">Eurostat, European Health Interview Survey (EHIS), 2014: [hlth_ehis_ac1e], </w:t>
            </w:r>
            <w:r>
              <w:rPr>
                <w:noProof/>
                <w:szCs w:val="14"/>
                <w:lang w:val="en-GB"/>
              </w:rPr>
              <w:br/>
              <w:t>2008: [hlth_ehis_st2].</w:t>
            </w:r>
          </w:p>
        </w:tc>
      </w:tr>
    </w:tbl>
    <w:p>
      <w:pPr>
        <w:pStyle w:val="Yo5TextNotesbeforeafter"/>
        <w:rPr>
          <w:noProof/>
          <w:lang w:val="en-GB"/>
        </w:rPr>
      </w:pPr>
    </w:p>
    <w:p>
      <w:pPr>
        <w:pStyle w:val="Yo1Textpara"/>
        <w:rPr>
          <w:noProof/>
        </w:rPr>
      </w:pPr>
      <w:r>
        <w:rPr>
          <w:noProof/>
        </w:rPr>
        <w:t>Regarding the changes in reported road traffic accidents resulting in injury between 2008 and 2014, information is relatively limited as data is available only for 14 countries. Nevertheless, as Figure 4-I depicts, existing data shows relatively large decreases in such accidents in a number of countries. The proportion of young people aged 15 to 24 reporting these types of accidents decreased by more than 3 percentage points in Czech Republic, Malta and Slovenia. However, in Slovenia, while the involvement of young people in such accidents decreased substantially in the 20-24 age group, it increased among the younger age group, the 15-19 year-olds (</w:t>
      </w:r>
      <w:r>
        <w:rPr>
          <w:rStyle w:val="FootnoteReference"/>
          <w:noProof/>
        </w:rPr>
        <w:footnoteReference w:id="49"/>
      </w:r>
      <w:r>
        <w:rPr>
          <w:noProof/>
        </w:rPr>
        <w:t>). In addition, the proportion of road traffic accidents resulting in injury among young people aged 15-24 increased in Belgium and Turkey, mostly within the 20-24 age group.</w:t>
      </w:r>
    </w:p>
    <w:p>
      <w:pPr>
        <w:pStyle w:val="Yo1Textpara"/>
        <w:rPr>
          <w:noProof/>
        </w:rPr>
      </w:pPr>
      <w:r>
        <w:rPr>
          <w:noProof/>
        </w:rPr>
        <w:t>As with substance abuse, gender patterns are relatively clear in this area (Figure 4-J). In general, young men are more involved in road traffic accidents resulting in injury than young women in European countries. In the EU-28, 3.3 % of young men aged 15-24 reported such accidents, in contrast to the 2.4 % of young women. As Figure 4-J shows, young men are twice or more likely to report road traffic accidents resulting in injury in eight countries, and no young women reported such accidents in Greece. Gender differences are the largest in Greece, Spain, Croatia, Latvia and Turkey. More young women reported these types of accidents in Belgium, Cyprus and Iceland. In fact, in Belgium and Cyprus, the gender gap reversed since 2008: in both countries, while the proportion of young men aged 15-24 decreased between 2008 and 2014, the proportion of young women reporting such accidents increased (</w:t>
      </w:r>
      <w:r>
        <w:rPr>
          <w:rStyle w:val="FootnoteReference"/>
          <w:noProof/>
        </w:rPr>
        <w:footnoteReference w:id="50"/>
      </w:r>
      <w:r>
        <w:rPr>
          <w:noProof/>
        </w:rPr>
        <w:t>).</w:t>
      </w:r>
    </w:p>
    <w:p>
      <w:pPr>
        <w:pStyle w:val="Yo5TitleFigure"/>
      </w:pPr>
      <w:r>
        <w:rPr>
          <w:b/>
        </w:rPr>
        <w:t>Figure 4-J:</w:t>
      </w:r>
      <w:r>
        <w:t xml:space="preserve"> Gender differences among young people aged 15-24 reporting road traffic accidents resulting in injury, 2014</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520"/>
        </w:trPr>
        <w:tc>
          <w:tcPr>
            <w:tcW w:w="533"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9869" w:type="dxa"/>
            <w:shd w:val="clear" w:color="auto" w:fill="auto"/>
          </w:tcPr>
          <w:tbl>
            <w:tblPr>
              <w:tblW w:w="9673"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846"/>
              <w:gridCol w:w="425"/>
              <w:gridCol w:w="3402"/>
            </w:tblGrid>
            <w:tr>
              <w:trPr>
                <w:trHeight w:val="539"/>
              </w:trPr>
              <w:tc>
                <w:tcPr>
                  <w:tcW w:w="5846" w:type="dxa"/>
                  <w:vMerge w:val="restart"/>
                  <w:tcBorders>
                    <w:right w:val="nil"/>
                  </w:tcBorders>
                  <w:shd w:val="clear" w:color="auto" w:fill="auto"/>
                </w:tcPr>
                <w:p>
                  <w:pPr>
                    <w:pStyle w:val="a75TextbaseTable"/>
                    <w:rPr>
                      <w:noProof/>
                    </w:rPr>
                  </w:pPr>
                  <w:r>
                    <w:rPr>
                      <w:noProof/>
                      <w:snapToGrid/>
                    </w:rPr>
                    <mc:AlternateContent>
                      <mc:Choice Requires="wps">
                        <w:drawing>
                          <wp:anchor distT="0" distB="0" distL="114300" distR="114300" simplePos="0" relativeHeight="251657216" behindDoc="0" locked="0" layoutInCell="1" allowOverlap="1">
                            <wp:simplePos x="0" y="0"/>
                            <wp:positionH relativeFrom="column">
                              <wp:posOffset>2425065</wp:posOffset>
                            </wp:positionH>
                            <wp:positionV relativeFrom="paragraph">
                              <wp:posOffset>69215</wp:posOffset>
                            </wp:positionV>
                            <wp:extent cx="1176020" cy="1473835"/>
                            <wp:effectExtent l="0" t="254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47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182"/>
                                          <w:rPr>
                                            <w:rFonts w:ascii="Arial Narrow" w:hAnsi="Arial Narrow"/>
                                            <w:sz w:val="14"/>
                                            <w:szCs w:val="14"/>
                                          </w:rPr>
                                        </w:pPr>
                                        <w:r>
                                          <w:rPr>
                                            <w:rFonts w:ascii="Arial Narrow" w:hAnsi="Arial Narrow"/>
                                            <w:sz w:val="14"/>
                                            <w:szCs w:val="14"/>
                                          </w:rPr>
                                          <w:t>%</w:t>
                                        </w:r>
                                      </w:p>
                                      <w:p>
                                        <w:r>
                                          <w:rPr>
                                            <w:noProof/>
                                            <w:lang w:val="en-US"/>
                                          </w:rPr>
                                          <w:drawing>
                                            <wp:inline distT="0" distB="0" distL="0" distR="0">
                                              <wp:extent cx="898525" cy="1192530"/>
                                              <wp:effectExtent l="0" t="0" r="0" b="7620"/>
                                              <wp:docPr id="68" name="Picture 68" descr="\\s-eacea-fs03-p\EACEA.A7\Youth\04_Reports\a_EU_Youth_Reports\2018\03_graph\4_J_accidents_gender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eacea-fs03-p\EACEA.A7\Youth\04_Reports\a_EU_Youth_Reports\2018\03_graph\4_J_accidents_gender_EU28.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898525" cy="11925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0.95pt;margin-top:5.45pt;width:92.6pt;height:11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FhgIAABg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" stroked="f">
                            <v:textbox>
                              <w:txbxContent>
                                <w:p>
                                  <w:pPr>
                                    <w:spacing w:after="0" w:line="240" w:lineRule="auto"/>
                                    <w:ind w:left="182"/>
                                    <w:rPr>
                                      <w:rFonts w:ascii="Arial Narrow" w:hAnsi="Arial Narrow"/>
                                      <w:sz w:val="14"/>
                                      <w:szCs w:val="14"/>
                                    </w:rPr>
                                  </w:pPr>
                                  <w:r>
                                    <w:rPr>
                                      <w:rFonts w:ascii="Arial Narrow" w:hAnsi="Arial Narrow"/>
                                      <w:sz w:val="14"/>
                                      <w:szCs w:val="14"/>
                                    </w:rPr>
                                    <w:t>%</w:t>
                                  </w:r>
                                </w:p>
                                <w:p>
                                  <w:r>
                                    <w:rPr>
                                      <w:noProof/>
                                      <w:lang w:val="en-US"/>
                                    </w:rPr>
                                    <w:drawing>
                                      <wp:inline distT="0" distB="0" distL="0" distR="0">
                                        <wp:extent cx="898525" cy="1192530"/>
                                        <wp:effectExtent l="0" t="0" r="0" b="7620"/>
                                        <wp:docPr id="68" name="Picture 68" descr="\\s-eacea-fs03-p\EACEA.A7\Youth\04_Reports\a_EU_Youth_Reports\2018\03_graph\4_J_accidents_gender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eacea-fs03-p\EACEA.A7\Youth\04_Reports\a_EU_Youth_Reports\2018\03_graph\4_J_accidents_gender_EU28.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898525" cy="1192530"/>
                                                </a:xfrm>
                                                <a:prstGeom prst="rect">
                                                  <a:avLst/>
                                                </a:prstGeom>
                                                <a:noFill/>
                                                <a:ln>
                                                  <a:noFill/>
                                                </a:ln>
                                              </pic:spPr>
                                            </pic:pic>
                                          </a:graphicData>
                                        </a:graphic>
                                      </wp:inline>
                                    </w:drawing>
                                  </w:r>
                                </w:p>
                              </w:txbxContent>
                            </v:textbox>
                          </v:shape>
                        </w:pict>
                      </mc:Fallback>
                    </mc:AlternateContent>
                  </w:r>
                  <w:r>
                    <w:rPr>
                      <w:noProof/>
                      <w:snapToGrid/>
                    </w:rPr>
                    <w:drawing>
                      <wp:inline distT="0" distB="0" distL="0" distR="0">
                        <wp:extent cx="3625850" cy="2711450"/>
                        <wp:effectExtent l="0" t="0" r="0" b="0"/>
                        <wp:docPr id="37" name="Picture 37" descr="\\s-eacea-fs03-p\EACEA.A7\Youth\04_Reports\a_EU_Youth_Reports\2018\03_graph\4_J_accidents_gende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acea-fs03-p\EACEA.A7\Youth\04_Reports\a_EU_Youth_Reports\2018\03_graph\4_J_accidents_gender_MAP.jpg"/>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3625850" cy="2711450"/>
                                </a:xfrm>
                                <a:prstGeom prst="rect">
                                  <a:avLst/>
                                </a:prstGeom>
                                <a:noFill/>
                                <a:ln>
                                  <a:noFill/>
                                </a:ln>
                              </pic:spPr>
                            </pic:pic>
                          </a:graphicData>
                        </a:graphic>
                      </wp:inline>
                    </w:drawing>
                  </w:r>
                </w:p>
              </w:tc>
              <w:tc>
                <w:tcPr>
                  <w:tcW w:w="425" w:type="dxa"/>
                  <w:tcBorders>
                    <w:top w:val="nil"/>
                    <w:left w:val="nil"/>
                    <w:bottom w:val="nil"/>
                    <w:right w:val="nil"/>
                  </w:tcBorders>
                  <w:vAlign w:val="center"/>
                </w:tcPr>
                <w:p>
                  <w:pPr>
                    <w:pStyle w:val="a75TextbaseTable"/>
                    <w:spacing w:beforeLines="20" w:before="48" w:after="20"/>
                    <w:rPr>
                      <w:noProof/>
                    </w:rPr>
                  </w:pPr>
                </w:p>
              </w:tc>
              <w:tc>
                <w:tcPr>
                  <w:tcW w:w="3402" w:type="dxa"/>
                  <w:tcBorders>
                    <w:top w:val="nil"/>
                    <w:left w:val="nil"/>
                    <w:bottom w:val="nil"/>
                  </w:tcBorders>
                  <w:shd w:val="clear" w:color="auto" w:fill="auto"/>
                  <w:vAlign w:val="center"/>
                </w:tcPr>
                <w:p>
                  <w:pPr>
                    <w:pStyle w:val="a75TextbaseTable"/>
                    <w:rPr>
                      <w:noProof/>
                    </w:rPr>
                  </w:pPr>
                </w:p>
              </w:tc>
            </w:tr>
            <w:t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Only young men reported road traffic accidents resulting in injury in the sample</w:t>
                  </w:r>
                </w:p>
              </w:tc>
            </w:tr>
            <w:t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Young men reported more than twice as many road traffic accidents resulting in injury as young women</w:t>
                  </w:r>
                </w:p>
              </w:tc>
            </w:tr>
            <w:tr>
              <w:trPr>
                <w:trHeight w:val="361"/>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Young men reported more road traffic accidents resulting</w:t>
                  </w:r>
                  <w:r>
                    <w:rPr>
                      <w:noProof/>
                      <w:color w:val="auto"/>
                      <w:sz w:val="14"/>
                      <w:szCs w:val="14"/>
                    </w:rPr>
                    <w:t xml:space="preserve"> in injury</w:t>
                  </w:r>
                  <w:r>
                    <w:rPr>
                      <w:rFonts w:ascii="Verdana" w:hAnsi="Verdana"/>
                      <w:noProof/>
                      <w:color w:val="auto"/>
                      <w:sz w:val="14"/>
                      <w:szCs w:val="14"/>
                    </w:rPr>
                    <w:t xml:space="preserve"> than young women, but less than twice as many</w:t>
                  </w:r>
                </w:p>
              </w:tc>
            </w:tr>
            <w:t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Similar proportions of young men and women reported road traffic accidents resulting in injury</w:t>
                  </w:r>
                </w:p>
              </w:tc>
            </w:tr>
            <w:tr>
              <w:trPr>
                <w:trHeight w:val="347"/>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67005" cy="167005"/>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Young women reported more road traffic accidents resulting in injury</w:t>
                  </w:r>
                </w:p>
              </w:tc>
            </w:tr>
            <w:tr>
              <w:trPr>
                <w:trHeight w:val="402"/>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43" name="Picture 43" descr="NAv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NAvaiT"/>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Data not collected</w:t>
                  </w:r>
                </w:p>
              </w:tc>
            </w:tr>
            <w:tr>
              <w:trPr>
                <w:trHeight w:val="210"/>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rPr>
                      <w:noProof/>
                    </w:rPr>
                  </w:pPr>
                </w:p>
              </w:tc>
              <w:tc>
                <w:tcPr>
                  <w:tcW w:w="3402" w:type="dxa"/>
                  <w:tcBorders>
                    <w:top w:val="nil"/>
                    <w:left w:val="nil"/>
                    <w:bottom w:val="nil"/>
                  </w:tcBorders>
                  <w:shd w:val="clear" w:color="auto" w:fill="auto"/>
                  <w:vAlign w:val="center"/>
                </w:tcPr>
                <w:p>
                  <w:pPr>
                    <w:pStyle w:val="a75TextbaseTable"/>
                    <w:rPr>
                      <w:noProof/>
                    </w:rPr>
                  </w:pPr>
                </w:p>
              </w:tc>
            </w:tr>
          </w:tbl>
          <w:p>
            <w:pPr>
              <w:pStyle w:val="Yo5TextNotesafter"/>
              <w:rPr>
                <w:noProof/>
                <w:sz w:val="16"/>
              </w:rPr>
            </w:pPr>
          </w:p>
        </w:tc>
      </w:tr>
    </w:tbl>
    <w:p>
      <w:pPr>
        <w:pStyle w:val="Yo5TextNotesbeforeafter"/>
        <w:rPr>
          <w:noProof/>
          <w:szCs w:val="14"/>
          <w:lang w:val="en-GB"/>
        </w:rPr>
      </w:pPr>
      <w:r>
        <w:rPr>
          <w:i/>
          <w:noProof/>
          <w:szCs w:val="14"/>
          <w:lang w:val="en-GB"/>
        </w:rPr>
        <w:t>Notes</w:t>
      </w:r>
      <w:r>
        <w:rPr>
          <w:noProof/>
          <w:szCs w:val="14"/>
          <w:lang w:val="en-GB"/>
        </w:rPr>
        <w:t>: The second wave of EHIS (EHIS wave 2 or EHIS round 2014) was conducted between 2013 and 2015. More specifically, while fieldwork was carried out in 2014 in most countries, it took place in 2013 in Belgium and the United Kingdom, and in 2015 in Denmark, Germany, Ireland, Italy, Iceland and Norway.</w:t>
      </w:r>
    </w:p>
    <w:p>
      <w:pPr>
        <w:pStyle w:val="Yo5TextNotesbeforeafter"/>
        <w:rPr>
          <w:noProof/>
          <w:szCs w:val="14"/>
          <w:lang w:val="en-GB"/>
        </w:rPr>
      </w:pPr>
      <w:r>
        <w:rPr>
          <w:noProof/>
          <w:szCs w:val="14"/>
          <w:lang w:val="en-GB"/>
        </w:rPr>
        <w:t>The proportions of young men and women reporting road traffic accidents are regarded as 'similar' if the male/female ratio was between 0.85 and 1.15.</w:t>
      </w:r>
    </w:p>
    <w:p>
      <w:pPr>
        <w:pStyle w:val="Yo5TextNotes"/>
        <w:tabs>
          <w:tab w:val="clear" w:pos="1985"/>
          <w:tab w:val="right" w:pos="8722"/>
        </w:tabs>
        <w:rPr>
          <w:noProof/>
          <w:szCs w:val="14"/>
          <w:lang w:val="en-GB"/>
        </w:rPr>
      </w:pPr>
      <w:r>
        <w:rPr>
          <w:i/>
          <w:noProof/>
          <w:szCs w:val="14"/>
          <w:lang w:val="en-GB"/>
        </w:rPr>
        <w:t xml:space="preserve">Source: </w:t>
      </w:r>
      <w:r>
        <w:rPr>
          <w:noProof/>
          <w:szCs w:val="14"/>
          <w:lang w:val="en-GB"/>
        </w:rPr>
        <w:t>Own calculation based on Eurostat, European Health Interview Survey (EHIS), [hlth_ehis_ac1e].</w:t>
      </w:r>
    </w:p>
    <w:p>
      <w:pPr>
        <w:pStyle w:val="Yo0H2"/>
        <w:rPr>
          <w:noProof/>
        </w:rPr>
      </w:pPr>
      <w:r>
        <w:rPr>
          <w:noProof/>
        </w:rPr>
        <w:t>4.3. Mental well-being</w:t>
      </w:r>
    </w:p>
    <w:p>
      <w:pPr>
        <w:pStyle w:val="Yo1Textpara"/>
        <w:rPr>
          <w:noProof/>
        </w:rPr>
      </w:pPr>
      <w:r>
        <w:rPr>
          <w:noProof/>
        </w:rPr>
        <w:t>The transition from childhood to adulthood and the societal and family pressures that young people face in such contexts also influence their mental health. Though mental and psychological distress are still less prevalent among young people than older age groups, special attention has to be paid to young people and the factors which increase their vulnerability. As with risk behaviour, mental health is also influenced by the socio-economic conditions of young people's lives – their level of social exclusion and degree of poverty (</w:t>
      </w:r>
      <w:r>
        <w:rPr>
          <w:rStyle w:val="FootnoteReference"/>
          <w:noProof/>
        </w:rPr>
        <w:footnoteReference w:id="51"/>
      </w:r>
      <w:r>
        <w:rPr>
          <w:noProof/>
        </w:rPr>
        <w:t xml:space="preserve">). As this report also shows, young people can experience periods of unemployment and social exclusion in the current economic climate, which certainly influences their mental health and psychological well-being. </w:t>
      </w:r>
    </w:p>
    <w:p>
      <w:pPr>
        <w:pStyle w:val="Yo5TextEUYouthTOC"/>
        <w:framePr w:hSpace="0" w:wrap="auto" w:vAnchor="margin" w:hAnchor="text" w:xAlign="left" w:yAlign="inline"/>
        <w:spacing w:before="240"/>
        <w:rPr>
          <w:rFonts w:eastAsia="Times New Roman"/>
          <w:color w:val="DA1E48"/>
          <w:spacing w:val="20"/>
          <w:sz w:val="24"/>
          <w:szCs w:val="24"/>
        </w:rPr>
      </w:pPr>
      <w:r>
        <w:rPr>
          <w:rFonts w:eastAsia="Times New Roman"/>
          <w:color w:val="DA1E48"/>
          <w:spacing w:val="20"/>
          <w:sz w:val="24"/>
          <w:szCs w:val="24"/>
        </w:rPr>
        <w:t>4.3.1. Psychological distress</w:t>
      </w:r>
    </w:p>
    <w:p>
      <w:pPr>
        <w:pStyle w:val="Yo1Textpara"/>
        <w:rPr>
          <w:noProof/>
        </w:rPr>
      </w:pPr>
      <w:r>
        <w:rPr>
          <w:noProof/>
        </w:rPr>
        <w:t>The EU Dashboard of Youth Indicators (</w:t>
      </w:r>
      <w:r>
        <w:rPr>
          <w:rStyle w:val="FootnoteReference"/>
          <w:noProof/>
        </w:rPr>
        <w:footnoteReference w:id="52"/>
      </w:r>
      <w:r>
        <w:rPr>
          <w:noProof/>
        </w:rPr>
        <w:t>) includes an indicator on psychological distress to assess the mental health and well-being of young people. However, this indicator was not included in the 2014 round of the European Health Interview Survey (EHIS). Instead, for the first time, the EHIS survey included questions making it possible to evaluate the severity of respondents' symptoms of depression (</w:t>
      </w:r>
      <w:r>
        <w:rPr>
          <w:rStyle w:val="FootnoteReference"/>
          <w:noProof/>
        </w:rPr>
        <w:footnoteReference w:id="53"/>
      </w:r>
      <w:r>
        <w:rPr>
          <w:noProof/>
        </w:rPr>
        <w:t>). Depression is a mental illness, potentially a serious health condition. Depression is the leading cause of ill health and disability worldwide; at worst, it can lead to suicide (</w:t>
      </w:r>
      <w:r>
        <w:rPr>
          <w:rStyle w:val="FootnoteReference"/>
          <w:noProof/>
        </w:rPr>
        <w:footnoteReference w:id="54"/>
      </w:r>
      <w:r>
        <w:rPr>
          <w:noProof/>
        </w:rPr>
        <w:t>). Looking at the proportion of young people experiencing moderate to severe symptoms of depression therefore provides important input into understanding the mental health conditions of young generations.</w:t>
      </w:r>
    </w:p>
    <w:p>
      <w:pPr>
        <w:pStyle w:val="Yo1Textpara"/>
        <w:rPr>
          <w:noProof/>
        </w:rPr>
      </w:pPr>
      <w:r>
        <w:rPr>
          <w:noProof/>
        </w:rPr>
        <w:t>Figure 4-K shows the proportion of the population that was experiencing moderate to severe symptoms of depression. In the EU-28, 4.9 % of young people (from both the 15-24 and 25-29 age groups) show moderate to severe symptoms of depression, while this proportion is 6.3 % within the total population. However, differences between countries are enormous: while more than 10 % of young people aged 15-24 report moderate to severe symptoms of depression in Germany (11.5 %), Ireland (13 %), Luxembourg (11.3 %) and Iceland (15.6 %), the proportions are below 1 % in Czech Republic (0 %), Greece (0.8 %), Croatia (0.7 %), Cyprus (0.3 %), Lithuania (0.5 %) and Slovakia (0.5 %).</w:t>
      </w:r>
    </w:p>
    <w:p>
      <w:pPr>
        <w:pStyle w:val="Yo5TitleFigure"/>
        <w:jc w:val="both"/>
      </w:pPr>
      <w:r>
        <w:rPr>
          <w:b/>
        </w:rPr>
        <w:br w:type="page"/>
        <w:t>Figure 4-K:</w:t>
      </w:r>
      <w:r>
        <w:t xml:space="preserve"> Proportion of population experiencing moderate to severe symptoms of depression, by country and by age, 2014</w:t>
      </w:r>
    </w:p>
    <w:tbl>
      <w:tblPr>
        <w:tblW w:w="9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9869"/>
      </w:tblGrid>
      <w:tr>
        <w:trPr>
          <w:trHeight w:val="520"/>
        </w:trPr>
        <w:tc>
          <w:tcPr>
            <w:tcW w:w="9869" w:type="dxa"/>
            <w:tcBorders>
              <w:bottom w:val="nil"/>
            </w:tcBorders>
            <w:shd w:val="clear" w:color="auto" w:fill="auto"/>
          </w:tcPr>
          <w:p>
            <w:pPr>
              <w:pStyle w:val="Yo5TextNotes"/>
              <w:tabs>
                <w:tab w:val="clear" w:pos="1985"/>
                <w:tab w:val="left" w:pos="9248"/>
              </w:tabs>
              <w:ind w:left="176"/>
              <w:rPr>
                <w:noProof/>
                <w:lang w:eastAsia="en-GB"/>
              </w:rPr>
            </w:pPr>
            <w:r>
              <w:rPr>
                <w:noProof/>
                <w:lang w:val="en-GB" w:eastAsia="en-GB"/>
              </w:rPr>
              <w:t xml:space="preserve"> </w:t>
            </w:r>
            <w:r>
              <w:rPr>
                <w:noProof/>
                <w:lang w:eastAsia="en-GB"/>
              </w:rPr>
              <w:t>%</w:t>
            </w:r>
            <w:r>
              <w:rPr>
                <w:noProof/>
                <w:lang w:eastAsia="en-GB"/>
              </w:rPr>
              <w:tab/>
              <w:t>%</w:t>
            </w:r>
          </w:p>
          <w:p>
            <w:pPr>
              <w:pStyle w:val="Yo5TextNotesafter"/>
              <w:rPr>
                <w:noProof/>
                <w:sz w:val="16"/>
              </w:rPr>
            </w:pPr>
            <w:r>
              <w:rPr>
                <w:noProof/>
                <w:snapToGrid/>
              </w:rPr>
              <w:drawing>
                <wp:inline distT="0" distB="0" distL="0" distR="0">
                  <wp:extent cx="6122670" cy="1463040"/>
                  <wp:effectExtent l="0" t="0" r="0" b="3810"/>
                  <wp:docPr id="44" name="Picture 44" descr="\\s-eacea-fs03-p\EACEA.A7\Youth\04_Reports\a_EU_Youth_Reports\2018\03_graph\4_K_de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acea-fs03-p\EACEA.A7\Youth\04_Reports\a_EU_Youth_Reports\2018\03_graph\4_K_depression.jp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6122670" cy="1463040"/>
                          </a:xfrm>
                          <a:prstGeom prst="rect">
                            <a:avLst/>
                          </a:prstGeom>
                          <a:noFill/>
                          <a:ln>
                            <a:noFill/>
                          </a:ln>
                        </pic:spPr>
                      </pic:pic>
                    </a:graphicData>
                  </a:graphic>
                </wp:inline>
              </w:drawing>
            </w:r>
          </w:p>
        </w:tc>
      </w:tr>
      <w:tr>
        <w:trPr>
          <w:trHeight w:val="374"/>
        </w:trPr>
        <w:tc>
          <w:tcPr>
            <w:tcW w:w="9869" w:type="dxa"/>
            <w:tcBorders>
              <w:top w:val="nil"/>
            </w:tcBorders>
            <w:shd w:val="clear" w:color="auto" w:fill="auto"/>
          </w:tcPr>
          <w:tbl>
            <w:tblPr>
              <w:tblW w:w="0" w:type="auto"/>
              <w:jc w:val="center"/>
              <w:tblLayout w:type="fixed"/>
              <w:tblLook w:val="04A0" w:firstRow="1" w:lastRow="0" w:firstColumn="1" w:lastColumn="0" w:noHBand="0" w:noVBand="1"/>
            </w:tblPr>
            <w:tblGrid>
              <w:gridCol w:w="444"/>
              <w:gridCol w:w="1266"/>
              <w:gridCol w:w="447"/>
              <w:gridCol w:w="1044"/>
              <w:gridCol w:w="447"/>
              <w:gridCol w:w="1355"/>
            </w:tblGrid>
            <w:tr>
              <w:trPr>
                <w:jc w:val="center"/>
              </w:trPr>
              <w:tc>
                <w:tcPr>
                  <w:tcW w:w="444" w:type="dxa"/>
                  <w:shd w:val="clear" w:color="auto" w:fill="auto"/>
                  <w:vAlign w:val="center"/>
                </w:tcPr>
                <w:p>
                  <w:pPr>
                    <w:pStyle w:val="p91Textpara"/>
                    <w:spacing w:before="60" w:after="60" w:line="240" w:lineRule="auto"/>
                    <w:jc w:val="left"/>
                    <w:rPr>
                      <w:noProof/>
                      <w:color w:val="auto"/>
                      <w:sz w:val="16"/>
                      <w:szCs w:val="16"/>
                    </w:rPr>
                  </w:pPr>
                  <w:r>
                    <w:rPr>
                      <w:noProof/>
                      <w:lang w:val="en-US"/>
                    </w:rPr>
                    <w:drawing>
                      <wp:inline distT="0" distB="0" distL="0" distR="0">
                        <wp:extent cx="142875" cy="142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266" w:type="dxa"/>
                  <w:vAlign w:val="center"/>
                </w:tcPr>
                <w:p>
                  <w:pPr>
                    <w:pStyle w:val="p91Textpara"/>
                    <w:spacing w:before="60" w:after="60" w:line="240" w:lineRule="auto"/>
                    <w:jc w:val="center"/>
                    <w:rPr>
                      <w:rFonts w:eastAsia="Cambria"/>
                      <w:bCs/>
                      <w:noProof/>
                      <w:color w:val="auto"/>
                      <w:sz w:val="16"/>
                      <w:szCs w:val="16"/>
                    </w:rPr>
                  </w:pPr>
                  <w:r>
                    <w:rPr>
                      <w:noProof/>
                      <w:color w:val="auto"/>
                      <w:sz w:val="16"/>
                      <w:szCs w:val="16"/>
                    </w:rPr>
                    <w:t>Aged 15-24</w:t>
                  </w:r>
                </w:p>
              </w:tc>
              <w:tc>
                <w:tcPr>
                  <w:tcW w:w="447" w:type="dxa"/>
                  <w:shd w:val="clear" w:color="auto" w:fill="auto"/>
                  <w:vAlign w:val="center"/>
                </w:tcPr>
                <w:p>
                  <w:pPr>
                    <w:pStyle w:val="p91Textpara"/>
                    <w:spacing w:before="60" w:after="60" w:line="240" w:lineRule="auto"/>
                    <w:jc w:val="left"/>
                    <w:rPr>
                      <w:noProof/>
                      <w:color w:val="auto"/>
                      <w:sz w:val="16"/>
                      <w:szCs w:val="16"/>
                    </w:rPr>
                  </w:pPr>
                  <w:r>
                    <w:rPr>
                      <w:noProof/>
                      <w:lang w:val="en-US"/>
                    </w:rPr>
                    <w:drawing>
                      <wp:inline distT="0" distB="0" distL="0" distR="0">
                        <wp:extent cx="142875" cy="142875"/>
                        <wp:effectExtent l="0" t="0" r="9525" b="9525"/>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044" w:type="dxa"/>
                  <w:vAlign w:val="center"/>
                </w:tcPr>
                <w:p>
                  <w:pPr>
                    <w:pStyle w:val="p91Textpara"/>
                    <w:spacing w:before="60" w:after="60" w:line="240" w:lineRule="auto"/>
                    <w:jc w:val="center"/>
                    <w:rPr>
                      <w:rFonts w:eastAsia="Cambria"/>
                      <w:bCs/>
                      <w:noProof/>
                      <w:color w:val="auto"/>
                      <w:sz w:val="16"/>
                      <w:szCs w:val="16"/>
                    </w:rPr>
                  </w:pPr>
                  <w:r>
                    <w:rPr>
                      <w:rFonts w:eastAsia="Cambria"/>
                      <w:bCs/>
                      <w:noProof/>
                      <w:color w:val="auto"/>
                      <w:sz w:val="16"/>
                      <w:szCs w:val="16"/>
                    </w:rPr>
                    <w:t>Aged 25-29</w:t>
                  </w:r>
                </w:p>
              </w:tc>
              <w:tc>
                <w:tcPr>
                  <w:tcW w:w="447" w:type="dxa"/>
                </w:tcPr>
                <w:p>
                  <w:pPr>
                    <w:pStyle w:val="p91Textpara"/>
                    <w:spacing w:before="60" w:after="60" w:line="240" w:lineRule="auto"/>
                    <w:jc w:val="left"/>
                    <w:rPr>
                      <w:noProof/>
                      <w:color w:val="auto"/>
                      <w:sz w:val="16"/>
                      <w:szCs w:val="16"/>
                    </w:rPr>
                  </w:pPr>
                  <w:r>
                    <w:rPr>
                      <w:noProof/>
                      <w:sz w:val="16"/>
                      <w:szCs w:val="16"/>
                      <w:lang w:val="en-US"/>
                    </w:rPr>
                    <w:drawing>
                      <wp:inline distT="0" distB="0" distL="0" distR="0">
                        <wp:extent cx="142875" cy="142875"/>
                        <wp:effectExtent l="0" t="0" r="9525" b="9525"/>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55" w:type="dxa"/>
                  <w:vAlign w:val="center"/>
                </w:tcPr>
                <w:p>
                  <w:pPr>
                    <w:pStyle w:val="p91Textpara"/>
                    <w:spacing w:before="60" w:after="60" w:line="240" w:lineRule="auto"/>
                    <w:jc w:val="center"/>
                    <w:rPr>
                      <w:rFonts w:eastAsia="Cambria"/>
                      <w:bCs/>
                      <w:noProof/>
                      <w:color w:val="auto"/>
                      <w:sz w:val="16"/>
                      <w:szCs w:val="16"/>
                    </w:rPr>
                  </w:pPr>
                  <w:r>
                    <w:rPr>
                      <w:noProof/>
                      <w:color w:val="auto"/>
                      <w:sz w:val="16"/>
                      <w:szCs w:val="16"/>
                    </w:rPr>
                    <w:t>Total population</w:t>
                  </w:r>
                </w:p>
              </w:tc>
            </w:tr>
          </w:tbl>
          <w:p>
            <w:pPr>
              <w:pStyle w:val="Yo5TextNotes"/>
              <w:tabs>
                <w:tab w:val="clear" w:pos="1985"/>
                <w:tab w:val="right" w:pos="8722"/>
              </w:tabs>
              <w:rPr>
                <w:noProof/>
                <w:lang w:eastAsia="en-GB"/>
              </w:rPr>
            </w:pPr>
          </w:p>
        </w:tc>
      </w:tr>
    </w:tbl>
    <w:p>
      <w:pPr>
        <w:pStyle w:val="Yo5TextNotesbeforeafter"/>
        <w:rPr>
          <w:noProof/>
          <w:szCs w:val="14"/>
          <w:lang w:val="en-GB"/>
        </w:rPr>
      </w:pPr>
      <w:r>
        <w:rPr>
          <w:i/>
          <w:noProof/>
          <w:lang w:val="en-GB"/>
        </w:rPr>
        <w:t xml:space="preserve">Notes: </w:t>
      </w:r>
      <w:r>
        <w:rPr>
          <w:noProof/>
          <w:szCs w:val="14"/>
          <w:lang w:val="en-GB"/>
        </w:rPr>
        <w:t>The second wave of EHIS (EHIS wave 2 or EHIS round 2014) was conducted between 2013 and 2015. More specifically, while fieldwork was carried out in 2014 in most countries, it took place in 2013 in Belgium and the United Kingdom, and in 2015 in Denmark, Germany, Ireland, Italy, Iceland and Norway.</w:t>
      </w:r>
    </w:p>
    <w:p>
      <w:pPr>
        <w:pStyle w:val="Yo5TextNotesbeforeafter"/>
        <w:rPr>
          <w:noProof/>
          <w:lang w:val="en-GB"/>
        </w:rPr>
      </w:pPr>
      <w:r>
        <w:rPr>
          <w:noProof/>
          <w:szCs w:val="14"/>
          <w:lang w:val="en-GB"/>
        </w:rPr>
        <w:t>The figure covers symptoms of varying degrees of severity: moderate, moderately severe and severe.</w:t>
      </w:r>
    </w:p>
    <w:p>
      <w:pPr>
        <w:pStyle w:val="Yo5TextNotes"/>
        <w:tabs>
          <w:tab w:val="clear" w:pos="1985"/>
          <w:tab w:val="right" w:pos="8722"/>
        </w:tabs>
        <w:rPr>
          <w:noProof/>
          <w:szCs w:val="14"/>
          <w:lang w:val="en-GB"/>
        </w:rPr>
      </w:pPr>
      <w:r>
        <w:rPr>
          <w:i/>
          <w:noProof/>
          <w:lang w:val="en-US"/>
        </w:rPr>
        <w:t>Source:</w:t>
      </w:r>
      <w:r>
        <w:rPr>
          <w:noProof/>
          <w:lang w:val="en-US"/>
        </w:rPr>
        <w:t xml:space="preserve"> </w:t>
      </w:r>
      <w:r>
        <w:rPr>
          <w:noProof/>
          <w:szCs w:val="14"/>
          <w:lang w:val="en-GB"/>
        </w:rPr>
        <w:t>Eurostat, European Health Interview Survey (EHIS), [hlth_ehis_mh2e].</w:t>
      </w:r>
    </w:p>
    <w:p>
      <w:pPr>
        <w:pStyle w:val="Yo5TextNotes"/>
        <w:tabs>
          <w:tab w:val="clear" w:pos="1985"/>
          <w:tab w:val="right" w:pos="8722"/>
        </w:tabs>
        <w:rPr>
          <w:noProof/>
          <w:szCs w:val="14"/>
          <w:lang w:val="en-GB"/>
        </w:rPr>
      </w:pPr>
    </w:p>
    <w:p>
      <w:pPr>
        <w:pStyle w:val="Yo1Textpara"/>
        <w:rPr>
          <w:noProof/>
        </w:rPr>
      </w:pPr>
      <w:r>
        <w:rPr>
          <w:noProof/>
        </w:rPr>
        <w:t xml:space="preserve">At EU level there is no difference between the younger and older youth cohorts in the proportions experiencing symptoms of depression, and both these groups suffer less in comparison to the total population. At the individual country level the picture varies, although some geographical differences do emerge: young people seem to be relatively more vulnerable than the general population in the Nordic countries (Denmark, Finland, Sweden, Iceland and Norway), as well as in Germany, Ireland, Luxembourg and Slovenia. As Chapter 7 will show, in most of these countries, young people (especially women) leave the parental household and start an independent life at a relatively early age, which can make them more vulnerable (Figure 7-A). On the other hand, the proportion of young people experiencing moderate to severe symptoms of depression is relatively low in some southern and eastern European countries, both compared to the European average and to the total population within the same country. </w:t>
      </w:r>
    </w:p>
    <w:tbl>
      <w:tblPr>
        <w:tblpPr w:leftFromText="180" w:rightFromText="180" w:vertAnchor="text" w:horzAnchor="margin" w:tblpXSpec="right" w:tblpY="222"/>
        <w:tblOverlap w:val="never"/>
        <w:tblW w:w="0" w:type="auto"/>
        <w:shd w:val="clear" w:color="auto" w:fill="FFA3A4"/>
        <w:tblLook w:val="04A0" w:firstRow="1" w:lastRow="0" w:firstColumn="1" w:lastColumn="0" w:noHBand="0" w:noVBand="1"/>
      </w:tblPr>
      <w:tblGrid>
        <w:gridCol w:w="2620"/>
      </w:tblGrid>
      <w:tr>
        <w:tc>
          <w:tcPr>
            <w:tcW w:w="2620"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More than twice as many young women as young men report that they suffer from moderate to severe symptoms of depression in Europe.</w:t>
            </w:r>
          </w:p>
        </w:tc>
      </w:tr>
    </w:tbl>
    <w:p>
      <w:pPr>
        <w:pStyle w:val="Yo1Textpara"/>
        <w:rPr>
          <w:noProof/>
        </w:rPr>
      </w:pPr>
      <w:r>
        <w:rPr>
          <w:noProof/>
        </w:rPr>
        <w:t>More than twice as many young women as young men report that they suffer from moderate to severe symptoms of depression in Europe. As Figure 4-L shows, this is also true for a large majority of European countries. In Denmark, for example, 15.6 % of young women aged 15-24 report moderate to severe symptoms of depression, while the same proportion among young men is 2 %. Yet, these differences could be partly due to men underreporting their symptoms (</w:t>
      </w:r>
      <w:r>
        <w:rPr>
          <w:rStyle w:val="FootnoteReference"/>
          <w:noProof/>
        </w:rPr>
        <w:footnoteReference w:id="55"/>
      </w:r>
      <w:r>
        <w:rPr>
          <w:noProof/>
        </w:rPr>
        <w:t>).</w:t>
      </w:r>
    </w:p>
    <w:p>
      <w:pPr>
        <w:pStyle w:val="Yo5TitleFigure"/>
      </w:pPr>
      <w:r>
        <w:rPr>
          <w:b/>
        </w:rPr>
        <w:t>Figure 4-L:</w:t>
      </w:r>
      <w:r>
        <w:t xml:space="preserve"> Gender differences in the proportion of young people aged 15-24 experiencing moderate to severe symptoms of depression, 2014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9923"/>
      </w:tblGrid>
      <w:tr>
        <w:trPr>
          <w:trHeight w:val="4365"/>
        </w:trPr>
        <w:tc>
          <w:tcPr>
            <w:tcW w:w="9923" w:type="dxa"/>
            <w:shd w:val="clear" w:color="auto" w:fill="auto"/>
          </w:tcPr>
          <w:tbl>
            <w:tblPr>
              <w:tblW w:w="9673"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846"/>
              <w:gridCol w:w="425"/>
              <w:gridCol w:w="3402"/>
            </w:tblGrid>
            <w:tr>
              <w:trPr>
                <w:trHeight w:val="209"/>
              </w:trPr>
              <w:tc>
                <w:tcPr>
                  <w:tcW w:w="5846" w:type="dxa"/>
                  <w:vMerge w:val="restart"/>
                  <w:tcBorders>
                    <w:right w:val="nil"/>
                  </w:tcBorders>
                  <w:shd w:val="clear" w:color="auto" w:fill="auto"/>
                </w:tcPr>
                <w:p>
                  <w:pPr>
                    <w:pStyle w:val="a75TextbaseTable"/>
                    <w:rPr>
                      <w:noProof/>
                    </w:rPr>
                  </w:pPr>
                  <w:r>
                    <w:rPr>
                      <w:noProof/>
                      <w:snapToGrid/>
                    </w:rPr>
                    <mc:AlternateContent>
                      <mc:Choice Requires="wps">
                        <w:drawing>
                          <wp:anchor distT="0" distB="0" distL="114300" distR="114300" simplePos="0" relativeHeight="251660288" behindDoc="0" locked="0" layoutInCell="1" allowOverlap="1">
                            <wp:simplePos x="0" y="0"/>
                            <wp:positionH relativeFrom="column">
                              <wp:posOffset>2440305</wp:posOffset>
                            </wp:positionH>
                            <wp:positionV relativeFrom="paragraph">
                              <wp:posOffset>89535</wp:posOffset>
                            </wp:positionV>
                            <wp:extent cx="1096010" cy="1473835"/>
                            <wp:effectExtent l="1905" t="381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47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182"/>
                                          <w:rPr>
                                            <w:rFonts w:ascii="Arial Narrow" w:hAnsi="Arial Narrow"/>
                                            <w:sz w:val="14"/>
                                            <w:szCs w:val="14"/>
                                          </w:rPr>
                                        </w:pPr>
                                        <w:r>
                                          <w:rPr>
                                            <w:rFonts w:ascii="Arial Narrow" w:hAnsi="Arial Narrow"/>
                                            <w:sz w:val="14"/>
                                            <w:szCs w:val="14"/>
                                          </w:rPr>
                                          <w:t>%</w:t>
                                        </w:r>
                                      </w:p>
                                      <w:p>
                                        <w:r>
                                          <w:rPr>
                                            <w:noProof/>
                                            <w:lang w:val="en-US"/>
                                          </w:rPr>
                                          <w:drawing>
                                            <wp:inline distT="0" distB="0" distL="0" distR="0">
                                              <wp:extent cx="898525" cy="1192530"/>
                                              <wp:effectExtent l="0" t="0" r="0" b="7620"/>
                                              <wp:docPr id="69" name="Picture 69" descr="\\s-eacea-fs03-p\EACEA.A7\Youth\04_Reports\a_EU_Youth_Reports\2018\03_graph\4_L_depression_gender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acea-fs03-p\EACEA.A7\Youth\04_Reports\a_EU_Youth_Reports\2018\03_graph\4_L_depression_gender_EU28.jp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898525" cy="11925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2.15pt;margin-top:7.05pt;width:86.3pt;height:1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YuhQ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" stroked="f">
                            <v:textbox>
                              <w:txbxContent>
                                <w:p>
                                  <w:pPr>
                                    <w:spacing w:after="0" w:line="240" w:lineRule="auto"/>
                                    <w:ind w:left="182"/>
                                    <w:rPr>
                                      <w:rFonts w:ascii="Arial Narrow" w:hAnsi="Arial Narrow"/>
                                      <w:sz w:val="14"/>
                                      <w:szCs w:val="14"/>
                                    </w:rPr>
                                  </w:pPr>
                                  <w:r>
                                    <w:rPr>
                                      <w:rFonts w:ascii="Arial Narrow" w:hAnsi="Arial Narrow"/>
                                      <w:sz w:val="14"/>
                                      <w:szCs w:val="14"/>
                                    </w:rPr>
                                    <w:t>%</w:t>
                                  </w:r>
                                </w:p>
                                <w:p>
                                  <w:r>
                                    <w:rPr>
                                      <w:noProof/>
                                      <w:lang w:val="en-US"/>
                                    </w:rPr>
                                    <w:drawing>
                                      <wp:inline distT="0" distB="0" distL="0" distR="0">
                                        <wp:extent cx="898525" cy="1192530"/>
                                        <wp:effectExtent l="0" t="0" r="0" b="7620"/>
                                        <wp:docPr id="69" name="Picture 69" descr="\\s-eacea-fs03-p\EACEA.A7\Youth\04_Reports\a_EU_Youth_Reports\2018\03_graph\4_L_depression_gender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acea-fs03-p\EACEA.A7\Youth\04_Reports\a_EU_Youth_Reports\2018\03_graph\4_L_depression_gender_EU28.jp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898525" cy="1192530"/>
                                                </a:xfrm>
                                                <a:prstGeom prst="rect">
                                                  <a:avLst/>
                                                </a:prstGeom>
                                                <a:noFill/>
                                                <a:ln>
                                                  <a:noFill/>
                                                </a:ln>
                                              </pic:spPr>
                                            </pic:pic>
                                          </a:graphicData>
                                        </a:graphic>
                                      </wp:inline>
                                    </w:drawing>
                                  </w:r>
                                </w:p>
                              </w:txbxContent>
                            </v:textbox>
                          </v:shape>
                        </w:pict>
                      </mc:Fallback>
                    </mc:AlternateContent>
                  </w:r>
                  <w:r>
                    <w:rPr>
                      <w:noProof/>
                      <w:snapToGrid/>
                    </w:rPr>
                    <w:drawing>
                      <wp:inline distT="0" distB="0" distL="0" distR="0">
                        <wp:extent cx="3625850" cy="2711450"/>
                        <wp:effectExtent l="0" t="0" r="0" b="0"/>
                        <wp:docPr id="48" name="Picture 48" descr="\\s-eacea-fs03-p\EACEA.A7\Youth\04_Reports\a_EU_Youth_Reports\2018\03_graph\4_L_depression_gende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acea-fs03-p\EACEA.A7\Youth\04_Reports\a_EU_Youth_Reports\2018\03_graph\4_L_depression_gender_MAP.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3625850" cy="2711450"/>
                                </a:xfrm>
                                <a:prstGeom prst="rect">
                                  <a:avLst/>
                                </a:prstGeom>
                                <a:noFill/>
                                <a:ln>
                                  <a:noFill/>
                                </a:ln>
                              </pic:spPr>
                            </pic:pic>
                          </a:graphicData>
                        </a:graphic>
                      </wp:inline>
                    </w:drawing>
                  </w:r>
                </w:p>
              </w:tc>
              <w:tc>
                <w:tcPr>
                  <w:tcW w:w="425" w:type="dxa"/>
                  <w:tcBorders>
                    <w:top w:val="nil"/>
                    <w:left w:val="nil"/>
                    <w:bottom w:val="nil"/>
                    <w:right w:val="nil"/>
                  </w:tcBorders>
                  <w:vAlign w:val="center"/>
                </w:tcPr>
                <w:p>
                  <w:pPr>
                    <w:pStyle w:val="a75TextbaseTable"/>
                    <w:rPr>
                      <w:noProof/>
                    </w:rPr>
                  </w:pPr>
                </w:p>
              </w:tc>
              <w:tc>
                <w:tcPr>
                  <w:tcW w:w="3402" w:type="dxa"/>
                  <w:tcBorders>
                    <w:top w:val="nil"/>
                    <w:left w:val="nil"/>
                    <w:bottom w:val="nil"/>
                  </w:tcBorders>
                  <w:shd w:val="clear" w:color="auto" w:fill="auto"/>
                  <w:vAlign w:val="center"/>
                </w:tcPr>
                <w:p>
                  <w:pPr>
                    <w:pStyle w:val="a75TextbaseTable"/>
                    <w:rPr>
                      <w:noProof/>
                    </w:rPr>
                  </w:pPr>
                </w:p>
              </w:tc>
            </w:tr>
            <w:tr>
              <w:trPr>
                <w:trHeight w:val="708"/>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Only women were in the sample OR more than five times as many young women as young men reported such symptoms</w:t>
                  </w:r>
                </w:p>
              </w:tc>
            </w:tr>
            <w:tr>
              <w:trPr>
                <w:trHeight w:val="449"/>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More than twice as many young women as young men reported such symptoms</w:t>
                  </w:r>
                </w:p>
              </w:tc>
            </w:tr>
            <w:tr>
              <w:trPr>
                <w:trHeight w:val="429"/>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67005" cy="167005"/>
                        <wp:effectExtent l="0" t="0" r="444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More young women than young men reported such symptoms, but less than twice as many</w:t>
                  </w:r>
                </w:p>
              </w:tc>
            </w:tr>
            <w:tr>
              <w:trPr>
                <w:trHeight w:val="451"/>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Similar proportions of young women and men reported such symptoms</w:t>
                  </w:r>
                </w:p>
              </w:tc>
            </w:tr>
            <w:tr>
              <w:trPr>
                <w:trHeight w:val="20"/>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More young men reported such symptoms</w:t>
                  </w:r>
                </w:p>
              </w:tc>
            </w:tr>
            <w:tr>
              <w:trPr>
                <w:trHeight w:val="372"/>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54" name="Picture 54" descr="NAv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NAvaiT"/>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Data not available/not collected</w:t>
                  </w:r>
                </w:p>
              </w:tc>
            </w:tr>
            <w:tr>
              <w:trPr>
                <w:trHeight w:val="402"/>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p>
              </w:tc>
              <w:tc>
                <w:tcPr>
                  <w:tcW w:w="3402" w:type="dxa"/>
                  <w:tcBorders>
                    <w:top w:val="nil"/>
                    <w:left w:val="nil"/>
                    <w:bottom w:val="nil"/>
                  </w:tcBorders>
                  <w:shd w:val="clear" w:color="auto" w:fill="auto"/>
                  <w:vAlign w:val="center"/>
                </w:tcPr>
                <w:p>
                  <w:pPr>
                    <w:pStyle w:val="a75TextbaseTable"/>
                    <w:spacing w:beforeLines="20" w:before="48" w:after="20"/>
                    <w:rPr>
                      <w:rFonts w:ascii="Verdana" w:hAnsi="Verdana"/>
                      <w:noProof/>
                      <w:color w:val="auto"/>
                      <w:sz w:val="14"/>
                      <w:szCs w:val="14"/>
                    </w:rPr>
                  </w:pPr>
                </w:p>
              </w:tc>
            </w:tr>
          </w:tbl>
          <w:p>
            <w:pPr>
              <w:pStyle w:val="Yo5TextNotesafter"/>
              <w:rPr>
                <w:noProof/>
                <w:sz w:val="16"/>
              </w:rPr>
            </w:pPr>
          </w:p>
        </w:tc>
      </w:tr>
    </w:tbl>
    <w:p>
      <w:pPr>
        <w:pStyle w:val="Yo5TextNotesbeforeafter"/>
        <w:rPr>
          <w:noProof/>
          <w:szCs w:val="14"/>
          <w:lang w:val="en-GB"/>
        </w:rPr>
      </w:pPr>
      <w:r>
        <w:rPr>
          <w:i/>
          <w:noProof/>
          <w:szCs w:val="14"/>
          <w:lang w:val="en-GB"/>
        </w:rPr>
        <w:t>Notes</w:t>
      </w:r>
      <w:r>
        <w:rPr>
          <w:noProof/>
          <w:szCs w:val="14"/>
          <w:lang w:val="en-GB"/>
        </w:rPr>
        <w:t>: The second wave of EHIS (EHIS wave 2 or EHIS round 2014) was conducted between 2013 and 2015. More specifically, while fieldwork was carried out in 2014 in most countries, it took place in 2013 in Belgium and the United Kingdom, and in 2015 in Denmark, Germany, Ireland, Italy, Iceland and Norway.</w:t>
      </w:r>
    </w:p>
    <w:p>
      <w:pPr>
        <w:pStyle w:val="Yo5TextNotesbeforeafter"/>
        <w:rPr>
          <w:noProof/>
          <w:lang w:val="en-GB"/>
        </w:rPr>
      </w:pPr>
      <w:r>
        <w:rPr>
          <w:noProof/>
          <w:szCs w:val="14"/>
          <w:lang w:val="en-GB"/>
        </w:rPr>
        <w:t>The figure covers symptoms of varying degrees of severity: moderate, moderately severe and severe.</w:t>
      </w:r>
    </w:p>
    <w:p>
      <w:pPr>
        <w:pStyle w:val="Yo5TextNotesbeforeafter"/>
        <w:rPr>
          <w:noProof/>
          <w:szCs w:val="14"/>
          <w:lang w:val="en-GB"/>
        </w:rPr>
      </w:pPr>
      <w:r>
        <w:rPr>
          <w:noProof/>
          <w:szCs w:val="14"/>
          <w:lang w:val="en-GB"/>
        </w:rPr>
        <w:t>The proportions of young women and men experiencing moderate to severe symptoms of depression are regarded as similar if the female/male ratio was between 0.85 and 1.15.</w:t>
      </w:r>
    </w:p>
    <w:p>
      <w:pPr>
        <w:pStyle w:val="Yo5TextNotesbeforeafter"/>
        <w:spacing w:before="120"/>
        <w:rPr>
          <w:noProof/>
          <w:szCs w:val="14"/>
          <w:lang w:val="en-GB"/>
        </w:rPr>
      </w:pPr>
      <w:r>
        <w:rPr>
          <w:i/>
          <w:noProof/>
          <w:szCs w:val="14"/>
          <w:lang w:val="en-GB"/>
        </w:rPr>
        <w:t xml:space="preserve">Source: </w:t>
      </w:r>
      <w:r>
        <w:rPr>
          <w:noProof/>
          <w:szCs w:val="14"/>
          <w:lang w:val="en-GB"/>
        </w:rPr>
        <w:t>Own calculation based on</w:t>
      </w:r>
      <w:r>
        <w:rPr>
          <w:i/>
          <w:noProof/>
          <w:szCs w:val="14"/>
          <w:lang w:val="en-GB"/>
        </w:rPr>
        <w:t xml:space="preserve"> </w:t>
      </w:r>
      <w:r>
        <w:rPr>
          <w:noProof/>
          <w:szCs w:val="14"/>
          <w:lang w:val="en-GB"/>
        </w:rPr>
        <w:t>Eurostat, European Health Interview Survey (EHIS), [hlth_ehis_mh2e].</w:t>
      </w:r>
    </w:p>
    <w:p>
      <w:pPr>
        <w:pStyle w:val="Yo5TextNotesbeforeafter"/>
        <w:spacing w:before="120"/>
        <w:rPr>
          <w:noProof/>
          <w:szCs w:val="14"/>
          <w:lang w:val="en-GB"/>
        </w:rPr>
      </w:pPr>
    </w:p>
    <w:p>
      <w:pPr>
        <w:pStyle w:val="Yo5TextEUYouthTOC"/>
        <w:framePr w:hSpace="0" w:wrap="auto" w:vAnchor="margin" w:hAnchor="text" w:xAlign="left" w:yAlign="inline"/>
        <w:spacing w:before="240"/>
        <w:rPr>
          <w:rFonts w:eastAsia="Times New Roman"/>
          <w:color w:val="DA1E48"/>
          <w:spacing w:val="20"/>
          <w:sz w:val="24"/>
          <w:szCs w:val="24"/>
        </w:rPr>
      </w:pPr>
      <w:r>
        <w:rPr>
          <w:rFonts w:eastAsia="Times New Roman"/>
          <w:color w:val="DA1E48"/>
          <w:spacing w:val="20"/>
          <w:sz w:val="24"/>
          <w:szCs w:val="24"/>
        </w:rPr>
        <w:t>4.3.2. Suicide</w:t>
      </w:r>
    </w:p>
    <w:p>
      <w:pPr>
        <w:pStyle w:val="Yo1Textpara"/>
        <w:rPr>
          <w:noProof/>
        </w:rPr>
      </w:pPr>
      <w:r>
        <w:rPr>
          <w:noProof/>
        </w:rPr>
        <w:t>The most serious outcome of mental suffering is suicide. After road accidents, suicide is the second leading cause of death among 15-29 year-olds (</w:t>
      </w:r>
      <w:r>
        <w:rPr>
          <w:rStyle w:val="FootnoteReference"/>
          <w:noProof/>
        </w:rPr>
        <w:footnoteReference w:id="56"/>
      </w:r>
      <w:r>
        <w:rPr>
          <w:noProof/>
        </w:rPr>
        <w:t>). As with depression, however, the differences between countries are quite significant. Suicide rates are by far the highest in Lithuania, where every 26 in 100 000 young people aged 15 to 24 committed suicide in 2014 (Figure 4-M). Although suicide rates are more or less stable in the EU-28, with a rate around 6.5 per 100 000, Lithuania saw a relatively large increase in crude death rates by intentional self-harm among 15-24 year-olds between 2011 and 2014 (from 19.5 to 26.3 per 100 000 inhabitants). The other two Baltic States and Ireland also register comparatively high suicide rates. At the same time, suicide rates are relatively low (below 5 per 100 000 inhabitants) in southern countries such as Greece, Spain, Italy, Cyprus and Portugal. In addition, Norway, which was among the countries with relatively high youth suicide rates in 2011, now registers crude death rates by intentional self-harm comparable to southern Europe.</w:t>
      </w:r>
    </w:p>
    <w:p>
      <w:pPr>
        <w:pStyle w:val="Yo5TitleFigure"/>
        <w:jc w:val="both"/>
      </w:pPr>
      <w:r>
        <w:rPr>
          <w:b/>
        </w:rPr>
        <w:t>Figure 4-M:</w:t>
      </w:r>
      <w:r>
        <w:t xml:space="preserve"> Death by intentional self-harm among young people aged 15-24, crude death rate (per 100 000 inhabitants), by country, 2011 and 2014</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4962"/>
        <w:gridCol w:w="4907"/>
      </w:tblGrid>
      <w:tr>
        <w:trPr>
          <w:trHeight w:val="2756"/>
        </w:trPr>
        <w:tc>
          <w:tcPr>
            <w:tcW w:w="533"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9869" w:type="dxa"/>
            <w:gridSpan w:val="2"/>
            <w:tcBorders>
              <w:bottom w:val="nil"/>
            </w:tcBorders>
            <w:shd w:val="clear" w:color="auto" w:fill="auto"/>
          </w:tcPr>
          <w:p>
            <w:pPr>
              <w:pStyle w:val="Yo5TextNotes"/>
              <w:tabs>
                <w:tab w:val="clear" w:pos="1985"/>
                <w:tab w:val="left" w:pos="9248"/>
              </w:tabs>
              <w:ind w:left="34"/>
              <w:rPr>
                <w:noProof/>
                <w:sz w:val="16"/>
              </w:rPr>
            </w:pPr>
            <w:r>
              <w:rPr>
                <w:noProof/>
              </w:rPr>
              <w:fldChar w:fldCharType="begin"/>
            </w:r>
            <w:r>
              <w:rPr>
                <w:noProof/>
              </w:rPr>
              <w:instrText xml:space="preserve"> INCLUDEPICTURE  "C:\\Users\\paredcr\\AppData\\Local\\Temp\\03_graph\\4_M_suicide.jpg" \* MERGEFORMATINET </w:instrText>
            </w:r>
            <w:r>
              <w:rPr>
                <w:noProof/>
              </w:rPr>
              <w:fldChar w:fldCharType="separate"/>
            </w:r>
            <w:r>
              <w:rPr>
                <w:noProof/>
              </w:rPr>
              <w:fldChar w:fldCharType="begin"/>
            </w:r>
            <w:r>
              <w:rPr>
                <w:noProof/>
              </w:rPr>
              <w:instrText xml:space="preserve"> INCLUDEPICTURE  "C:\\Users\\paredcr\\AppData\\Local\\Temp\\03_graph\\4_M_suicide.jpg" \* MERGEFORMATINET </w:instrText>
            </w:r>
            <w:r>
              <w:rPr>
                <w:noProof/>
              </w:rPr>
              <w:fldChar w:fldCharType="separate"/>
            </w:r>
            <w:r>
              <w:rPr>
                <w:noProof/>
              </w:rPr>
              <w:fldChar w:fldCharType="begin"/>
            </w:r>
            <w:r>
              <w:rPr>
                <w:noProof/>
              </w:rPr>
              <w:instrText xml:space="preserve"> INCLUDEPICTURE  "C:\\Users\\paredcr\\AppData\\Local\\Temp\\03_graph\\4_M_suicide.jpg" \* MERGEFORMATINET </w:instrText>
            </w:r>
            <w:r>
              <w:rPr>
                <w:noProof/>
              </w:rPr>
              <w:fldChar w:fldCharType="separate"/>
            </w:r>
            <w:r>
              <w:rPr>
                <w:noProof/>
              </w:rPr>
              <w:fldChar w:fldCharType="begin"/>
            </w:r>
            <w:r>
              <w:rPr>
                <w:noProof/>
              </w:rPr>
              <w:instrText xml:space="preserve"> INCLUDEPICTURE  "C:\\Users\\paredcr\\AppData\\Local\\Temp\\03_graph\\4_M_suicide.jpg" \* MERGEFORMATINET </w:instrText>
            </w:r>
            <w:r>
              <w:rPr>
                <w:noProof/>
              </w:rPr>
              <w:fldChar w:fldCharType="separate"/>
            </w:r>
            <w:r>
              <w:rPr>
                <w:noProof/>
              </w:rPr>
              <w:pict>
                <v:shape id="_x0000_i1028" type="#_x0000_t75" style="width:481.5pt;height:165.75pt">
                  <v:imagedata r:id="rId72" r:href="rId73"/>
                </v:shape>
              </w:pict>
            </w:r>
            <w:r>
              <w:rPr>
                <w:noProof/>
              </w:rPr>
              <w:fldChar w:fldCharType="end"/>
            </w:r>
            <w:r>
              <w:rPr>
                <w:noProof/>
              </w:rPr>
              <w:fldChar w:fldCharType="end"/>
            </w:r>
            <w:r>
              <w:rPr>
                <w:noProof/>
              </w:rPr>
              <w:fldChar w:fldCharType="end"/>
            </w:r>
            <w:r>
              <w:rPr>
                <w:noProof/>
              </w:rPr>
              <w:fldChar w:fldCharType="end"/>
            </w:r>
          </w:p>
        </w:tc>
      </w:tr>
      <w:tr>
        <w:trPr>
          <w:trHeight w:val="2250"/>
        </w:trPr>
        <w:tc>
          <w:tcPr>
            <w:tcW w:w="533" w:type="dxa"/>
            <w:vMerge/>
            <w:shd w:val="clear" w:color="auto" w:fill="FB5F5F"/>
            <w:textDirection w:val="btLr"/>
            <w:vAlign w:val="bottom"/>
          </w:tcPr>
          <w:p>
            <w:pPr>
              <w:spacing w:after="0" w:line="240" w:lineRule="auto"/>
              <w:ind w:left="113" w:right="113"/>
              <w:rPr>
                <w:b/>
                <w:noProof/>
                <w:color w:val="FFFFFF"/>
                <w:sz w:val="16"/>
              </w:rPr>
            </w:pPr>
          </w:p>
        </w:tc>
        <w:tc>
          <w:tcPr>
            <w:tcW w:w="4962" w:type="dxa"/>
            <w:tcBorders>
              <w:top w:val="nil"/>
              <w:right w:val="nil"/>
            </w:tcBorders>
            <w:shd w:val="clear" w:color="auto" w:fill="auto"/>
            <w:tcMar>
              <w:left w:w="198" w:type="dxa"/>
            </w:tcMar>
          </w:tcPr>
          <w:p>
            <w:pPr>
              <w:pStyle w:val="Yo5TitleFigure"/>
              <w:tabs>
                <w:tab w:val="left" w:pos="7032"/>
              </w:tabs>
              <w:spacing w:before="60" w:line="240" w:lineRule="auto"/>
              <w:ind w:left="2637" w:hanging="2552"/>
              <w:rPr>
                <w:sz w:val="14"/>
                <w:szCs w:val="14"/>
              </w:rPr>
            </w:pPr>
            <w:r>
              <w:rPr>
                <w:b/>
                <w:sz w:val="14"/>
                <w:szCs w:val="14"/>
              </w:rPr>
              <w:t xml:space="preserve">Figure 4-M-b: </w:t>
            </w:r>
            <w:r>
              <w:rPr>
                <w:sz w:val="14"/>
                <w:szCs w:val="14"/>
              </w:rPr>
              <w:t>Death by intentional self-harm, by age, EU-28 average, per 100 000 inhabitants, 2014</w:t>
            </w:r>
          </w:p>
          <w:p>
            <w:pPr>
              <w:pStyle w:val="Yo5TextNotes"/>
              <w:tabs>
                <w:tab w:val="clear" w:pos="1985"/>
                <w:tab w:val="right" w:pos="8722"/>
              </w:tabs>
              <w:spacing w:after="120"/>
              <w:ind w:left="511"/>
              <w:jc w:val="left"/>
              <w:rPr>
                <w:noProof/>
                <w:lang w:val="en-GB" w:eastAsia="en-GB"/>
              </w:rPr>
            </w:pPr>
            <w:r>
              <w:rPr>
                <w:noProof/>
                <w:snapToGrid/>
                <w:lang w:val="en-US"/>
              </w:rPr>
              <w:drawing>
                <wp:inline distT="0" distB="0" distL="0" distR="0">
                  <wp:extent cx="1153160" cy="1216660"/>
                  <wp:effectExtent l="0" t="0" r="8890" b="2540"/>
                  <wp:docPr id="56" name="Picture 56" descr="\\s-eacea-fs03-p\EACEA.A7\Youth\04_Reports\a_EU_Youth_Reports\2018\03_graph\4_M_b_suic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acea-fs03-p\EACEA.A7\Youth\04_Reports\a_EU_Youth_Reports\2018\03_graph\4_M_b_suicide.jpg"/>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153160" cy="1216660"/>
                          </a:xfrm>
                          <a:prstGeom prst="rect">
                            <a:avLst/>
                          </a:prstGeom>
                          <a:noFill/>
                          <a:ln>
                            <a:noFill/>
                          </a:ln>
                        </pic:spPr>
                      </pic:pic>
                    </a:graphicData>
                  </a:graphic>
                </wp:inline>
              </w:drawing>
            </w:r>
          </w:p>
        </w:tc>
        <w:tc>
          <w:tcPr>
            <w:tcW w:w="4907" w:type="dxa"/>
            <w:tcBorders>
              <w:top w:val="nil"/>
              <w:left w:val="nil"/>
            </w:tcBorders>
            <w:shd w:val="clear" w:color="auto" w:fill="auto"/>
          </w:tcPr>
          <w:p>
            <w:pPr>
              <w:pStyle w:val="Yo5TextNotes"/>
              <w:tabs>
                <w:tab w:val="clear" w:pos="1985"/>
                <w:tab w:val="right" w:pos="8722"/>
              </w:tabs>
              <w:spacing w:before="60"/>
              <w:rPr>
                <w:noProof/>
                <w:lang w:val="en-GB" w:eastAsia="en-GB"/>
              </w:rPr>
            </w:pPr>
          </w:p>
          <w:p>
            <w:pPr>
              <w:pStyle w:val="Yo5TextNotes"/>
              <w:tabs>
                <w:tab w:val="clear" w:pos="1985"/>
                <w:tab w:val="right" w:pos="8722"/>
              </w:tabs>
              <w:spacing w:before="60"/>
              <w:rPr>
                <w:noProof/>
                <w:lang w:val="en-GB" w:eastAsia="en-GB"/>
              </w:rPr>
            </w:pPr>
          </w:p>
          <w:p>
            <w:pPr>
              <w:pStyle w:val="Yo5TextNotes"/>
              <w:tabs>
                <w:tab w:val="clear" w:pos="1985"/>
                <w:tab w:val="right" w:pos="8722"/>
              </w:tabs>
              <w:spacing w:before="60"/>
              <w:rPr>
                <w:noProof/>
                <w:lang w:val="en-GB" w:eastAsia="en-GB"/>
              </w:rPr>
            </w:pPr>
          </w:p>
          <w:p>
            <w:pPr>
              <w:pStyle w:val="Yo5TextNotes"/>
              <w:tabs>
                <w:tab w:val="clear" w:pos="1985"/>
                <w:tab w:val="right" w:pos="8722"/>
              </w:tabs>
              <w:spacing w:before="60"/>
              <w:rPr>
                <w:noProof/>
                <w:lang w:val="en-GB" w:eastAsia="en-GB"/>
              </w:rPr>
            </w:pPr>
          </w:p>
          <w:p>
            <w:pPr>
              <w:pStyle w:val="Yo5TextNotes"/>
              <w:tabs>
                <w:tab w:val="clear" w:pos="1985"/>
                <w:tab w:val="right" w:pos="8722"/>
              </w:tabs>
              <w:spacing w:before="60"/>
              <w:rPr>
                <w:noProof/>
                <w:lang w:val="en-GB" w:eastAsia="en-GB"/>
              </w:rPr>
            </w:pPr>
          </w:p>
          <w:p>
            <w:pPr>
              <w:pStyle w:val="Yo5TextNotes"/>
              <w:tabs>
                <w:tab w:val="clear" w:pos="1985"/>
                <w:tab w:val="right" w:pos="8722"/>
              </w:tabs>
              <w:spacing w:before="60"/>
              <w:rPr>
                <w:noProof/>
                <w:lang w:val="en-GB" w:eastAsia="en-GB"/>
              </w:rPr>
            </w:pPr>
          </w:p>
          <w:p>
            <w:pPr>
              <w:pStyle w:val="Yo5TextNotes"/>
              <w:tabs>
                <w:tab w:val="clear" w:pos="1985"/>
                <w:tab w:val="right" w:pos="8722"/>
              </w:tabs>
              <w:spacing w:before="60"/>
              <w:rPr>
                <w:noProof/>
                <w:lang w:val="en-GB" w:eastAsia="en-GB"/>
              </w:rPr>
            </w:pPr>
          </w:p>
          <w:p>
            <w:pPr>
              <w:pStyle w:val="Yo5TextNotes"/>
              <w:tabs>
                <w:tab w:val="clear" w:pos="1985"/>
                <w:tab w:val="right" w:pos="8722"/>
              </w:tabs>
              <w:spacing w:before="60"/>
              <w:ind w:left="1593"/>
              <w:jc w:val="left"/>
              <w:rPr>
                <w:noProof/>
                <w:lang w:val="en-GB" w:eastAsia="en-GB"/>
              </w:rPr>
            </w:pPr>
            <w:r>
              <w:rPr>
                <w:i/>
                <w:noProof/>
                <w:lang w:val="en-GB" w:eastAsia="en-GB"/>
              </w:rPr>
              <w:t>Notes:</w:t>
            </w:r>
            <w:r>
              <w:rPr>
                <w:noProof/>
                <w:lang w:val="en-GB" w:eastAsia="en-GB"/>
              </w:rPr>
              <w:t xml:space="preserve"> Liechtenstein: data are confidential.</w:t>
            </w:r>
          </w:p>
          <w:p>
            <w:pPr>
              <w:pStyle w:val="Yo5TextNotes"/>
              <w:tabs>
                <w:tab w:val="clear" w:pos="1985"/>
                <w:tab w:val="right" w:pos="8722"/>
              </w:tabs>
              <w:spacing w:before="60"/>
              <w:ind w:left="1593"/>
              <w:jc w:val="left"/>
              <w:rPr>
                <w:noProof/>
                <w:lang w:val="en-GB" w:eastAsia="en-GB"/>
              </w:rPr>
            </w:pPr>
            <w:r>
              <w:rPr>
                <w:bCs/>
                <w:i/>
                <w:noProof/>
                <w:snapToGrid/>
                <w:szCs w:val="14"/>
                <w:lang w:val="en-GB"/>
              </w:rPr>
              <w:t>Source:</w:t>
            </w:r>
            <w:r>
              <w:rPr>
                <w:bCs/>
                <w:noProof/>
                <w:snapToGrid/>
                <w:szCs w:val="14"/>
                <w:lang w:val="en-GB"/>
              </w:rPr>
              <w:t xml:space="preserve"> Eurostat, [hlth_cd_acdr2]</w:t>
            </w:r>
          </w:p>
        </w:tc>
      </w:tr>
    </w:tbl>
    <w:p>
      <w:pPr>
        <w:pStyle w:val="Yo5TextNotesbeforeafter"/>
        <w:spacing w:before="0" w:after="0"/>
        <w:rPr>
          <w:noProof/>
          <w:szCs w:val="14"/>
          <w:lang w:val="en-GB"/>
        </w:rPr>
      </w:pPr>
    </w:p>
    <w:p>
      <w:pPr>
        <w:pStyle w:val="Yo1Textpara"/>
        <w:rPr>
          <w:noProof/>
        </w:rPr>
      </w:pPr>
      <w:r>
        <w:rPr>
          <w:noProof/>
        </w:rPr>
        <w:t>As Figure 4-M-b illustrates, across Europe, suicide rates generally increase with age. However, there are a few exceptions. In Ireland, for example, crude death rates by suicide are higher in both the 15-24 and 25-29 age groups than within the total population; while in Estonia, Cyprus and Finland, young people aged 25-29 are more prone to commit suicide than older – or younger – groups (</w:t>
      </w:r>
      <w:r>
        <w:rPr>
          <w:rStyle w:val="FootnoteReference"/>
          <w:noProof/>
        </w:rPr>
        <w:footnoteReference w:id="57"/>
      </w:r>
      <w:r>
        <w:rPr>
          <w:noProof/>
        </w:rPr>
        <w:t>). In these three countries, suicide rates among 25-29 year-olds were higher in 2014 than in 2011; in Estonia, the rate almost doubled in this period (</w:t>
      </w:r>
      <w:r>
        <w:rPr>
          <w:rStyle w:val="FootnoteReference"/>
          <w:noProof/>
        </w:rPr>
        <w:footnoteReference w:id="58"/>
      </w:r>
      <w:r>
        <w:rPr>
          <w:noProof/>
        </w:rPr>
        <w:t xml:space="preserve">). </w:t>
      </w:r>
    </w:p>
    <w:tbl>
      <w:tblPr>
        <w:tblpPr w:leftFromText="180" w:rightFromText="180" w:vertAnchor="text" w:horzAnchor="margin" w:tblpXSpec="right" w:tblpY="243"/>
        <w:tblOverlap w:val="never"/>
        <w:tblW w:w="0" w:type="auto"/>
        <w:shd w:val="clear" w:color="auto" w:fill="FFA3A4"/>
        <w:tblLook w:val="04A0" w:firstRow="1" w:lastRow="0" w:firstColumn="1" w:lastColumn="0" w:noHBand="0" w:noVBand="1"/>
      </w:tblPr>
      <w:tblGrid>
        <w:gridCol w:w="3436"/>
      </w:tblGrid>
      <w:tr>
        <w:tc>
          <w:tcPr>
            <w:tcW w:w="3436" w:type="dxa"/>
            <w:shd w:val="clear" w:color="auto" w:fill="FFA3A4"/>
            <w:hideMark/>
          </w:tcPr>
          <w:p>
            <w:pPr>
              <w:pStyle w:val="Yo12Encart"/>
              <w:framePr w:hSpace="0" w:wrap="auto" w:vAnchor="margin" w:hAnchor="text" w:xAlign="left" w:yAlign="inline"/>
              <w:suppressOverlap w:val="0"/>
              <w:rPr>
                <w:noProof/>
                <w:sz w:val="22"/>
                <w:szCs w:val="22"/>
              </w:rPr>
            </w:pPr>
            <w:r>
              <w:rPr>
                <w:noProof/>
                <w:sz w:val="22"/>
                <w:szCs w:val="22"/>
              </w:rPr>
              <w:t>Young men commit suicide in larger proportions than young women. Suicide rates increased substantially among young men in Lithuania, while they decreased in Norway.</w:t>
            </w:r>
          </w:p>
        </w:tc>
      </w:tr>
    </w:tbl>
    <w:p>
      <w:pPr>
        <w:pStyle w:val="Yo1Textpara"/>
        <w:rPr>
          <w:noProof/>
        </w:rPr>
      </w:pPr>
      <w:r>
        <w:rPr>
          <w:noProof/>
        </w:rPr>
        <w:t xml:space="preserve">Despite depression being more commonly reported among women than among men, young men are much more likely to commit fatal suicide than young women (Figure 4-N). While only 2.7 in 100 000 women aged 15 to 24 died due to intentional self-harm in 2014, the rate is more than three times higher </w:t>
      </w:r>
      <w:r>
        <w:rPr>
          <w:noProof/>
        </w:rPr>
        <w:sym w:font="Symbol" w:char="F02D"/>
      </w:r>
      <w:r>
        <w:rPr>
          <w:noProof/>
        </w:rPr>
        <w:t xml:space="preserve"> 10 per 100 000 </w:t>
      </w:r>
      <w:r>
        <w:rPr>
          <w:noProof/>
        </w:rPr>
        <w:sym w:font="Symbol" w:char="F02D"/>
      </w:r>
      <w:r>
        <w:rPr>
          <w:noProof/>
        </w:rPr>
        <w:t xml:space="preserve"> among young men. As Figure 4-N depicts, female to male ratios are especially high in central and eastern Europe, where in many countries, young men are more than five times as likely to commit suicide as young women.</w:t>
      </w:r>
    </w:p>
    <w:p>
      <w:pPr>
        <w:pStyle w:val="Yo1Textpara"/>
        <w:rPr>
          <w:noProof/>
        </w:rPr>
      </w:pPr>
      <w:r>
        <w:rPr>
          <w:noProof/>
        </w:rPr>
        <w:t>However, higher crude death rates by intentional self-harm among men does not mean that men are more likely than women to attempt suicide. In fact, data and estimates show the opposite: non-fatal suicide attempts are more common among women (</w:t>
      </w:r>
      <w:r>
        <w:rPr>
          <w:rStyle w:val="FootnoteReference"/>
          <w:noProof/>
        </w:rPr>
        <w:footnoteReference w:id="59"/>
      </w:r>
      <w:r>
        <w:rPr>
          <w:noProof/>
        </w:rPr>
        <w:t>). One reason for such a difference is that men tend to choose more lethal suicide methods (</w:t>
      </w:r>
      <w:r>
        <w:rPr>
          <w:rStyle w:val="FootnoteReference"/>
          <w:noProof/>
        </w:rPr>
        <w:footnoteReference w:id="60"/>
      </w:r>
      <w:r>
        <w:rPr>
          <w:noProof/>
        </w:rPr>
        <w:t>).</w:t>
      </w:r>
    </w:p>
    <w:p>
      <w:pPr>
        <w:pStyle w:val="Yo5TitleFigure"/>
        <w:jc w:val="both"/>
      </w:pPr>
      <w:r>
        <w:rPr>
          <w:b/>
        </w:rPr>
        <w:t>Figure 4-N:</w:t>
      </w:r>
      <w:r>
        <w:t xml:space="preserve"> Gender differences in the proportion of young people aged 15-24 whose death is caused by intentional self-harm, 2014</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520"/>
        </w:trPr>
        <w:tc>
          <w:tcPr>
            <w:tcW w:w="533" w:type="dxa"/>
            <w:shd w:val="clear" w:color="auto" w:fill="FB5F5F"/>
            <w:textDirection w:val="btLr"/>
            <w:vAlign w:val="bottom"/>
          </w:tcPr>
          <w:p>
            <w:pPr>
              <w:pStyle w:val="Yo13YouthIndicator"/>
              <w:jc w:val="center"/>
              <w:rPr>
                <w:noProof/>
                <w:lang w:eastAsia="fr-BE"/>
              </w:rPr>
            </w:pPr>
            <w:r>
              <w:rPr>
                <w:noProof/>
              </w:rPr>
              <w:t>EU youth indicator</w:t>
            </w:r>
          </w:p>
        </w:tc>
        <w:tc>
          <w:tcPr>
            <w:tcW w:w="9869" w:type="dxa"/>
            <w:shd w:val="clear" w:color="auto" w:fill="auto"/>
          </w:tcPr>
          <w:tbl>
            <w:tblPr>
              <w:tblW w:w="9673"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846"/>
              <w:gridCol w:w="425"/>
              <w:gridCol w:w="3402"/>
            </w:tblGrid>
            <w:tr>
              <w:trPr>
                <w:trHeight w:val="539"/>
              </w:trPr>
              <w:tc>
                <w:tcPr>
                  <w:tcW w:w="5846" w:type="dxa"/>
                  <w:vMerge w:val="restart"/>
                  <w:tcBorders>
                    <w:right w:val="nil"/>
                  </w:tcBorders>
                  <w:shd w:val="clear" w:color="auto" w:fill="auto"/>
                </w:tcPr>
                <w:p>
                  <w:pPr>
                    <w:pStyle w:val="a75TextbaseTable"/>
                    <w:rPr>
                      <w:noProof/>
                    </w:rPr>
                  </w:pPr>
                  <w:r>
                    <w:rPr>
                      <w:noProof/>
                      <w:snapToGrid/>
                    </w:rPr>
                    <mc:AlternateContent>
                      <mc:Choice Requires="wps">
                        <w:drawing>
                          <wp:anchor distT="0" distB="0" distL="114300" distR="114300" simplePos="0" relativeHeight="251658240" behindDoc="0" locked="0" layoutInCell="1" allowOverlap="1">
                            <wp:simplePos x="0" y="0"/>
                            <wp:positionH relativeFrom="column">
                              <wp:posOffset>2422525</wp:posOffset>
                            </wp:positionH>
                            <wp:positionV relativeFrom="paragraph">
                              <wp:posOffset>75565</wp:posOffset>
                            </wp:positionV>
                            <wp:extent cx="1096010" cy="1473835"/>
                            <wp:effectExtent l="3175" t="0" r="0" b="317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47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48"/>
                                          <w:rPr>
                                            <w:rFonts w:ascii="Arial Narrow" w:hAnsi="Arial Narrow"/>
                                            <w:sz w:val="14"/>
                                            <w:szCs w:val="14"/>
                                          </w:rPr>
                                        </w:pPr>
                                        <w:r>
                                          <w:rPr>
                                            <w:rFonts w:ascii="Arial Narrow" w:hAnsi="Arial Narrow"/>
                                            <w:sz w:val="14"/>
                                            <w:szCs w:val="14"/>
                                          </w:rPr>
                                          <w:t>Per 100 000</w:t>
                                        </w:r>
                                      </w:p>
                                      <w:p>
                                        <w:r>
                                          <w:rPr>
                                            <w:noProof/>
                                            <w:lang w:val="en-US"/>
                                          </w:rPr>
                                          <w:drawing>
                                            <wp:inline distT="0" distB="0" distL="0" distR="0">
                                              <wp:extent cx="977900" cy="1224280"/>
                                              <wp:effectExtent l="0" t="0" r="0" b="0"/>
                                              <wp:docPr id="70" name="Picture 70" descr="\\s-eacea-fs03-p\EACEA.A7\Youth\04_Reports\a_EU_Youth_Reports\2018\03_graph\4_N_suicide_gender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acea-fs03-p\EACEA.A7\Youth\04_Reports\a_EU_Youth_Reports\2018\03_graph\4_N_suicide_gender_EU28.jp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977900" cy="1224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0.75pt;margin-top:5.95pt;width:86.3pt;height:11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NEhQ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" stroked="f">
                            <v:textbox>
                              <w:txbxContent>
                                <w:p>
                                  <w:pPr>
                                    <w:spacing w:after="0" w:line="240" w:lineRule="auto"/>
                                    <w:ind w:left="448"/>
                                    <w:rPr>
                                      <w:rFonts w:ascii="Arial Narrow" w:hAnsi="Arial Narrow"/>
                                      <w:sz w:val="14"/>
                                      <w:szCs w:val="14"/>
                                    </w:rPr>
                                  </w:pPr>
                                  <w:r>
                                    <w:rPr>
                                      <w:rFonts w:ascii="Arial Narrow" w:hAnsi="Arial Narrow"/>
                                      <w:sz w:val="14"/>
                                      <w:szCs w:val="14"/>
                                    </w:rPr>
                                    <w:t>Per 100 000</w:t>
                                  </w:r>
                                </w:p>
                                <w:p>
                                  <w:r>
                                    <w:rPr>
                                      <w:noProof/>
                                      <w:lang w:val="en-US"/>
                                    </w:rPr>
                                    <w:drawing>
                                      <wp:inline distT="0" distB="0" distL="0" distR="0">
                                        <wp:extent cx="977900" cy="1224280"/>
                                        <wp:effectExtent l="0" t="0" r="0" b="0"/>
                                        <wp:docPr id="70" name="Picture 70" descr="\\s-eacea-fs03-p\EACEA.A7\Youth\04_Reports\a_EU_Youth_Reports\2018\03_graph\4_N_suicide_gender_EU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acea-fs03-p\EACEA.A7\Youth\04_Reports\a_EU_Youth_Reports\2018\03_graph\4_N_suicide_gender_EU28.jp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977900" cy="1224280"/>
                                                </a:xfrm>
                                                <a:prstGeom prst="rect">
                                                  <a:avLst/>
                                                </a:prstGeom>
                                                <a:noFill/>
                                                <a:ln>
                                                  <a:noFill/>
                                                </a:ln>
                                              </pic:spPr>
                                            </pic:pic>
                                          </a:graphicData>
                                        </a:graphic>
                                      </wp:inline>
                                    </w:drawing>
                                  </w:r>
                                </w:p>
                              </w:txbxContent>
                            </v:textbox>
                          </v:shape>
                        </w:pict>
                      </mc:Fallback>
                    </mc:AlternateContent>
                  </w:r>
                  <w:r>
                    <w:rPr>
                      <w:noProof/>
                      <w:snapToGrid/>
                    </w:rPr>
                    <w:drawing>
                      <wp:inline distT="0" distB="0" distL="0" distR="0">
                        <wp:extent cx="3625850" cy="2711450"/>
                        <wp:effectExtent l="0" t="0" r="0" b="0"/>
                        <wp:docPr id="57" name="Picture 57" descr="\\s-eacea-fs03-p\EACEA.A7\Youth\04_Reports\a_EU_Youth_Reports\2018\03_graph\4_N_suicide_gender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acea-fs03-p\EACEA.A7\Youth\04_Reports\a_EU_Youth_Reports\2018\03_graph\4_N_suicide_gender_MAP.jpg"/>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3625850" cy="2711450"/>
                                </a:xfrm>
                                <a:prstGeom prst="rect">
                                  <a:avLst/>
                                </a:prstGeom>
                                <a:noFill/>
                                <a:ln>
                                  <a:noFill/>
                                </a:ln>
                              </pic:spPr>
                            </pic:pic>
                          </a:graphicData>
                        </a:graphic>
                      </wp:inline>
                    </w:drawing>
                  </w:r>
                </w:p>
              </w:tc>
              <w:tc>
                <w:tcPr>
                  <w:tcW w:w="425" w:type="dxa"/>
                  <w:tcBorders>
                    <w:top w:val="nil"/>
                    <w:left w:val="nil"/>
                    <w:bottom w:val="nil"/>
                    <w:right w:val="nil"/>
                  </w:tcBorders>
                  <w:vAlign w:val="center"/>
                </w:tcPr>
                <w:p>
                  <w:pPr>
                    <w:pStyle w:val="a75TextbaseTable"/>
                    <w:spacing w:beforeLines="20" w:before="48" w:after="20"/>
                    <w:rPr>
                      <w:noProof/>
                    </w:rPr>
                  </w:pPr>
                </w:p>
              </w:tc>
              <w:tc>
                <w:tcPr>
                  <w:tcW w:w="3402" w:type="dxa"/>
                  <w:tcBorders>
                    <w:top w:val="nil"/>
                    <w:left w:val="nil"/>
                    <w:bottom w:val="nil"/>
                  </w:tcBorders>
                  <w:shd w:val="clear" w:color="auto" w:fill="auto"/>
                  <w:vAlign w:val="center"/>
                </w:tcPr>
                <w:p>
                  <w:pPr>
                    <w:pStyle w:val="a75TextbaseTable"/>
                    <w:rPr>
                      <w:noProof/>
                    </w:rPr>
                  </w:pPr>
                </w:p>
              </w:tc>
            </w:tr>
            <w:tr>
              <w:trPr>
                <w:trHeight w:val="534"/>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More than five times as many young men commit suicide as young women</w:t>
                  </w:r>
                </w:p>
              </w:tc>
            </w:tr>
            <w:tr>
              <w:trPr>
                <w:trHeight w:val="444"/>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More than twice as many young men commit suicide as young women</w:t>
                  </w:r>
                </w:p>
              </w:tc>
            </w:tr>
            <w:tr>
              <w:trPr>
                <w:trHeight w:val="361"/>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More young men than young women commit suicide, but less than twice as many</w:t>
                  </w:r>
                </w:p>
              </w:tc>
            </w:tr>
            <w:tr>
              <w:trPr>
                <w:trHeight w:val="515"/>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Similar proportions of young women and men commit suicide</w:t>
                  </w:r>
                </w:p>
              </w:tc>
            </w:tr>
            <w:tr>
              <w:trPr>
                <w:trHeight w:val="347"/>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r>
                    <w:rPr>
                      <w:noProof/>
                      <w:snapToGrid/>
                    </w:rPr>
                    <w:drawing>
                      <wp:inline distT="0" distB="0" distL="0" distR="0">
                        <wp:extent cx="142875" cy="142875"/>
                        <wp:effectExtent l="19050" t="19050" r="28575" b="28575"/>
                        <wp:docPr id="62" name="Picture 62" descr="NAv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NAvaiT"/>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402" w:type="dxa"/>
                  <w:tcBorders>
                    <w:top w:val="nil"/>
                    <w:left w:val="nil"/>
                    <w:bottom w:val="nil"/>
                  </w:tcBorders>
                  <w:shd w:val="clear" w:color="auto" w:fill="auto"/>
                  <w:vAlign w:val="center"/>
                </w:tcPr>
                <w:p>
                  <w:pPr>
                    <w:pStyle w:val="a75TextbaseTable"/>
                    <w:rPr>
                      <w:rFonts w:ascii="Verdana" w:hAnsi="Verdana"/>
                      <w:noProof/>
                      <w:color w:val="auto"/>
                      <w:sz w:val="14"/>
                      <w:szCs w:val="14"/>
                    </w:rPr>
                  </w:pPr>
                  <w:r>
                    <w:rPr>
                      <w:rFonts w:ascii="Verdana" w:hAnsi="Verdana"/>
                      <w:noProof/>
                      <w:color w:val="auto"/>
                      <w:sz w:val="14"/>
                      <w:szCs w:val="14"/>
                    </w:rPr>
                    <w:t>Data not available/not collected</w:t>
                  </w:r>
                </w:p>
              </w:tc>
            </w:tr>
            <w:tr>
              <w:trPr>
                <w:trHeight w:val="402"/>
              </w:trPr>
              <w:tc>
                <w:tcPr>
                  <w:tcW w:w="5846" w:type="dxa"/>
                  <w:vMerge/>
                  <w:tcBorders>
                    <w:right w:val="nil"/>
                  </w:tcBorders>
                  <w:shd w:val="clear" w:color="auto" w:fill="auto"/>
                </w:tcPr>
                <w:p>
                  <w:pPr>
                    <w:pStyle w:val="a75TextbaseTable"/>
                    <w:rPr>
                      <w:noProof/>
                    </w:rPr>
                  </w:pPr>
                </w:p>
              </w:tc>
              <w:tc>
                <w:tcPr>
                  <w:tcW w:w="425" w:type="dxa"/>
                  <w:tcBorders>
                    <w:top w:val="nil"/>
                    <w:left w:val="nil"/>
                    <w:bottom w:val="nil"/>
                    <w:right w:val="nil"/>
                  </w:tcBorders>
                  <w:vAlign w:val="center"/>
                </w:tcPr>
                <w:p>
                  <w:pPr>
                    <w:pStyle w:val="a75TextbaseTable"/>
                    <w:spacing w:beforeLines="20" w:before="48" w:after="20"/>
                    <w:rPr>
                      <w:noProof/>
                    </w:rPr>
                  </w:pPr>
                </w:p>
              </w:tc>
              <w:tc>
                <w:tcPr>
                  <w:tcW w:w="3402" w:type="dxa"/>
                  <w:tcBorders>
                    <w:top w:val="nil"/>
                    <w:left w:val="nil"/>
                    <w:bottom w:val="nil"/>
                  </w:tcBorders>
                  <w:shd w:val="clear" w:color="auto" w:fill="auto"/>
                  <w:vAlign w:val="center"/>
                </w:tcPr>
                <w:p>
                  <w:pPr>
                    <w:pStyle w:val="a75TextbaseTable"/>
                    <w:rPr>
                      <w:noProof/>
                    </w:rPr>
                  </w:pPr>
                </w:p>
              </w:tc>
            </w:tr>
          </w:tbl>
          <w:p>
            <w:pPr>
              <w:pStyle w:val="Yo5TextNotesafter"/>
              <w:rPr>
                <w:noProof/>
                <w:sz w:val="16"/>
              </w:rPr>
            </w:pPr>
          </w:p>
        </w:tc>
      </w:tr>
    </w:tbl>
    <w:p>
      <w:pPr>
        <w:pStyle w:val="Yo5TextNotesbeforeafter"/>
        <w:rPr>
          <w:noProof/>
          <w:szCs w:val="14"/>
          <w:lang w:val="en-GB"/>
        </w:rPr>
      </w:pPr>
      <w:r>
        <w:rPr>
          <w:i/>
          <w:noProof/>
          <w:szCs w:val="14"/>
          <w:lang w:val="en-GB"/>
        </w:rPr>
        <w:t xml:space="preserve">Notes: </w:t>
      </w:r>
      <w:r>
        <w:rPr>
          <w:noProof/>
          <w:szCs w:val="14"/>
          <w:lang w:val="en-GB"/>
        </w:rPr>
        <w:t>Malta and</w:t>
      </w:r>
      <w:r>
        <w:rPr>
          <w:i/>
          <w:noProof/>
          <w:szCs w:val="14"/>
          <w:lang w:val="en-GB"/>
        </w:rPr>
        <w:t xml:space="preserve"> </w:t>
      </w:r>
      <w:r>
        <w:rPr>
          <w:noProof/>
          <w:szCs w:val="14"/>
          <w:lang w:val="en-GB"/>
        </w:rPr>
        <w:t>Liechtenstein: data are confidential.</w:t>
      </w:r>
    </w:p>
    <w:p>
      <w:pPr>
        <w:pStyle w:val="Yo5TextNotesbeforeafter"/>
        <w:rPr>
          <w:i/>
          <w:noProof/>
          <w:szCs w:val="14"/>
          <w:lang w:val="en-GB"/>
        </w:rPr>
      </w:pPr>
      <w:r>
        <w:rPr>
          <w:noProof/>
          <w:szCs w:val="14"/>
          <w:lang w:val="en-GB"/>
        </w:rPr>
        <w:t>The proportions of young women and men committing suicide are regarded as similar if the male/female ratio was between 0.85 and 1.15.</w:t>
      </w:r>
    </w:p>
    <w:p>
      <w:pPr>
        <w:pStyle w:val="Yo5TextNotesbeforeafter"/>
        <w:rPr>
          <w:noProof/>
          <w:lang w:val="en-US"/>
        </w:rPr>
      </w:pPr>
      <w:r>
        <w:rPr>
          <w:bCs/>
          <w:i/>
          <w:noProof/>
          <w:snapToGrid/>
          <w:szCs w:val="14"/>
          <w:lang w:val="en-GB"/>
        </w:rPr>
        <w:t>Source:</w:t>
      </w:r>
      <w:r>
        <w:rPr>
          <w:bCs/>
          <w:noProof/>
          <w:snapToGrid/>
          <w:szCs w:val="14"/>
          <w:lang w:val="en-GB"/>
        </w:rPr>
        <w:t xml:space="preserve"> Own calculation based on Eurostat, [hlth_cd_acdr2].</w:t>
      </w:r>
    </w:p>
    <w:p>
      <w:pPr>
        <w:pStyle w:val="Yo5TextNotesbeforeafter"/>
        <w:rPr>
          <w:noProof/>
          <w:lang w:val="en-US"/>
        </w:rPr>
      </w:pPr>
    </w:p>
    <w:p>
      <w:pPr>
        <w:pStyle w:val="Yo1Textpara"/>
        <w:rPr>
          <w:noProof/>
        </w:rPr>
      </w:pPr>
      <w:r>
        <w:rPr>
          <w:noProof/>
        </w:rPr>
        <w:t>Gender differences are not only evident in crude death rates in a given year; changes over time are also more prominent among men. In fact in the countries where bigger changes took place, these changes occurred mostly among men: suicide rates increased primarily among men in Estonia, Croatia and Lithuania (in Estonia, suicide rates even decreased among young women aged 15-24); while they decreased principally among young men in Finland and Norway (</w:t>
      </w:r>
      <w:r>
        <w:rPr>
          <w:rStyle w:val="FootnoteReference"/>
          <w:noProof/>
        </w:rPr>
        <w:footnoteReference w:id="61"/>
      </w:r>
      <w:r>
        <w:rPr>
          <w:noProof/>
        </w:rPr>
        <w:t>). Fluctuations in suicide rates of young women are less pronounced.</w:t>
      </w:r>
    </w:p>
    <w:p>
      <w:pPr>
        <w:pStyle w:val="Yo1Textpara"/>
        <w:rPr>
          <w:rFonts w:ascii="Arial Narrow" w:hAnsi="Arial Narrow" w:cs="Arial"/>
          <w:bCs/>
          <w:caps/>
          <w:noProof/>
          <w:color w:val="DA1E48"/>
          <w:spacing w:val="10"/>
          <w:sz w:val="28"/>
          <w:szCs w:val="28"/>
          <w:lang w:eastAsia="en-US"/>
        </w:rPr>
      </w:pPr>
      <w:r>
        <w:rPr>
          <w:rFonts w:ascii="Arial Narrow" w:hAnsi="Arial Narrow" w:cs="Arial"/>
          <w:bCs/>
          <w:caps/>
          <w:noProof/>
          <w:color w:val="DA1E48"/>
          <w:spacing w:val="10"/>
          <w:sz w:val="28"/>
          <w:szCs w:val="28"/>
          <w:lang w:eastAsia="en-US"/>
        </w:rPr>
        <w:t>Conclusion</w:t>
      </w:r>
    </w:p>
    <w:p>
      <w:pPr>
        <w:pStyle w:val="Yo1Textpara"/>
        <w:rPr>
          <w:noProof/>
        </w:rPr>
      </w:pPr>
      <w:r>
        <w:rPr>
          <w:noProof/>
        </w:rPr>
        <w:t>This chapter has provided a snapshot of young people's health based on selected indicators of health risks and mental well-being. In many respects, it shows a reassuring picture: there is a decreasing trend in the proportions of young people smoking regularly, reporting recent incidents of intoxication or reporting road accidents resulting in injury. However, this is not true for obesity: the proportion of obese young people has increased in the majority of countries with available data. In addition, differences between countries are quite substantial for most health indicators, with some countries showing a relatively large proportion of young people at risk.</w:t>
      </w:r>
    </w:p>
    <w:p>
      <w:pPr>
        <w:pStyle w:val="Yo1Textpara"/>
        <w:rPr>
          <w:noProof/>
        </w:rPr>
      </w:pPr>
      <w:r>
        <w:rPr>
          <w:noProof/>
        </w:rPr>
        <w:t>Young men are much more prone to risk-taking than young women (</w:t>
      </w:r>
      <w:r>
        <w:rPr>
          <w:rStyle w:val="FootnoteReference"/>
          <w:noProof/>
        </w:rPr>
        <w:footnoteReference w:id="62"/>
      </w:r>
      <w:r>
        <w:rPr>
          <w:noProof/>
        </w:rPr>
        <w:t xml:space="preserve">). There are more young men among regular smokers and cannabis users; more of them report recent drunkenness; and more of them are involved in road accidents resulting in injury. When they attempt to take their own life, men are more likely to choose more lethal methods. The over-representation of young men among risk-takers tends to be particularly pronounced in southern and eastern Europe. However, differences between women and men are narrowing in several countries, especially when it comes to drinking or smoking habits. </w:t>
      </w:r>
    </w:p>
    <w:p>
      <w:pPr>
        <w:pStyle w:val="Yo1Textpara"/>
        <w:rPr>
          <w:noProof/>
        </w:rPr>
      </w:pPr>
      <w:r>
        <w:rPr>
          <w:noProof/>
        </w:rPr>
        <w:t>While young men are more prone to risk-taking, young women are slightly more affected by obesity, and much more affected by mental health issues. More than twice as many young women as young men report suffering from at least moderate symptoms of depression in Europe. Young people are affected especially in countries where they are expected to start an independent life earlier. As Chapter 7 will show, this opens the door to vulnerability on several fronts, which in turn influences the mental well-being of young people.</w:t>
      </w:r>
      <w:bookmarkEnd w:id="3"/>
    </w:p>
    <w:sectPr>
      <w:headerReference w:type="even" r:id="rId80"/>
      <w:headerReference w:type="default" r:id="rId81"/>
      <w:footerReference w:type="even" r:id="rId82"/>
      <w:footerReference w:type="default" r:id="rId83"/>
      <w:headerReference w:type="first" r:id="rId84"/>
      <w:footerReference w:type="first" r:id="rId85"/>
      <w:pgSz w:w="11906" w:h="16838" w:code="9"/>
      <w:pgMar w:top="1985" w:right="992" w:bottom="851" w:left="992" w:header="709" w:footer="397" w:gutter="0"/>
      <w:pgNumType w:start="5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yriad Pro SemiExt">
    <w:altName w:val="Arial"/>
    <w:panose1 w:val="00000000000000000000"/>
    <w:charset w:val="00"/>
    <w:family w:val="swiss"/>
    <w:notTrueType/>
    <w:pitch w:val="variable"/>
    <w:sig w:usb0="00000001" w:usb1="00000000" w:usb2="00000000" w:usb3="00000000" w:csb0="0000009F" w:csb1="00000000"/>
  </w:font>
  <w:font w:name="Myriad Pro Light">
    <w:altName w:val="Arial"/>
    <w:panose1 w:val="00000000000000000000"/>
    <w:charset w:val="00"/>
    <w:family w:val="swiss"/>
    <w:notTrueType/>
    <w:pitch w:val="variable"/>
    <w:sig w:usb0="00000001"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Pro-Bold">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charset w:val="00"/>
    <w:family w:val="roman"/>
    <w:pitch w:val="default"/>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rFonts w:ascii="Times New Roman" w:hAnsi="Times New Roman"/>
        <w:sz w:val="22"/>
        <w:szCs w:val="22"/>
      </w:rPr>
      <w:fldChar w:fldCharType="begin"/>
    </w:r>
    <w:r>
      <w:rPr>
        <w:rFonts w:ascii="Times New Roman" w:hAnsi="Times New Roman"/>
        <w:sz w:val="22"/>
        <w:szCs w:val="22"/>
      </w:rPr>
      <w:instrText xml:space="preserve"> PAGE   \* MERGEFORMAT </w:instrText>
    </w:r>
    <w:r>
      <w:rPr>
        <w:rFonts w:ascii="Times New Roman" w:hAnsi="Times New Roman"/>
        <w:sz w:val="22"/>
        <w:szCs w:val="22"/>
      </w:rPr>
      <w:fldChar w:fldCharType="separate"/>
    </w:r>
    <w:r>
      <w:rPr>
        <w:rFonts w:ascii="Times New Roman" w:hAnsi="Times New Roman"/>
        <w:noProof/>
        <w:sz w:val="22"/>
        <w:szCs w:val="22"/>
      </w:rPr>
      <w:t>2</w:t>
    </w:r>
    <w:r>
      <w:rPr>
        <w:rFonts w:ascii="Times New Roman" w:hAnsi="Times New Roman"/>
        <w:noProof/>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fldChar w:fldCharType="begin"/>
    </w:r>
    <w:r>
      <w:instrText xml:space="preserve"> PAGE   \* MERGEFORMAT </w:instrText>
    </w:r>
    <w:r>
      <w:fldChar w:fldCharType="separate"/>
    </w:r>
    <w:r>
      <w:rPr>
        <w:noProof/>
      </w:rPr>
      <w:t>56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before="0"/>
        <w:ind w:left="425" w:hanging="425"/>
        <w:rPr>
          <w:sz w:val="18"/>
          <w:szCs w:val="18"/>
          <w:lang w:val="en-GB"/>
        </w:rPr>
      </w:pPr>
      <w:r>
        <w:rPr>
          <w:sz w:val="18"/>
          <w:szCs w:val="18"/>
          <w:lang w:val="en-GB"/>
        </w:rPr>
        <w:t>(</w:t>
      </w:r>
      <w:r>
        <w:rPr>
          <w:sz w:val="18"/>
          <w:szCs w:val="18"/>
          <w:vertAlign w:val="superscript"/>
        </w:rPr>
        <w:footnoteRef/>
      </w:r>
      <w:r>
        <w:rPr>
          <w:sz w:val="18"/>
          <w:szCs w:val="18"/>
          <w:lang w:val="en-GB"/>
        </w:rPr>
        <w:t>)</w:t>
      </w:r>
      <w:r>
        <w:rPr>
          <w:sz w:val="18"/>
          <w:szCs w:val="18"/>
        </w:rPr>
        <w:t xml:space="preserve"> </w:t>
      </w:r>
      <w:r>
        <w:rPr>
          <w:sz w:val="18"/>
          <w:szCs w:val="18"/>
          <w:lang w:val="en-GB"/>
        </w:rPr>
        <w:tab/>
        <w:t>Council Resolution of 27 November 2009 on a renewed framework for European cooperation in the youth field (2010-2018), 2009/C 311/01.</w:t>
      </w:r>
    </w:p>
  </w:footnote>
  <w:footnote w:id="2">
    <w:p>
      <w:pPr>
        <w:pStyle w:val="FootnoteText"/>
        <w:spacing w:before="0"/>
        <w:ind w:left="425" w:hanging="425"/>
        <w:rPr>
          <w:sz w:val="18"/>
          <w:szCs w:val="18"/>
          <w:lang w:val="en-GB"/>
        </w:rPr>
      </w:pPr>
      <w:r>
        <w:rPr>
          <w:sz w:val="18"/>
          <w:szCs w:val="18"/>
        </w:rPr>
        <w:t>(</w:t>
      </w:r>
      <w:r>
        <w:rPr>
          <w:sz w:val="18"/>
          <w:szCs w:val="18"/>
          <w:vertAlign w:val="superscript"/>
        </w:rPr>
        <w:footnoteRef/>
      </w:r>
      <w:r>
        <w:rPr>
          <w:sz w:val="18"/>
          <w:szCs w:val="18"/>
        </w:rPr>
        <w:t>)</w:t>
      </w:r>
      <w:r>
        <w:rPr>
          <w:sz w:val="18"/>
          <w:szCs w:val="18"/>
        </w:rPr>
        <w:tab/>
      </w:r>
      <w:r>
        <w:rPr>
          <w:sz w:val="18"/>
          <w:szCs w:val="18"/>
          <w:lang w:val="en-GB"/>
        </w:rPr>
        <w:t xml:space="preserve">Source: </w:t>
      </w:r>
      <w:r>
        <w:rPr>
          <w:sz w:val="18"/>
          <w:szCs w:val="18"/>
        </w:rPr>
        <w:t>Eurostat, Statistics on income and living conditions (SILC)</w:t>
      </w:r>
      <w:r>
        <w:rPr>
          <w:sz w:val="18"/>
          <w:szCs w:val="18"/>
          <w:lang w:val="en-GB"/>
        </w:rPr>
        <w:t>, 'Self-perceived health'</w:t>
      </w:r>
      <w:r>
        <w:rPr>
          <w:sz w:val="18"/>
          <w:szCs w:val="18"/>
        </w:rPr>
        <w:t xml:space="preserve"> [hlth_silc_01]</w:t>
      </w:r>
      <w:r>
        <w:rPr>
          <w:sz w:val="18"/>
          <w:szCs w:val="18"/>
          <w:lang w:val="en-GB"/>
        </w:rPr>
        <w:t>. Data extracted on 22.06.2017.</w:t>
      </w:r>
    </w:p>
  </w:footnote>
  <w:footnote w:id="3">
    <w:p>
      <w:pPr>
        <w:pStyle w:val="FootnoteText"/>
        <w:spacing w:before="0"/>
        <w:ind w:left="425" w:hanging="425"/>
        <w:rPr>
          <w:sz w:val="18"/>
          <w:szCs w:val="18"/>
          <w:lang w:val="en-GB"/>
        </w:rPr>
      </w:pPr>
      <w:r>
        <w:rPr>
          <w:sz w:val="18"/>
          <w:szCs w:val="18"/>
          <w:lang w:val="en-GB"/>
        </w:rPr>
        <w:t>(</w:t>
      </w:r>
      <w:r>
        <w:rPr>
          <w:sz w:val="18"/>
          <w:szCs w:val="18"/>
          <w:vertAlign w:val="superscript"/>
        </w:rPr>
        <w:footnoteRef/>
      </w:r>
      <w:r>
        <w:rPr>
          <w:sz w:val="18"/>
          <w:szCs w:val="18"/>
          <w:lang w:val="en-GB"/>
        </w:rPr>
        <w:t>)</w:t>
      </w:r>
      <w:r>
        <w:rPr>
          <w:sz w:val="18"/>
          <w:szCs w:val="18"/>
          <w:lang w:val="en-GB"/>
        </w:rPr>
        <w:tab/>
        <w:t>European Commission, 2011.</w:t>
      </w:r>
    </w:p>
  </w:footnote>
  <w:footnote w:id="4">
    <w:p>
      <w:pPr>
        <w:pStyle w:val="FootnoteText"/>
        <w:spacing w:before="0"/>
        <w:ind w:left="425" w:hanging="425"/>
        <w:rPr>
          <w:sz w:val="18"/>
          <w:szCs w:val="18"/>
          <w:lang w:val="en-GB"/>
        </w:rPr>
      </w:pPr>
      <w:r>
        <w:rPr>
          <w:sz w:val="18"/>
          <w:szCs w:val="18"/>
        </w:rPr>
        <w:t>(</w:t>
      </w:r>
      <w:r>
        <w:rPr>
          <w:rStyle w:val="FootnoteReference"/>
          <w:rFonts w:eastAsia="Calibri"/>
          <w:sz w:val="18"/>
          <w:szCs w:val="18"/>
        </w:rPr>
        <w:footnoteRef/>
      </w:r>
      <w:r>
        <w:rPr>
          <w:sz w:val="18"/>
          <w:szCs w:val="18"/>
        </w:rPr>
        <w:t xml:space="preserve">) </w:t>
      </w:r>
      <w:r>
        <w:rPr>
          <w:sz w:val="18"/>
          <w:szCs w:val="18"/>
          <w:lang w:val="en-GB"/>
        </w:rPr>
        <w:tab/>
      </w:r>
      <w:r>
        <w:rPr>
          <w:sz w:val="18"/>
          <w:szCs w:val="18"/>
        </w:rPr>
        <w:t>Jackson et al., 2012</w:t>
      </w:r>
      <w:r>
        <w:rPr>
          <w:sz w:val="18"/>
          <w:szCs w:val="18"/>
          <w:lang w:val="en-GB"/>
        </w:rPr>
        <w:t>.</w:t>
      </w:r>
    </w:p>
  </w:footnote>
  <w:footnote w:id="5">
    <w:p>
      <w:pPr>
        <w:pStyle w:val="FootnoteText"/>
        <w:spacing w:before="0"/>
        <w:ind w:left="425" w:hanging="425"/>
        <w:rPr>
          <w:sz w:val="18"/>
          <w:szCs w:val="18"/>
          <w:lang w:val="en-GB"/>
        </w:rPr>
      </w:pPr>
      <w:r>
        <w:rPr>
          <w:sz w:val="18"/>
          <w:szCs w:val="18"/>
          <w:lang w:val="en-GB"/>
        </w:rPr>
        <w:t>(</w:t>
      </w:r>
      <w:r>
        <w:rPr>
          <w:rStyle w:val="FootnoteReference"/>
          <w:rFonts w:eastAsia="Calibri"/>
          <w:sz w:val="18"/>
          <w:szCs w:val="18"/>
        </w:rPr>
        <w:footnoteRef/>
      </w:r>
      <w:r>
        <w:rPr>
          <w:sz w:val="18"/>
          <w:szCs w:val="18"/>
          <w:lang w:val="en-GB"/>
        </w:rPr>
        <w:t>)</w:t>
      </w:r>
      <w:r>
        <w:rPr>
          <w:sz w:val="18"/>
          <w:szCs w:val="18"/>
        </w:rPr>
        <w:t xml:space="preserve"> </w:t>
      </w:r>
      <w:r>
        <w:rPr>
          <w:sz w:val="18"/>
          <w:szCs w:val="18"/>
          <w:lang w:val="en-GB"/>
        </w:rPr>
        <w:tab/>
      </w:r>
      <w:r>
        <w:rPr>
          <w:sz w:val="18"/>
          <w:szCs w:val="18"/>
        </w:rPr>
        <w:t>Ibid.; Viner et al., 2012</w:t>
      </w:r>
      <w:r>
        <w:rPr>
          <w:sz w:val="18"/>
          <w:szCs w:val="18"/>
          <w:lang w:val="en-GB"/>
        </w:rPr>
        <w:t>.</w:t>
      </w:r>
    </w:p>
  </w:footnote>
  <w:footnote w:id="6">
    <w:p>
      <w:pPr>
        <w:pStyle w:val="FootnoteText"/>
        <w:spacing w:before="0"/>
        <w:ind w:left="425" w:hanging="425"/>
        <w:rPr>
          <w:sz w:val="18"/>
          <w:szCs w:val="18"/>
          <w:lang w:val="en-GB"/>
        </w:rPr>
      </w:pPr>
      <w:r>
        <w:rPr>
          <w:sz w:val="18"/>
          <w:szCs w:val="18"/>
        </w:rPr>
        <w:t>(</w:t>
      </w:r>
      <w:r>
        <w:rPr>
          <w:rStyle w:val="FootnoteReference"/>
          <w:rFonts w:eastAsia="Calibri"/>
          <w:sz w:val="18"/>
          <w:szCs w:val="18"/>
        </w:rPr>
        <w:footnoteRef/>
      </w:r>
      <w:r>
        <w:rPr>
          <w:sz w:val="18"/>
          <w:szCs w:val="18"/>
        </w:rPr>
        <w:t xml:space="preserve">) </w:t>
      </w:r>
      <w:r>
        <w:rPr>
          <w:sz w:val="18"/>
          <w:szCs w:val="18"/>
          <w:lang w:val="en-GB"/>
        </w:rPr>
        <w:tab/>
      </w:r>
      <w:r>
        <w:rPr>
          <w:sz w:val="18"/>
          <w:szCs w:val="18"/>
        </w:rPr>
        <w:t>Sawyer et al., 2012</w:t>
      </w:r>
      <w:r>
        <w:rPr>
          <w:sz w:val="18"/>
          <w:szCs w:val="18"/>
          <w:lang w:val="en-GB"/>
        </w:rPr>
        <w:t>.</w:t>
      </w:r>
    </w:p>
  </w:footnote>
  <w:footnote w:id="7">
    <w:p>
      <w:pPr>
        <w:pStyle w:val="FootnoteText"/>
        <w:spacing w:before="0"/>
        <w:ind w:left="425" w:hanging="425"/>
        <w:rPr>
          <w:sz w:val="18"/>
          <w:szCs w:val="18"/>
          <w:lang w:val="en-GB"/>
        </w:rPr>
      </w:pPr>
      <w:r>
        <w:rPr>
          <w:sz w:val="18"/>
          <w:szCs w:val="18"/>
        </w:rPr>
        <w:t>(</w:t>
      </w:r>
      <w:r>
        <w:rPr>
          <w:rStyle w:val="FootnoteReference"/>
          <w:rFonts w:eastAsia="Calibri"/>
          <w:sz w:val="18"/>
          <w:szCs w:val="18"/>
        </w:rPr>
        <w:footnoteRef/>
      </w:r>
      <w:r>
        <w:rPr>
          <w:sz w:val="18"/>
          <w:szCs w:val="18"/>
        </w:rPr>
        <w:t xml:space="preserve">) </w:t>
      </w:r>
      <w:r>
        <w:rPr>
          <w:sz w:val="18"/>
          <w:szCs w:val="18"/>
          <w:lang w:val="en-GB"/>
        </w:rPr>
        <w:tab/>
      </w:r>
      <w:r>
        <w:rPr>
          <w:sz w:val="18"/>
          <w:szCs w:val="18"/>
        </w:rPr>
        <w:t>Furlong et al., 2003; Jackson et al., 2012</w:t>
      </w:r>
      <w:r>
        <w:rPr>
          <w:sz w:val="18"/>
          <w:szCs w:val="18"/>
          <w:lang w:val="en-GB"/>
        </w:rPr>
        <w:t>.</w:t>
      </w:r>
    </w:p>
  </w:footnote>
  <w:footnote w:id="8">
    <w:p>
      <w:pPr>
        <w:pStyle w:val="FootnoteText"/>
        <w:spacing w:before="0"/>
        <w:ind w:left="425" w:hanging="425"/>
        <w:rPr>
          <w:sz w:val="18"/>
          <w:szCs w:val="18"/>
          <w:lang w:val="en-GB"/>
        </w:rPr>
      </w:pPr>
      <w:r>
        <w:rPr>
          <w:sz w:val="18"/>
          <w:szCs w:val="18"/>
        </w:rPr>
        <w:t>(</w:t>
      </w:r>
      <w:r>
        <w:rPr>
          <w:rStyle w:val="FootnoteReference"/>
          <w:rFonts w:eastAsia="Calibri"/>
          <w:sz w:val="18"/>
          <w:szCs w:val="18"/>
        </w:rPr>
        <w:footnoteRef/>
      </w:r>
      <w:r>
        <w:rPr>
          <w:sz w:val="18"/>
          <w:szCs w:val="18"/>
        </w:rPr>
        <w:t xml:space="preserve">) </w:t>
      </w:r>
      <w:r>
        <w:rPr>
          <w:sz w:val="18"/>
          <w:szCs w:val="18"/>
          <w:lang w:val="en-GB"/>
        </w:rPr>
        <w:tab/>
      </w:r>
      <w:r>
        <w:rPr>
          <w:sz w:val="18"/>
          <w:szCs w:val="18"/>
        </w:rPr>
        <w:t>Furlong, 2002; Jackson et al., 2012</w:t>
      </w:r>
      <w:r>
        <w:rPr>
          <w:sz w:val="18"/>
          <w:szCs w:val="18"/>
          <w:lang w:val="en-GB"/>
        </w:rPr>
        <w:t>.</w:t>
      </w:r>
    </w:p>
  </w:footnote>
  <w:footnote w:id="9">
    <w:p>
      <w:pPr>
        <w:pStyle w:val="FootnoteText"/>
        <w:spacing w:before="0"/>
        <w:ind w:left="425" w:hanging="425"/>
        <w:rPr>
          <w:sz w:val="18"/>
          <w:szCs w:val="18"/>
          <w:lang w:val="en-GB"/>
        </w:rPr>
      </w:pPr>
      <w:r>
        <w:rPr>
          <w:sz w:val="18"/>
          <w:szCs w:val="18"/>
        </w:rPr>
        <w:t>(</w:t>
      </w:r>
      <w:r>
        <w:rPr>
          <w:rStyle w:val="FootnoteReference"/>
          <w:rFonts w:eastAsia="Calibri"/>
          <w:sz w:val="18"/>
          <w:szCs w:val="18"/>
        </w:rPr>
        <w:footnoteRef/>
      </w:r>
      <w:r>
        <w:rPr>
          <w:sz w:val="18"/>
          <w:szCs w:val="18"/>
        </w:rPr>
        <w:t xml:space="preserve">) </w:t>
      </w:r>
      <w:r>
        <w:rPr>
          <w:sz w:val="18"/>
          <w:szCs w:val="18"/>
          <w:lang w:val="en-GB"/>
        </w:rPr>
        <w:tab/>
        <w:t>Ibid.</w:t>
      </w:r>
    </w:p>
  </w:footnote>
  <w:footnote w:id="10">
    <w:p>
      <w:pPr>
        <w:pStyle w:val="FootnoteText"/>
        <w:spacing w:before="0"/>
        <w:ind w:left="426" w:hanging="426"/>
        <w:jc w:val="left"/>
        <w:rPr>
          <w:sz w:val="18"/>
          <w:szCs w:val="18"/>
          <w:lang w:val="en-GB"/>
        </w:rPr>
      </w:pPr>
      <w:r>
        <w:rPr>
          <w:sz w:val="18"/>
          <w:szCs w:val="18"/>
        </w:rPr>
        <w:t>(</w:t>
      </w:r>
      <w:r>
        <w:rPr>
          <w:sz w:val="18"/>
          <w:szCs w:val="18"/>
          <w:vertAlign w:val="superscript"/>
        </w:rPr>
        <w:footnoteRef/>
      </w:r>
      <w:r>
        <w:rPr>
          <w:sz w:val="18"/>
          <w:szCs w:val="18"/>
        </w:rPr>
        <w:t>)</w:t>
      </w:r>
      <w:r>
        <w:rPr>
          <w:sz w:val="18"/>
          <w:szCs w:val="18"/>
        </w:rPr>
        <w:tab/>
        <w:t>WHO Regional Office for Europe, 2017</w:t>
      </w:r>
      <w:r>
        <w:rPr>
          <w:sz w:val="18"/>
          <w:szCs w:val="18"/>
          <w:lang w:val="en-GB"/>
        </w:rPr>
        <w:t>.</w:t>
      </w:r>
    </w:p>
  </w:footnote>
  <w:footnote w:id="11">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 xml:space="preserve">See for example WHO </w:t>
      </w:r>
      <w:r>
        <w:rPr>
          <w:sz w:val="18"/>
          <w:szCs w:val="18"/>
        </w:rPr>
        <w:t>Regional Office for Europe</w:t>
      </w:r>
      <w:r>
        <w:rPr>
          <w:sz w:val="18"/>
          <w:szCs w:val="18"/>
          <w:lang w:val="en-GB"/>
        </w:rPr>
        <w:t>, 2014.</w:t>
      </w:r>
    </w:p>
  </w:footnote>
  <w:footnote w:id="12">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OECD, 2016.</w:t>
      </w:r>
    </w:p>
  </w:footnote>
  <w:footnote w:id="13">
    <w:p>
      <w:pPr>
        <w:pStyle w:val="FootnoteText"/>
        <w:spacing w:before="0"/>
        <w:ind w:left="426" w:hanging="426"/>
        <w:rPr>
          <w:sz w:val="18"/>
          <w:szCs w:val="18"/>
          <w:lang w:val="en-GB"/>
        </w:rPr>
      </w:pPr>
      <w:r>
        <w:rPr>
          <w:sz w:val="18"/>
          <w:szCs w:val="18"/>
          <w:lang w:val="en-GB"/>
        </w:rPr>
        <w:t>(</w:t>
      </w:r>
      <w:r>
        <w:rPr>
          <w:sz w:val="18"/>
          <w:szCs w:val="18"/>
          <w:vertAlign w:val="superscript"/>
        </w:rPr>
        <w:footnoteRef/>
      </w:r>
      <w:r>
        <w:rPr>
          <w:sz w:val="18"/>
          <w:szCs w:val="18"/>
          <w:lang w:val="en-GB"/>
        </w:rPr>
        <w:t>)</w:t>
      </w:r>
      <w:r>
        <w:rPr>
          <w:sz w:val="18"/>
          <w:szCs w:val="18"/>
        </w:rPr>
        <w:t xml:space="preserve"> </w:t>
      </w:r>
      <w:r>
        <w:rPr>
          <w:sz w:val="18"/>
          <w:szCs w:val="18"/>
          <w:lang w:val="en-GB"/>
        </w:rPr>
        <w:tab/>
        <w:t>Ibid.</w:t>
      </w:r>
    </w:p>
  </w:footnote>
  <w:footnote w:id="14">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See for example Roberto et al., 2015.</w:t>
      </w:r>
    </w:p>
  </w:footnote>
  <w:footnote w:id="15">
    <w:p>
      <w:pPr>
        <w:pStyle w:val="FootnoteText"/>
        <w:spacing w:before="0"/>
        <w:ind w:left="426" w:hanging="426"/>
        <w:rPr>
          <w:sz w:val="18"/>
          <w:szCs w:val="18"/>
          <w:lang w:val="en-GB"/>
        </w:rPr>
      </w:pPr>
      <w:r>
        <w:rPr>
          <w:sz w:val="18"/>
          <w:szCs w:val="18"/>
          <w:lang w:val="en-GB"/>
        </w:rPr>
        <w:t>(</w:t>
      </w:r>
      <w:r>
        <w:rPr>
          <w:sz w:val="18"/>
          <w:szCs w:val="18"/>
          <w:vertAlign w:val="superscript"/>
        </w:rPr>
        <w:footnoteRef/>
      </w:r>
      <w:r>
        <w:rPr>
          <w:sz w:val="18"/>
          <w:szCs w:val="18"/>
          <w:lang w:val="en-GB"/>
        </w:rPr>
        <w:t>)</w:t>
      </w:r>
      <w:r>
        <w:rPr>
          <w:sz w:val="18"/>
          <w:szCs w:val="18"/>
        </w:rPr>
        <w:t xml:space="preserve"> </w:t>
      </w:r>
      <w:r>
        <w:rPr>
          <w:sz w:val="18"/>
          <w:szCs w:val="18"/>
          <w:lang w:val="en-GB"/>
        </w:rPr>
        <w:tab/>
      </w:r>
      <w:r>
        <w:rPr>
          <w:sz w:val="18"/>
          <w:szCs w:val="18"/>
        </w:rPr>
        <w:t>WHO Regional Office for Europe, 2017</w:t>
      </w:r>
      <w:r>
        <w:rPr>
          <w:sz w:val="18"/>
          <w:szCs w:val="18"/>
          <w:lang w:val="en-GB"/>
        </w:rPr>
        <w:t>.</w:t>
      </w:r>
    </w:p>
  </w:footnote>
  <w:footnote w:id="16">
    <w:p>
      <w:pPr>
        <w:pStyle w:val="FootnoteText"/>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w:t>
      </w:r>
      <w:r>
        <w:rPr>
          <w:sz w:val="18"/>
          <w:szCs w:val="18"/>
          <w:lang w:val="en-GB"/>
        </w:rPr>
        <w:tab/>
        <w:t xml:space="preserve">Ibid. </w:t>
      </w:r>
    </w:p>
  </w:footnote>
  <w:footnote w:id="17">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r>
      <w:r>
        <w:rPr>
          <w:sz w:val="18"/>
          <w:szCs w:val="18"/>
        </w:rPr>
        <w:t>European Commission, 2012</w:t>
      </w:r>
      <w:r>
        <w:rPr>
          <w:sz w:val="18"/>
          <w:szCs w:val="18"/>
          <w:lang w:val="en-GB"/>
        </w:rPr>
        <w:t>a.</w:t>
      </w:r>
    </w:p>
  </w:footnote>
  <w:footnote w:id="18">
    <w:p>
      <w:pPr>
        <w:pStyle w:val="FootnoteText"/>
        <w:spacing w:before="0"/>
        <w:ind w:left="426" w:hanging="426"/>
        <w:jc w:val="left"/>
        <w:rPr>
          <w:sz w:val="18"/>
          <w:szCs w:val="18"/>
          <w:lang w:val="en-GB"/>
        </w:rPr>
      </w:pPr>
      <w:r>
        <w:rPr>
          <w:sz w:val="18"/>
          <w:szCs w:val="18"/>
          <w:lang w:val="en-GB"/>
        </w:rPr>
        <w:t>(</w:t>
      </w:r>
      <w:r>
        <w:rPr>
          <w:sz w:val="18"/>
          <w:szCs w:val="18"/>
          <w:vertAlign w:val="superscript"/>
        </w:rPr>
        <w:footnoteRef/>
      </w:r>
      <w:r>
        <w:rPr>
          <w:sz w:val="18"/>
          <w:szCs w:val="18"/>
          <w:lang w:val="en-GB"/>
        </w:rPr>
        <w:t>)</w:t>
      </w:r>
      <w:r>
        <w:rPr>
          <w:sz w:val="18"/>
          <w:szCs w:val="18"/>
          <w:lang w:val="en-GB"/>
        </w:rPr>
        <w:tab/>
        <w:t>S</w:t>
      </w:r>
      <w:r>
        <w:rPr>
          <w:sz w:val="18"/>
          <w:szCs w:val="18"/>
        </w:rPr>
        <w:t>ource: Eurostat Health Glossary</w:t>
      </w:r>
      <w:r>
        <w:rPr>
          <w:sz w:val="18"/>
          <w:szCs w:val="18"/>
          <w:lang w:val="en-GB"/>
        </w:rPr>
        <w:t xml:space="preserve"> (Eurostat, 2017d).</w:t>
      </w:r>
    </w:p>
  </w:footnote>
  <w:footnote w:id="19">
    <w:p>
      <w:pPr>
        <w:pStyle w:val="FootnoteText"/>
        <w:spacing w:before="0"/>
        <w:ind w:left="425" w:hanging="425"/>
        <w:rPr>
          <w:sz w:val="18"/>
          <w:szCs w:val="18"/>
          <w:lang w:val="en-GB"/>
        </w:rPr>
      </w:pPr>
      <w:r>
        <w:rPr>
          <w:sz w:val="18"/>
          <w:szCs w:val="18"/>
          <w:lang w:val="en-GB"/>
        </w:rPr>
        <w:t>(</w:t>
      </w:r>
      <w:r>
        <w:rPr>
          <w:sz w:val="18"/>
          <w:szCs w:val="18"/>
          <w:vertAlign w:val="superscript"/>
          <w:lang w:val="en-GB"/>
        </w:rPr>
        <w:footnoteRef/>
      </w:r>
      <w:r>
        <w:rPr>
          <w:sz w:val="18"/>
          <w:szCs w:val="18"/>
          <w:lang w:val="en-GB"/>
        </w:rPr>
        <w:t>)</w:t>
      </w:r>
      <w:r>
        <w:rPr>
          <w:sz w:val="18"/>
          <w:szCs w:val="18"/>
          <w:lang w:val="en-GB"/>
        </w:rPr>
        <w:tab/>
        <w:t>Source: Eurostat, European Health Interview Survey (EHIS), 'Body mass index (BMI)' [hlth_ehis_bm1e]. Data extracted on 23/.05/2017.</w:t>
      </w:r>
    </w:p>
  </w:footnote>
  <w:footnote w:id="20">
    <w:p>
      <w:pPr>
        <w:pStyle w:val="FootnoteText"/>
        <w:spacing w:before="0"/>
        <w:ind w:left="425" w:hanging="425"/>
        <w:rPr>
          <w:sz w:val="18"/>
          <w:szCs w:val="18"/>
          <w:lang w:val="en-GB"/>
        </w:rPr>
      </w:pPr>
      <w:r>
        <w:rPr>
          <w:sz w:val="18"/>
          <w:szCs w:val="18"/>
          <w:lang w:val="en-GB"/>
        </w:rPr>
        <w:t>(</w:t>
      </w:r>
      <w:r>
        <w:rPr>
          <w:sz w:val="18"/>
          <w:szCs w:val="18"/>
          <w:vertAlign w:val="superscript"/>
          <w:lang w:val="it-IT"/>
        </w:rPr>
        <w:footnoteRef/>
      </w:r>
      <w:r>
        <w:rPr>
          <w:sz w:val="18"/>
          <w:szCs w:val="18"/>
          <w:lang w:val="en-GB"/>
        </w:rPr>
        <w:t xml:space="preserve">) </w:t>
      </w:r>
      <w:r>
        <w:rPr>
          <w:sz w:val="18"/>
          <w:szCs w:val="18"/>
          <w:lang w:val="en-GB"/>
        </w:rPr>
        <w:tab/>
        <w:t>WHO Regional Office for Europe, 2017.</w:t>
      </w:r>
    </w:p>
  </w:footnote>
  <w:footnote w:id="21">
    <w:p>
      <w:pPr>
        <w:pStyle w:val="FootnoteText"/>
        <w:spacing w:before="0"/>
        <w:ind w:left="425" w:hanging="425"/>
        <w:rPr>
          <w:sz w:val="18"/>
          <w:szCs w:val="18"/>
          <w:lang w:val="en-GB"/>
        </w:rPr>
      </w:pPr>
      <w:r>
        <w:rPr>
          <w:sz w:val="18"/>
          <w:szCs w:val="18"/>
          <w:lang w:val="en-GB"/>
        </w:rPr>
        <w:t>(</w:t>
      </w:r>
      <w:r>
        <w:rPr>
          <w:sz w:val="18"/>
          <w:szCs w:val="18"/>
          <w:vertAlign w:val="superscript"/>
          <w:lang w:val="en-GB"/>
        </w:rPr>
        <w:footnoteRef/>
      </w:r>
      <w:r>
        <w:rPr>
          <w:sz w:val="18"/>
          <w:szCs w:val="18"/>
          <w:lang w:val="en-GB"/>
        </w:rPr>
        <w:t xml:space="preserve">) </w:t>
      </w:r>
      <w:r>
        <w:rPr>
          <w:sz w:val="18"/>
          <w:szCs w:val="18"/>
          <w:lang w:val="en-GB"/>
        </w:rPr>
        <w:tab/>
        <w:t>Source: Eurostat, European Health Interview Survey (EHIS), 'Frequency of fruit and vegetables consumption' [hlth_ehis_fv1e]. Data extracted on 23/05/2017. According to this dataset, in Ireland, 19.7 % of young people aged 15-24 never or only occasionally eat fruit.</w:t>
      </w:r>
    </w:p>
  </w:footnote>
  <w:footnote w:id="22">
    <w:p>
      <w:pPr>
        <w:pStyle w:val="FootnoteText"/>
        <w:spacing w:before="0"/>
        <w:ind w:left="425" w:hanging="425"/>
        <w:rPr>
          <w:sz w:val="18"/>
          <w:szCs w:val="18"/>
          <w:lang w:val="en-GB"/>
        </w:rPr>
      </w:pPr>
      <w:r>
        <w:rPr>
          <w:sz w:val="18"/>
          <w:szCs w:val="18"/>
          <w:lang w:val="en-GB"/>
        </w:rPr>
        <w:t>(</w:t>
      </w:r>
      <w:r>
        <w:rPr>
          <w:sz w:val="18"/>
          <w:szCs w:val="18"/>
          <w:vertAlign w:val="superscript"/>
          <w:lang w:val="en-GB"/>
        </w:rPr>
        <w:footnoteRef/>
      </w:r>
      <w:r>
        <w:rPr>
          <w:sz w:val="18"/>
          <w:szCs w:val="18"/>
          <w:lang w:val="en-GB"/>
        </w:rPr>
        <w:t xml:space="preserve">) </w:t>
      </w:r>
      <w:r>
        <w:rPr>
          <w:sz w:val="18"/>
          <w:szCs w:val="18"/>
          <w:lang w:val="en-GB"/>
        </w:rPr>
        <w:tab/>
        <w:t>Ibid.</w:t>
      </w:r>
    </w:p>
  </w:footnote>
  <w:footnote w:id="23">
    <w:p>
      <w:pPr>
        <w:pStyle w:val="FootnoteText"/>
        <w:spacing w:before="0"/>
        <w:ind w:left="425" w:hanging="425"/>
        <w:rPr>
          <w:sz w:val="18"/>
          <w:szCs w:val="18"/>
          <w:lang w:val="en-GB"/>
        </w:rPr>
      </w:pPr>
      <w:r>
        <w:rPr>
          <w:sz w:val="18"/>
          <w:szCs w:val="18"/>
          <w:lang w:val="en-GB"/>
        </w:rPr>
        <w:t>(</w:t>
      </w:r>
      <w:r>
        <w:rPr>
          <w:sz w:val="18"/>
          <w:szCs w:val="18"/>
          <w:vertAlign w:val="superscript"/>
          <w:lang w:val="en-GB"/>
        </w:rPr>
        <w:footnoteRef/>
      </w:r>
      <w:r>
        <w:rPr>
          <w:sz w:val="18"/>
          <w:szCs w:val="18"/>
          <w:lang w:val="en-GB"/>
        </w:rPr>
        <w:t xml:space="preserve">) </w:t>
      </w:r>
      <w:r>
        <w:rPr>
          <w:sz w:val="18"/>
          <w:szCs w:val="18"/>
          <w:lang w:val="en-GB"/>
        </w:rPr>
        <w:tab/>
        <w:t>Source: Eurostat, European Health Interview Survey (EHIS), 'Frequency of fruit and vegetables consumption' [hlth_ehis_fv1e]. Data extracted on 23/05/2017.</w:t>
      </w:r>
    </w:p>
  </w:footnote>
  <w:footnote w:id="24">
    <w:p>
      <w:pPr>
        <w:pStyle w:val="FootnoteText"/>
        <w:spacing w:before="0"/>
        <w:ind w:left="425" w:hanging="425"/>
        <w:rPr>
          <w:sz w:val="18"/>
          <w:szCs w:val="18"/>
          <w:lang w:val="en-GB"/>
        </w:rPr>
      </w:pPr>
      <w:r>
        <w:rPr>
          <w:sz w:val="18"/>
          <w:szCs w:val="18"/>
          <w:lang w:val="en-GB"/>
        </w:rPr>
        <w:t>(</w:t>
      </w:r>
      <w:r>
        <w:rPr>
          <w:sz w:val="18"/>
          <w:szCs w:val="18"/>
          <w:vertAlign w:val="superscript"/>
          <w:lang w:val="en-GB"/>
        </w:rPr>
        <w:footnoteRef/>
      </w:r>
      <w:r>
        <w:rPr>
          <w:sz w:val="18"/>
          <w:szCs w:val="18"/>
          <w:lang w:val="en-GB"/>
        </w:rPr>
        <w:t>)</w:t>
      </w:r>
      <w:r>
        <w:rPr>
          <w:sz w:val="18"/>
          <w:szCs w:val="18"/>
          <w:lang w:val="en-GB"/>
        </w:rPr>
        <w:tab/>
        <w:t>Source: Eurostat, European Health Interview Survey (EHIS), 'Time spent on health-enhancing (non-work-related) aerobic physical activity' [hlth_ehis_pe2e]. Data extracted on 23/05/2017.</w:t>
      </w:r>
    </w:p>
  </w:footnote>
  <w:footnote w:id="25">
    <w:p>
      <w:pPr>
        <w:pStyle w:val="FootnoteText"/>
        <w:tabs>
          <w:tab w:val="left" w:pos="426"/>
        </w:tabs>
        <w:spacing w:before="0"/>
        <w:ind w:left="426" w:hanging="426"/>
        <w:rPr>
          <w:sz w:val="18"/>
          <w:szCs w:val="18"/>
          <w:lang w:val="hu-HU"/>
        </w:rPr>
      </w:pPr>
      <w:r>
        <w:rPr>
          <w:sz w:val="18"/>
          <w:szCs w:val="18"/>
          <w:lang w:val="hu-HU"/>
        </w:rPr>
        <w:t>(</w:t>
      </w:r>
      <w:r>
        <w:rPr>
          <w:rStyle w:val="FootnoteReference"/>
          <w:sz w:val="18"/>
          <w:szCs w:val="18"/>
        </w:rPr>
        <w:footnoteRef/>
      </w:r>
      <w:r>
        <w:rPr>
          <w:sz w:val="18"/>
          <w:szCs w:val="18"/>
          <w:lang w:val="hu-HU"/>
        </w:rPr>
        <w:t>)</w:t>
      </w:r>
      <w:r>
        <w:rPr>
          <w:sz w:val="18"/>
          <w:szCs w:val="18"/>
        </w:rPr>
        <w:t xml:space="preserve"> </w:t>
      </w:r>
      <w:r>
        <w:rPr>
          <w:sz w:val="18"/>
          <w:szCs w:val="18"/>
          <w:lang w:val="hu-HU"/>
        </w:rPr>
        <w:tab/>
      </w:r>
      <w:r>
        <w:rPr>
          <w:sz w:val="18"/>
          <w:szCs w:val="18"/>
          <w:lang w:val="en-GB"/>
        </w:rPr>
        <w:t>Ibid.</w:t>
      </w:r>
    </w:p>
  </w:footnote>
  <w:footnote w:id="26">
    <w:p>
      <w:pPr>
        <w:pStyle w:val="FootnoteText"/>
        <w:tabs>
          <w:tab w:val="left" w:pos="426"/>
        </w:tabs>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w:t>
      </w:r>
      <w:r>
        <w:rPr>
          <w:sz w:val="18"/>
          <w:szCs w:val="18"/>
          <w:lang w:val="en-GB"/>
        </w:rPr>
        <w:tab/>
        <w:t>Kanter and Caballero, 2012.</w:t>
      </w:r>
    </w:p>
  </w:footnote>
  <w:footnote w:id="27">
    <w:p>
      <w:pPr>
        <w:pStyle w:val="FootnoteText"/>
        <w:tabs>
          <w:tab w:val="left" w:pos="426"/>
        </w:tabs>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 xml:space="preserve">) </w:t>
      </w:r>
      <w:r>
        <w:rPr>
          <w:sz w:val="18"/>
          <w:szCs w:val="18"/>
          <w:lang w:val="en-GB"/>
        </w:rPr>
        <w:tab/>
      </w:r>
      <w:r>
        <w:rPr>
          <w:sz w:val="18"/>
          <w:szCs w:val="18"/>
        </w:rPr>
        <w:t xml:space="preserve">WHO Regional Office for Europe </w:t>
      </w:r>
      <w:r>
        <w:rPr>
          <w:sz w:val="18"/>
          <w:szCs w:val="18"/>
          <w:lang w:val="en-GB"/>
        </w:rPr>
        <w:t>2016</w:t>
      </w:r>
      <w:r>
        <w:rPr>
          <w:sz w:val="18"/>
          <w:szCs w:val="18"/>
        </w:rPr>
        <w:t>, p.</w:t>
      </w:r>
      <w:r>
        <w:rPr>
          <w:sz w:val="18"/>
          <w:szCs w:val="18"/>
          <w:lang w:val="en-GB"/>
        </w:rPr>
        <w:t> 157.</w:t>
      </w:r>
    </w:p>
  </w:footnote>
  <w:footnote w:id="28">
    <w:p>
      <w:pPr>
        <w:pStyle w:val="FootnoteText"/>
        <w:tabs>
          <w:tab w:val="left" w:pos="426"/>
        </w:tabs>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 xml:space="preserve">) </w:t>
      </w:r>
      <w:r>
        <w:rPr>
          <w:sz w:val="18"/>
          <w:szCs w:val="18"/>
          <w:lang w:val="en-GB"/>
        </w:rPr>
        <w:tab/>
        <w:t>Ibid.</w:t>
      </w:r>
    </w:p>
  </w:footnote>
  <w:footnote w:id="29">
    <w:p>
      <w:pPr>
        <w:pStyle w:val="FootnoteText"/>
        <w:spacing w:before="0"/>
        <w:ind w:left="426" w:hanging="426"/>
        <w:rPr>
          <w:sz w:val="18"/>
          <w:szCs w:val="18"/>
          <w:lang w:val="en-GB"/>
        </w:rPr>
      </w:pPr>
      <w:r>
        <w:rPr>
          <w:sz w:val="18"/>
          <w:szCs w:val="18"/>
        </w:rPr>
        <w:t>(</w:t>
      </w:r>
      <w:r>
        <w:rPr>
          <w:rStyle w:val="FootnoteReference"/>
          <w:rFonts w:eastAsia="Calibri"/>
          <w:sz w:val="18"/>
          <w:szCs w:val="18"/>
        </w:rPr>
        <w:footnoteRef/>
      </w:r>
      <w:r>
        <w:rPr>
          <w:sz w:val="18"/>
          <w:szCs w:val="18"/>
        </w:rPr>
        <w:t xml:space="preserve">) </w:t>
      </w:r>
      <w:r>
        <w:rPr>
          <w:sz w:val="18"/>
          <w:szCs w:val="18"/>
          <w:lang w:val="en-GB"/>
        </w:rPr>
        <w:tab/>
      </w:r>
      <w:r>
        <w:rPr>
          <w:sz w:val="18"/>
          <w:szCs w:val="18"/>
        </w:rPr>
        <w:t>WHO Regional Office for Europe 201</w:t>
      </w:r>
      <w:r>
        <w:rPr>
          <w:sz w:val="18"/>
          <w:szCs w:val="18"/>
          <w:lang w:val="en-GB"/>
        </w:rPr>
        <w:t>6</w:t>
      </w:r>
      <w:r>
        <w:rPr>
          <w:sz w:val="18"/>
          <w:szCs w:val="18"/>
        </w:rPr>
        <w:t>, p.</w:t>
      </w:r>
      <w:r>
        <w:rPr>
          <w:sz w:val="18"/>
          <w:szCs w:val="18"/>
          <w:lang w:val="en-GB"/>
        </w:rPr>
        <w:t> </w:t>
      </w:r>
      <w:r>
        <w:rPr>
          <w:sz w:val="18"/>
          <w:szCs w:val="18"/>
        </w:rPr>
        <w:t>14</w:t>
      </w:r>
      <w:r>
        <w:rPr>
          <w:sz w:val="18"/>
          <w:szCs w:val="18"/>
          <w:lang w:val="en-GB"/>
        </w:rPr>
        <w:t>7.</w:t>
      </w:r>
    </w:p>
  </w:footnote>
  <w:footnote w:id="30">
    <w:p>
      <w:pPr>
        <w:pStyle w:val="FootnoteText"/>
        <w:spacing w:before="0"/>
        <w:ind w:left="426" w:hanging="426"/>
        <w:rPr>
          <w:sz w:val="18"/>
          <w:szCs w:val="18"/>
        </w:rPr>
      </w:pPr>
      <w:r>
        <w:rPr>
          <w:sz w:val="18"/>
          <w:szCs w:val="18"/>
          <w:lang w:val="en-GB"/>
        </w:rPr>
        <w:t>(</w:t>
      </w:r>
      <w:r>
        <w:rPr>
          <w:sz w:val="18"/>
          <w:szCs w:val="18"/>
          <w:vertAlign w:val="superscript"/>
        </w:rPr>
        <w:footnoteRef/>
      </w:r>
      <w:r>
        <w:rPr>
          <w:sz w:val="18"/>
          <w:szCs w:val="18"/>
          <w:lang w:val="en-GB"/>
        </w:rPr>
        <w:t>)</w:t>
      </w:r>
      <w:r>
        <w:rPr>
          <w:sz w:val="18"/>
          <w:szCs w:val="18"/>
        </w:rPr>
        <w:t xml:space="preserve"> </w:t>
      </w:r>
      <w:r>
        <w:rPr>
          <w:sz w:val="18"/>
          <w:szCs w:val="18"/>
        </w:rPr>
        <w:tab/>
        <w:t>Ibid.</w:t>
      </w:r>
    </w:p>
  </w:footnote>
  <w:footnote w:id="31">
    <w:p>
      <w:pPr>
        <w:pStyle w:val="FootnoteText"/>
        <w:spacing w:before="0"/>
        <w:ind w:left="425" w:hanging="425"/>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European Commission 2016b, p. 231.</w:t>
      </w:r>
    </w:p>
  </w:footnote>
  <w:footnote w:id="32">
    <w:p>
      <w:pPr>
        <w:pStyle w:val="FootnoteText"/>
        <w:tabs>
          <w:tab w:val="left" w:pos="426"/>
        </w:tabs>
        <w:spacing w:before="0"/>
        <w:ind w:left="426" w:hanging="426"/>
        <w:rPr>
          <w:sz w:val="18"/>
          <w:szCs w:val="18"/>
          <w:lang w:val="en-GB"/>
        </w:rPr>
      </w:pPr>
      <w:r>
        <w:rPr>
          <w:sz w:val="18"/>
          <w:szCs w:val="18"/>
          <w:lang w:val="en-GB"/>
        </w:rPr>
        <w:t>(</w:t>
      </w:r>
      <w:r>
        <w:rPr>
          <w:rStyle w:val="FootnoteReference"/>
          <w:rFonts w:eastAsia="Calibri"/>
          <w:sz w:val="18"/>
          <w:szCs w:val="18"/>
          <w:lang w:val="en-GB"/>
        </w:rPr>
        <w:footnoteRef/>
      </w:r>
      <w:r>
        <w:rPr>
          <w:sz w:val="18"/>
          <w:szCs w:val="18"/>
          <w:lang w:val="en-GB"/>
        </w:rPr>
        <w:t xml:space="preserve">) </w:t>
      </w:r>
      <w:r>
        <w:rPr>
          <w:sz w:val="18"/>
          <w:szCs w:val="18"/>
          <w:lang w:val="en-GB"/>
        </w:rPr>
        <w:tab/>
        <w:t>See e.g. WHO, 2014a.</w:t>
      </w:r>
    </w:p>
  </w:footnote>
  <w:footnote w:id="33">
    <w:p>
      <w:pPr>
        <w:pStyle w:val="FootnoteText"/>
        <w:spacing w:before="0"/>
        <w:ind w:left="426" w:hanging="426"/>
        <w:rPr>
          <w:sz w:val="18"/>
          <w:szCs w:val="18"/>
          <w:lang w:val="en-GB"/>
        </w:rPr>
      </w:pPr>
      <w:r>
        <w:rPr>
          <w:sz w:val="18"/>
          <w:szCs w:val="18"/>
          <w:lang w:val="en-GB"/>
        </w:rPr>
        <w:t>(</w:t>
      </w:r>
      <w:r>
        <w:rPr>
          <w:rStyle w:val="FootnoteReference"/>
          <w:sz w:val="18"/>
          <w:szCs w:val="18"/>
          <w:lang w:val="en-GB"/>
        </w:rPr>
        <w:footnoteRef/>
      </w:r>
      <w:r>
        <w:rPr>
          <w:sz w:val="18"/>
          <w:szCs w:val="18"/>
          <w:lang w:val="en-GB"/>
        </w:rPr>
        <w:t>)</w:t>
      </w:r>
      <w:r>
        <w:rPr>
          <w:sz w:val="18"/>
          <w:szCs w:val="18"/>
          <w:lang w:val="en-GB"/>
        </w:rPr>
        <w:tab/>
        <w:t>Eurobarometer surveys (see Special Eurobarometers 429 (2015) and 458 (2017) on the Attitudes of Europeans towards tobacco and electronic cigarettes) show a recent rise in young smokers in the 15-24 age group. However, these surveys do not make it possible to follow changes in the proportions of daily and occasional smokers separately over time.</w:t>
      </w:r>
    </w:p>
  </w:footnote>
  <w:footnote w:id="34">
    <w:p>
      <w:pPr>
        <w:pStyle w:val="FootnoteText"/>
        <w:tabs>
          <w:tab w:val="left" w:pos="426"/>
        </w:tabs>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w:t>
      </w:r>
      <w:r>
        <w:rPr>
          <w:sz w:val="18"/>
          <w:szCs w:val="18"/>
          <w:lang w:val="en-GB"/>
        </w:rPr>
        <w:tab/>
        <w:t xml:space="preserve">Source: Eurostat, European Health Interview Survey (EHIS), 'Daily smokers of cigarettes' [hlth_ehis_sk3e]. Data extracted on 31/05/2017. </w:t>
      </w:r>
    </w:p>
  </w:footnote>
  <w:footnote w:id="35">
    <w:p>
      <w:pPr>
        <w:pStyle w:val="FootnoteText"/>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 xml:space="preserve">) </w:t>
      </w:r>
      <w:r>
        <w:rPr>
          <w:sz w:val="18"/>
          <w:szCs w:val="18"/>
          <w:lang w:val="en-GB"/>
        </w:rPr>
        <w:tab/>
        <w:t>Ibid.</w:t>
      </w:r>
    </w:p>
  </w:footnote>
  <w:footnote w:id="36">
    <w:p>
      <w:pPr>
        <w:pStyle w:val="FootnoteText"/>
        <w:tabs>
          <w:tab w:val="left" w:pos="426"/>
        </w:tabs>
        <w:spacing w:before="0"/>
        <w:ind w:left="426" w:hanging="426"/>
        <w:rPr>
          <w:sz w:val="18"/>
          <w:szCs w:val="18"/>
        </w:rPr>
      </w:pPr>
      <w:r>
        <w:rPr>
          <w:sz w:val="18"/>
          <w:szCs w:val="18"/>
          <w:lang w:val="en-GB"/>
        </w:rPr>
        <w:t>(</w:t>
      </w:r>
      <w:r>
        <w:rPr>
          <w:sz w:val="18"/>
          <w:szCs w:val="18"/>
          <w:vertAlign w:val="superscript"/>
        </w:rPr>
        <w:footnoteRef/>
      </w:r>
      <w:r>
        <w:rPr>
          <w:sz w:val="18"/>
          <w:szCs w:val="18"/>
          <w:lang w:val="en-GB"/>
        </w:rPr>
        <w:t>)</w:t>
      </w:r>
      <w:r>
        <w:rPr>
          <w:sz w:val="18"/>
          <w:szCs w:val="18"/>
          <w:lang w:val="en-GB"/>
        </w:rPr>
        <w:tab/>
      </w:r>
      <w:r>
        <w:rPr>
          <w:sz w:val="18"/>
          <w:szCs w:val="18"/>
        </w:rPr>
        <w:t>Ibid.</w:t>
      </w:r>
    </w:p>
  </w:footnote>
  <w:footnote w:id="37">
    <w:p>
      <w:pPr>
        <w:pStyle w:val="FootnoteText"/>
        <w:spacing w:before="0"/>
        <w:ind w:left="426" w:hanging="426"/>
        <w:rPr>
          <w:sz w:val="18"/>
          <w:szCs w:val="18"/>
          <w:lang w:val="en-GB"/>
        </w:rPr>
      </w:pPr>
      <w:r>
        <w:rPr>
          <w:sz w:val="18"/>
          <w:szCs w:val="18"/>
        </w:rPr>
        <w:t>(</w:t>
      </w:r>
      <w:r>
        <w:rPr>
          <w:sz w:val="18"/>
          <w:szCs w:val="18"/>
          <w:vertAlign w:val="superscript"/>
        </w:rPr>
        <w:footnoteRef/>
      </w:r>
      <w:r>
        <w:rPr>
          <w:sz w:val="18"/>
          <w:szCs w:val="18"/>
        </w:rPr>
        <w:t>)</w:t>
      </w:r>
      <w:r>
        <w:rPr>
          <w:sz w:val="18"/>
          <w:szCs w:val="18"/>
        </w:rPr>
        <w:tab/>
        <w:t xml:space="preserve">Source: Eurostat, European Health Interview Survey (EHIS), </w:t>
      </w:r>
      <w:r>
        <w:rPr>
          <w:sz w:val="18"/>
          <w:szCs w:val="18"/>
          <w:lang w:val="en-GB"/>
        </w:rPr>
        <w:t xml:space="preserve">'Daily smokers of cigarettes' </w:t>
      </w:r>
      <w:r>
        <w:rPr>
          <w:sz w:val="18"/>
          <w:szCs w:val="18"/>
        </w:rPr>
        <w:t>[hlth_ehis_sk3e] and [hlth_ehis_de3].</w:t>
      </w:r>
      <w:r>
        <w:rPr>
          <w:sz w:val="18"/>
          <w:szCs w:val="18"/>
          <w:lang w:val="en-GB"/>
        </w:rPr>
        <w:t xml:space="preserve"> Data extracted on 31/05/2017.</w:t>
      </w:r>
    </w:p>
  </w:footnote>
  <w:footnote w:id="38">
    <w:p>
      <w:pPr>
        <w:pStyle w:val="FootnoteText"/>
        <w:spacing w:before="0"/>
        <w:ind w:left="426" w:hanging="426"/>
        <w:rPr>
          <w:sz w:val="18"/>
          <w:szCs w:val="18"/>
        </w:rPr>
      </w:pPr>
      <w:r>
        <w:rPr>
          <w:sz w:val="18"/>
          <w:szCs w:val="18"/>
          <w:lang w:val="en-GB"/>
        </w:rPr>
        <w:t>(</w:t>
      </w:r>
      <w:r>
        <w:rPr>
          <w:sz w:val="18"/>
          <w:szCs w:val="18"/>
          <w:vertAlign w:val="superscript"/>
        </w:rPr>
        <w:footnoteRef/>
      </w:r>
      <w:r>
        <w:rPr>
          <w:sz w:val="18"/>
          <w:szCs w:val="18"/>
          <w:lang w:val="en-GB"/>
        </w:rPr>
        <w:t>)</w:t>
      </w:r>
      <w:r>
        <w:rPr>
          <w:sz w:val="18"/>
          <w:szCs w:val="18"/>
        </w:rPr>
        <w:t xml:space="preserve"> </w:t>
      </w:r>
      <w:r>
        <w:rPr>
          <w:sz w:val="18"/>
          <w:szCs w:val="18"/>
        </w:rPr>
        <w:tab/>
        <w:t xml:space="preserve">WHO Regional Office for Europe </w:t>
      </w:r>
      <w:r>
        <w:rPr>
          <w:sz w:val="18"/>
          <w:szCs w:val="18"/>
          <w:lang w:val="en-GB"/>
        </w:rPr>
        <w:t>2016</w:t>
      </w:r>
      <w:r>
        <w:rPr>
          <w:sz w:val="18"/>
          <w:szCs w:val="18"/>
        </w:rPr>
        <w:t>, p</w:t>
      </w:r>
      <w:r>
        <w:rPr>
          <w:sz w:val="18"/>
          <w:szCs w:val="18"/>
          <w:lang w:val="en-GB"/>
        </w:rPr>
        <w:t> 157.</w:t>
      </w:r>
    </w:p>
  </w:footnote>
  <w:footnote w:id="39">
    <w:p>
      <w:pPr>
        <w:pStyle w:val="FootnoteText"/>
        <w:spacing w:before="0"/>
        <w:ind w:left="426" w:hanging="426"/>
        <w:rPr>
          <w:sz w:val="18"/>
          <w:szCs w:val="18"/>
          <w:lang w:val="en-GB"/>
        </w:rPr>
      </w:pPr>
      <w:r>
        <w:rPr>
          <w:sz w:val="18"/>
          <w:szCs w:val="18"/>
        </w:rPr>
        <w:t>(</w:t>
      </w:r>
      <w:r>
        <w:rPr>
          <w:rStyle w:val="FootnoteReference"/>
          <w:rFonts w:eastAsia="Calibri"/>
          <w:sz w:val="18"/>
          <w:szCs w:val="18"/>
        </w:rPr>
        <w:footnoteRef/>
      </w:r>
      <w:r>
        <w:rPr>
          <w:sz w:val="18"/>
          <w:szCs w:val="18"/>
        </w:rPr>
        <w:t xml:space="preserve">) </w:t>
      </w:r>
      <w:r>
        <w:rPr>
          <w:sz w:val="18"/>
          <w:szCs w:val="18"/>
          <w:lang w:val="en-GB"/>
        </w:rPr>
        <w:tab/>
        <w:t xml:space="preserve">Ibid. </w:t>
      </w:r>
    </w:p>
  </w:footnote>
  <w:footnote w:id="40">
    <w:p>
      <w:pPr>
        <w:pStyle w:val="FootnoteText"/>
        <w:spacing w:before="0"/>
        <w:ind w:left="426" w:hanging="426"/>
        <w:rPr>
          <w:sz w:val="18"/>
          <w:szCs w:val="18"/>
          <w:lang w:val="en-GB"/>
        </w:rPr>
      </w:pPr>
      <w:r>
        <w:rPr>
          <w:sz w:val="18"/>
          <w:szCs w:val="18"/>
        </w:rPr>
        <w:t>(</w:t>
      </w:r>
      <w:r>
        <w:rPr>
          <w:sz w:val="18"/>
          <w:szCs w:val="18"/>
          <w:vertAlign w:val="superscript"/>
        </w:rPr>
        <w:footnoteRef/>
      </w:r>
      <w:r>
        <w:rPr>
          <w:sz w:val="18"/>
          <w:szCs w:val="18"/>
        </w:rPr>
        <w:t>)</w:t>
      </w:r>
      <w:r>
        <w:rPr>
          <w:sz w:val="18"/>
          <w:szCs w:val="18"/>
        </w:rPr>
        <w:tab/>
        <w:t xml:space="preserve">According to the ESPAD report, only differences more than ± 3 percentage points should be considered as </w:t>
      </w:r>
      <w:r>
        <w:rPr>
          <w:sz w:val="18"/>
          <w:szCs w:val="18"/>
          <w:lang w:val="en-GB"/>
        </w:rPr>
        <w:t>a '</w:t>
      </w:r>
      <w:r>
        <w:rPr>
          <w:sz w:val="18"/>
          <w:szCs w:val="18"/>
        </w:rPr>
        <w:t>real difference</w:t>
      </w:r>
      <w:r>
        <w:rPr>
          <w:sz w:val="18"/>
          <w:szCs w:val="18"/>
          <w:lang w:val="en-GB"/>
        </w:rPr>
        <w:t>'</w:t>
      </w:r>
      <w:r>
        <w:rPr>
          <w:sz w:val="18"/>
          <w:szCs w:val="18"/>
        </w:rPr>
        <w:t xml:space="preserve"> (The ESPAD Group 2016, p.</w:t>
      </w:r>
      <w:r>
        <w:rPr>
          <w:sz w:val="18"/>
          <w:szCs w:val="18"/>
          <w:lang w:val="en-GB"/>
        </w:rPr>
        <w:t> </w:t>
      </w:r>
      <w:r>
        <w:rPr>
          <w:sz w:val="18"/>
          <w:szCs w:val="18"/>
        </w:rPr>
        <w:t>27)</w:t>
      </w:r>
      <w:r>
        <w:rPr>
          <w:sz w:val="18"/>
          <w:szCs w:val="18"/>
          <w:lang w:val="en-GB"/>
        </w:rPr>
        <w:t>.</w:t>
      </w:r>
    </w:p>
  </w:footnote>
  <w:footnote w:id="41">
    <w:p>
      <w:pPr>
        <w:pStyle w:val="FootnoteText"/>
        <w:spacing w:before="0"/>
        <w:ind w:left="426" w:hanging="426"/>
        <w:rPr>
          <w:sz w:val="18"/>
          <w:szCs w:val="18"/>
          <w:lang w:val="en-US"/>
        </w:rPr>
      </w:pPr>
      <w:r>
        <w:rPr>
          <w:sz w:val="18"/>
          <w:szCs w:val="18"/>
          <w:lang w:val="en-US"/>
        </w:rPr>
        <w:t>(</w:t>
      </w:r>
      <w:r>
        <w:rPr>
          <w:rStyle w:val="FootnoteReference"/>
          <w:sz w:val="18"/>
          <w:szCs w:val="18"/>
        </w:rPr>
        <w:footnoteRef/>
      </w:r>
      <w:r>
        <w:rPr>
          <w:sz w:val="18"/>
          <w:szCs w:val="18"/>
          <w:lang w:val="en-US"/>
        </w:rPr>
        <w:t>)</w:t>
      </w:r>
      <w:r>
        <w:rPr>
          <w:sz w:val="18"/>
          <w:szCs w:val="18"/>
        </w:rPr>
        <w:t xml:space="preserve"> </w:t>
      </w:r>
      <w:r>
        <w:rPr>
          <w:sz w:val="18"/>
          <w:szCs w:val="18"/>
          <w:lang w:val="en-US"/>
        </w:rPr>
        <w:tab/>
        <w:t xml:space="preserve">Source: </w:t>
      </w:r>
      <w:r>
        <w:rPr>
          <w:sz w:val="18"/>
          <w:szCs w:val="18"/>
        </w:rPr>
        <w:t xml:space="preserve">Eurostat, European Health Interview Survey (EHIS), </w:t>
      </w:r>
      <w:r>
        <w:rPr>
          <w:sz w:val="18"/>
          <w:szCs w:val="18"/>
          <w:lang w:val="en-GB"/>
        </w:rPr>
        <w:t>'Frequency of heavy episodic drinking' [hlth_ehis_al3e]</w:t>
      </w:r>
      <w:r>
        <w:rPr>
          <w:sz w:val="18"/>
          <w:szCs w:val="18"/>
        </w:rPr>
        <w:t>.</w:t>
      </w:r>
      <w:r>
        <w:rPr>
          <w:sz w:val="18"/>
          <w:szCs w:val="18"/>
          <w:lang w:val="en-GB"/>
        </w:rPr>
        <w:t xml:space="preserve"> Data extracted on 25/10/2017.</w:t>
      </w:r>
    </w:p>
  </w:footnote>
  <w:footnote w:id="42">
    <w:p>
      <w:pPr>
        <w:pStyle w:val="FootnoteText"/>
        <w:spacing w:before="0"/>
        <w:ind w:left="426" w:hanging="426"/>
        <w:rPr>
          <w:sz w:val="18"/>
          <w:szCs w:val="18"/>
        </w:rPr>
      </w:pPr>
      <w:r>
        <w:rPr>
          <w:sz w:val="18"/>
          <w:szCs w:val="18"/>
          <w:lang w:val="en-US"/>
        </w:rPr>
        <w:t>(</w:t>
      </w:r>
      <w:r>
        <w:rPr>
          <w:rStyle w:val="FootnoteReference"/>
          <w:sz w:val="18"/>
          <w:szCs w:val="18"/>
        </w:rPr>
        <w:footnoteRef/>
      </w:r>
      <w:r>
        <w:rPr>
          <w:sz w:val="18"/>
          <w:szCs w:val="18"/>
          <w:lang w:val="en-US"/>
        </w:rPr>
        <w:t>)</w:t>
      </w:r>
      <w:r>
        <w:rPr>
          <w:sz w:val="18"/>
          <w:szCs w:val="18"/>
          <w:lang w:val="en-US"/>
        </w:rPr>
        <w:tab/>
        <w:t xml:space="preserve">Source: </w:t>
      </w:r>
      <w:r>
        <w:rPr>
          <w:sz w:val="18"/>
          <w:szCs w:val="18"/>
        </w:rPr>
        <w:t xml:space="preserve">Eurostat, European Health Interview Survey (EHIS), </w:t>
      </w:r>
      <w:r>
        <w:rPr>
          <w:sz w:val="18"/>
          <w:szCs w:val="18"/>
          <w:lang w:val="en-GB"/>
        </w:rPr>
        <w:t>'Frequency of heavy episodic drinking' [hlth_ehis_al3e]</w:t>
      </w:r>
      <w:r>
        <w:rPr>
          <w:sz w:val="18"/>
          <w:szCs w:val="18"/>
        </w:rPr>
        <w:t>.</w:t>
      </w:r>
      <w:r>
        <w:rPr>
          <w:sz w:val="18"/>
          <w:szCs w:val="18"/>
          <w:lang w:val="en-GB"/>
        </w:rPr>
        <w:t xml:space="preserve"> Data extracted on 25/10/2017.</w:t>
      </w:r>
    </w:p>
  </w:footnote>
  <w:footnote w:id="43">
    <w:p>
      <w:pPr>
        <w:pStyle w:val="FootnoteText"/>
        <w:spacing w:before="0"/>
        <w:ind w:left="426" w:hanging="426"/>
        <w:rPr>
          <w:sz w:val="18"/>
          <w:szCs w:val="18"/>
          <w:lang w:val="en-GB"/>
        </w:rPr>
      </w:pPr>
      <w:r>
        <w:rPr>
          <w:sz w:val="18"/>
          <w:szCs w:val="18"/>
          <w:lang w:val="en-GB"/>
        </w:rPr>
        <w:t>(</w:t>
      </w:r>
      <w:r>
        <w:rPr>
          <w:sz w:val="18"/>
          <w:szCs w:val="18"/>
          <w:vertAlign w:val="superscript"/>
        </w:rPr>
        <w:footnoteRef/>
      </w:r>
      <w:r>
        <w:rPr>
          <w:sz w:val="18"/>
          <w:szCs w:val="18"/>
          <w:lang w:val="en-GB"/>
        </w:rPr>
        <w:t>)</w:t>
      </w:r>
      <w:r>
        <w:rPr>
          <w:sz w:val="18"/>
          <w:szCs w:val="18"/>
        </w:rPr>
        <w:t xml:space="preserve"> </w:t>
      </w:r>
      <w:r>
        <w:rPr>
          <w:sz w:val="18"/>
          <w:szCs w:val="18"/>
          <w:lang w:val="en-GB"/>
        </w:rPr>
        <w:tab/>
      </w:r>
      <w:r>
        <w:rPr>
          <w:sz w:val="18"/>
          <w:szCs w:val="18"/>
        </w:rPr>
        <w:t>WHO Regional Office for Europe 2016, p.</w:t>
      </w:r>
      <w:r>
        <w:rPr>
          <w:sz w:val="18"/>
          <w:szCs w:val="18"/>
          <w:lang w:val="en-GB"/>
        </w:rPr>
        <w:t> </w:t>
      </w:r>
      <w:r>
        <w:rPr>
          <w:sz w:val="18"/>
          <w:szCs w:val="18"/>
        </w:rPr>
        <w:t>169</w:t>
      </w:r>
      <w:r>
        <w:rPr>
          <w:sz w:val="18"/>
          <w:szCs w:val="18"/>
          <w:lang w:val="en-GB"/>
        </w:rPr>
        <w:t>.</w:t>
      </w:r>
    </w:p>
  </w:footnote>
  <w:footnote w:id="44">
    <w:p>
      <w:pPr>
        <w:pStyle w:val="FootnoteText"/>
        <w:spacing w:before="0"/>
        <w:ind w:left="426" w:hanging="426"/>
        <w:rPr>
          <w:sz w:val="18"/>
          <w:szCs w:val="18"/>
          <w:lang w:val="en-GB"/>
        </w:rPr>
      </w:pPr>
      <w:r>
        <w:rPr>
          <w:sz w:val="18"/>
          <w:szCs w:val="18"/>
          <w:lang w:val="en-GB"/>
        </w:rPr>
        <w:t>(</w:t>
      </w:r>
      <w:r>
        <w:rPr>
          <w:rStyle w:val="FootnoteReference"/>
          <w:sz w:val="18"/>
          <w:szCs w:val="18"/>
        </w:rPr>
        <w:footnoteRef/>
      </w:r>
      <w:r>
        <w:rPr>
          <w:sz w:val="18"/>
          <w:szCs w:val="18"/>
          <w:lang w:val="en-GB"/>
        </w:rPr>
        <w:t>)</w:t>
      </w:r>
      <w:r>
        <w:rPr>
          <w:sz w:val="18"/>
          <w:szCs w:val="18"/>
          <w:lang w:val="en-GB"/>
        </w:rPr>
        <w:tab/>
        <w:t>Ayllón and Ferreira-Batista, 2017.</w:t>
      </w:r>
    </w:p>
  </w:footnote>
  <w:footnote w:id="45">
    <w:p>
      <w:pPr>
        <w:pStyle w:val="FootnoteText"/>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w:t>
      </w:r>
      <w:r>
        <w:rPr>
          <w:sz w:val="18"/>
          <w:szCs w:val="18"/>
          <w:lang w:val="en-GB"/>
        </w:rPr>
        <w:tab/>
        <w:t>See e.g. Mattick et al., 2017.</w:t>
      </w:r>
    </w:p>
  </w:footnote>
  <w:footnote w:id="46">
    <w:p>
      <w:pPr>
        <w:pStyle w:val="FootnoteText"/>
        <w:tabs>
          <w:tab w:val="left" w:pos="426"/>
        </w:tabs>
        <w:spacing w:before="0"/>
        <w:ind w:left="426" w:hanging="426"/>
        <w:rPr>
          <w:sz w:val="18"/>
          <w:szCs w:val="18"/>
          <w:lang w:val="en-GB"/>
        </w:rPr>
      </w:pPr>
      <w:r>
        <w:rPr>
          <w:sz w:val="18"/>
          <w:szCs w:val="18"/>
          <w:lang w:val="en-GB"/>
        </w:rPr>
        <w:t>(</w:t>
      </w:r>
      <w:r>
        <w:rPr>
          <w:sz w:val="18"/>
          <w:szCs w:val="18"/>
          <w:vertAlign w:val="superscript"/>
        </w:rPr>
        <w:footnoteRef/>
      </w:r>
      <w:r>
        <w:rPr>
          <w:sz w:val="18"/>
          <w:szCs w:val="18"/>
          <w:lang w:val="en-GB"/>
        </w:rPr>
        <w:t>)</w:t>
      </w:r>
      <w:r>
        <w:rPr>
          <w:sz w:val="18"/>
          <w:szCs w:val="18"/>
          <w:lang w:val="en-GB"/>
        </w:rPr>
        <w:tab/>
      </w:r>
      <w:r>
        <w:rPr>
          <w:sz w:val="18"/>
          <w:szCs w:val="18"/>
        </w:rPr>
        <w:t xml:space="preserve">Source: </w:t>
      </w:r>
      <w:r>
        <w:rPr>
          <w:sz w:val="18"/>
          <w:szCs w:val="18"/>
          <w:lang w:val="en-GB"/>
        </w:rPr>
        <w:t>ESPAD reports 2011 and 2015 (Hibell et al., 2012 and The ESPAD Group, 2016).</w:t>
      </w:r>
    </w:p>
  </w:footnote>
  <w:footnote w:id="47">
    <w:p>
      <w:pPr>
        <w:pStyle w:val="FootnoteText"/>
        <w:tabs>
          <w:tab w:val="left" w:pos="426"/>
        </w:tabs>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w:t>
      </w:r>
      <w:r>
        <w:rPr>
          <w:sz w:val="18"/>
          <w:szCs w:val="18"/>
          <w:lang w:val="en-GB"/>
        </w:rPr>
        <w:tab/>
        <w:t>European Commission, 2017i and 2017a.</w:t>
      </w:r>
    </w:p>
  </w:footnote>
  <w:footnote w:id="48">
    <w:p>
      <w:pPr>
        <w:pStyle w:val="FootnoteText"/>
        <w:tabs>
          <w:tab w:val="left" w:pos="426"/>
        </w:tabs>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w:t>
      </w:r>
      <w:r>
        <w:rPr>
          <w:sz w:val="18"/>
          <w:szCs w:val="18"/>
          <w:lang w:val="en-GB"/>
        </w:rPr>
        <w:tab/>
        <w:t>WHO Regional Office for Europe 2009, p. 36.</w:t>
      </w:r>
    </w:p>
  </w:footnote>
  <w:footnote w:id="49">
    <w:p>
      <w:pPr>
        <w:pStyle w:val="FootnoteText"/>
        <w:tabs>
          <w:tab w:val="left" w:pos="426"/>
        </w:tabs>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w:t>
      </w:r>
      <w:r>
        <w:rPr>
          <w:sz w:val="18"/>
          <w:szCs w:val="18"/>
          <w:lang w:val="en-GB"/>
        </w:rPr>
        <w:tab/>
        <w:t>Source: Eurostat, European Health Interview Survey (EHIS), 'Persons reporting an accident resulting in injury' [hlth_ehis_ac1e] and 'People reporting having had an accident' [hlth_ehis_st2]. Data extracted on 07/06/2017.</w:t>
      </w:r>
    </w:p>
  </w:footnote>
  <w:footnote w:id="50">
    <w:p>
      <w:pPr>
        <w:pStyle w:val="FootnoteText"/>
        <w:tabs>
          <w:tab w:val="left" w:pos="426"/>
        </w:tabs>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 xml:space="preserve">) </w:t>
      </w:r>
      <w:r>
        <w:rPr>
          <w:sz w:val="18"/>
          <w:szCs w:val="18"/>
          <w:lang w:val="en-GB"/>
        </w:rPr>
        <w:tab/>
        <w:t>Source: Eurostat, European Health Interview Survey (EHIS), 'Persons reporting an accident resulting in injury' [hlth_ehis_ac1e] and 'People reporting having had an accident' [hlth_ehis_st2]. Data extracted on 07/06/2017.</w:t>
      </w:r>
    </w:p>
  </w:footnote>
  <w:footnote w:id="51">
    <w:p>
      <w:pPr>
        <w:pStyle w:val="FootnoteText"/>
        <w:tabs>
          <w:tab w:val="left" w:pos="426"/>
        </w:tabs>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w:t>
      </w:r>
      <w:r>
        <w:rPr>
          <w:sz w:val="18"/>
          <w:szCs w:val="18"/>
          <w:lang w:val="en-GB"/>
        </w:rPr>
        <w:tab/>
        <w:t>WHO and Calouste Gulbenkian Foundation, 2014.</w:t>
      </w:r>
    </w:p>
  </w:footnote>
  <w:footnote w:id="52">
    <w:p>
      <w:pPr>
        <w:pStyle w:val="FootnoteText"/>
        <w:spacing w:before="0"/>
        <w:ind w:left="425" w:hanging="425"/>
        <w:rPr>
          <w:sz w:val="18"/>
          <w:szCs w:val="18"/>
          <w:lang w:val="en-GB"/>
        </w:rPr>
      </w:pPr>
      <w:r>
        <w:rPr>
          <w:sz w:val="18"/>
          <w:szCs w:val="18"/>
          <w:lang w:val="en-GB"/>
        </w:rPr>
        <w:t>(</w:t>
      </w:r>
      <w:r>
        <w:rPr>
          <w:sz w:val="18"/>
          <w:szCs w:val="18"/>
          <w:vertAlign w:val="superscript"/>
        </w:rPr>
        <w:footnoteRef/>
      </w:r>
      <w:r>
        <w:rPr>
          <w:sz w:val="18"/>
          <w:szCs w:val="18"/>
          <w:lang w:val="en-GB"/>
        </w:rPr>
        <w:t>)</w:t>
      </w:r>
      <w:r>
        <w:rPr>
          <w:sz w:val="18"/>
          <w:szCs w:val="18"/>
          <w:lang w:val="en-GB"/>
        </w:rPr>
        <w:tab/>
        <w:t>European Commission, 2011.</w:t>
      </w:r>
    </w:p>
  </w:footnote>
  <w:footnote w:id="53">
    <w:p>
      <w:pPr>
        <w:pStyle w:val="FootnoteText"/>
        <w:tabs>
          <w:tab w:val="left" w:pos="426"/>
        </w:tabs>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 xml:space="preserve">) </w:t>
      </w:r>
      <w:r>
        <w:rPr>
          <w:sz w:val="18"/>
          <w:szCs w:val="18"/>
          <w:lang w:val="en-GB"/>
        </w:rPr>
        <w:tab/>
        <w:t xml:space="preserve">Symptoms of depression are evaluated based on eight specific questions defined on the basis of the Diagnostic and Statistical Manual of Mental Disorders – Fourth Edition (DSM-IV). Respondents had to evaluate how frequently they experience the following feelings: A. Little interest or pleasure in doing things; B. Feeling down, depressed or hopeless; C. Trouble falling or staying asleep, or sleeping too much; D. Feeling tired or having little energy; E. Poor appetite or overeating; F. Feeling bad about yourself or that you are a failure or have let yourself or your family down; G. Trouble concentrating on things, such as reading the newspaper or watching television; H. Moving or speaking so slowly that other people could have noticed. Or the opposite - being so fidgety or restless that you have been moving around a lot more than usual (Eurostat 2013, pp. 51-53). </w:t>
      </w:r>
    </w:p>
  </w:footnote>
  <w:footnote w:id="54">
    <w:p>
      <w:pPr>
        <w:pStyle w:val="FootnoteText"/>
        <w:tabs>
          <w:tab w:val="left" w:pos="426"/>
        </w:tabs>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w:t>
      </w:r>
      <w:r>
        <w:rPr>
          <w:sz w:val="18"/>
          <w:szCs w:val="18"/>
          <w:lang w:val="en-GB"/>
        </w:rPr>
        <w:tab/>
        <w:t>WHO, 2017.</w:t>
      </w:r>
    </w:p>
  </w:footnote>
  <w:footnote w:id="55">
    <w:p>
      <w:pPr>
        <w:pStyle w:val="FootnoteText"/>
        <w:spacing w:before="0"/>
        <w:ind w:left="426" w:hanging="426"/>
        <w:rPr>
          <w:sz w:val="18"/>
          <w:szCs w:val="18"/>
          <w:lang w:val="en-GB"/>
        </w:rPr>
      </w:pPr>
      <w:r>
        <w:rPr>
          <w:sz w:val="18"/>
          <w:szCs w:val="18"/>
          <w:lang w:val="en-GB"/>
        </w:rPr>
        <w:t>(</w:t>
      </w:r>
      <w:r>
        <w:rPr>
          <w:sz w:val="18"/>
          <w:szCs w:val="18"/>
          <w:vertAlign w:val="superscript"/>
          <w:lang w:val="en-GB"/>
        </w:rPr>
        <w:footnoteRef/>
      </w:r>
      <w:r>
        <w:rPr>
          <w:sz w:val="18"/>
          <w:szCs w:val="18"/>
          <w:lang w:val="en-GB"/>
        </w:rPr>
        <w:t>)</w:t>
      </w:r>
      <w:r>
        <w:rPr>
          <w:sz w:val="18"/>
          <w:szCs w:val="18"/>
          <w:lang w:val="en-GB"/>
        </w:rPr>
        <w:tab/>
        <w:t>Dallas, M.E., 2015.</w:t>
      </w:r>
    </w:p>
  </w:footnote>
  <w:footnote w:id="56">
    <w:p>
      <w:pPr>
        <w:pStyle w:val="FootnoteText"/>
        <w:spacing w:before="0"/>
        <w:ind w:left="426" w:hanging="426"/>
        <w:rPr>
          <w:sz w:val="18"/>
          <w:szCs w:val="18"/>
          <w:lang w:val="en-GB"/>
        </w:rPr>
      </w:pPr>
      <w:r>
        <w:rPr>
          <w:sz w:val="18"/>
          <w:szCs w:val="18"/>
          <w:lang w:val="en-GB"/>
        </w:rPr>
        <w:t>(</w:t>
      </w:r>
      <w:r>
        <w:rPr>
          <w:sz w:val="18"/>
          <w:szCs w:val="18"/>
          <w:vertAlign w:val="superscript"/>
        </w:rPr>
        <w:footnoteRef/>
      </w:r>
      <w:r>
        <w:rPr>
          <w:sz w:val="18"/>
          <w:szCs w:val="18"/>
          <w:lang w:val="en-GB"/>
        </w:rPr>
        <w:t>)</w:t>
      </w:r>
      <w:r>
        <w:rPr>
          <w:sz w:val="18"/>
          <w:szCs w:val="18"/>
        </w:rPr>
        <w:t xml:space="preserve"> </w:t>
      </w:r>
      <w:r>
        <w:rPr>
          <w:sz w:val="18"/>
          <w:szCs w:val="18"/>
          <w:lang w:val="en-GB"/>
        </w:rPr>
        <w:tab/>
        <w:t>WHO, 2014b.</w:t>
      </w:r>
    </w:p>
  </w:footnote>
  <w:footnote w:id="57">
    <w:p>
      <w:pPr>
        <w:pStyle w:val="FootnoteText"/>
        <w:spacing w:before="0"/>
        <w:ind w:left="426" w:hanging="426"/>
        <w:rPr>
          <w:sz w:val="18"/>
          <w:szCs w:val="18"/>
          <w:lang w:val="en-GB"/>
        </w:rPr>
      </w:pPr>
      <w:r>
        <w:rPr>
          <w:sz w:val="18"/>
          <w:szCs w:val="18"/>
          <w:lang w:val="hu-HU"/>
        </w:rPr>
        <w:t>(</w:t>
      </w:r>
      <w:r>
        <w:rPr>
          <w:sz w:val="18"/>
          <w:szCs w:val="18"/>
          <w:vertAlign w:val="superscript"/>
        </w:rPr>
        <w:footnoteRef/>
      </w:r>
      <w:r>
        <w:rPr>
          <w:sz w:val="18"/>
          <w:szCs w:val="18"/>
          <w:lang w:val="hu-HU"/>
        </w:rPr>
        <w:t>)</w:t>
      </w:r>
      <w:r>
        <w:rPr>
          <w:sz w:val="18"/>
          <w:szCs w:val="18"/>
          <w:lang w:val="hu-HU"/>
        </w:rPr>
        <w:tab/>
      </w:r>
      <w:r>
        <w:rPr>
          <w:sz w:val="18"/>
          <w:szCs w:val="18"/>
          <w:lang w:val="en-GB"/>
        </w:rPr>
        <w:t>Source: Eurostat, 'Causes of death (intentional self-harm) – Crude death rate' [hlth_cd_acdr2]. Data extracted on 07/06/2017.</w:t>
      </w:r>
    </w:p>
  </w:footnote>
  <w:footnote w:id="58">
    <w:p>
      <w:pPr>
        <w:pStyle w:val="FootnoteText"/>
        <w:spacing w:before="0"/>
        <w:ind w:left="426" w:hanging="426"/>
        <w:rPr>
          <w:sz w:val="18"/>
          <w:szCs w:val="18"/>
          <w:lang w:val="hu-HU"/>
        </w:rPr>
      </w:pPr>
      <w:r>
        <w:rPr>
          <w:sz w:val="18"/>
          <w:szCs w:val="18"/>
          <w:lang w:val="hu-HU"/>
        </w:rPr>
        <w:t>(</w:t>
      </w:r>
      <w:r>
        <w:rPr>
          <w:sz w:val="18"/>
          <w:szCs w:val="18"/>
          <w:vertAlign w:val="superscript"/>
          <w:lang w:val="hu-HU"/>
        </w:rPr>
        <w:footnoteRef/>
      </w:r>
      <w:r>
        <w:rPr>
          <w:sz w:val="18"/>
          <w:szCs w:val="18"/>
          <w:lang w:val="hu-HU"/>
        </w:rPr>
        <w:t xml:space="preserve">) </w:t>
      </w:r>
      <w:r>
        <w:rPr>
          <w:sz w:val="18"/>
          <w:szCs w:val="18"/>
          <w:lang w:val="hu-HU"/>
        </w:rPr>
        <w:tab/>
        <w:t>Ibid.</w:t>
      </w:r>
    </w:p>
  </w:footnote>
  <w:footnote w:id="59">
    <w:p>
      <w:pPr>
        <w:pStyle w:val="FootnoteText"/>
        <w:spacing w:before="0"/>
        <w:ind w:left="426" w:hanging="426"/>
        <w:rPr>
          <w:sz w:val="18"/>
          <w:szCs w:val="18"/>
          <w:lang w:val="hu-HU"/>
        </w:rPr>
      </w:pPr>
      <w:r>
        <w:rPr>
          <w:sz w:val="18"/>
          <w:szCs w:val="18"/>
          <w:lang w:val="hu-HU"/>
        </w:rPr>
        <w:t>(</w:t>
      </w:r>
      <w:r>
        <w:rPr>
          <w:sz w:val="18"/>
          <w:szCs w:val="18"/>
          <w:vertAlign w:val="superscript"/>
          <w:lang w:val="hu-HU"/>
        </w:rPr>
        <w:footnoteRef/>
      </w:r>
      <w:r>
        <w:rPr>
          <w:sz w:val="18"/>
          <w:szCs w:val="18"/>
          <w:lang w:val="hu-HU"/>
        </w:rPr>
        <w:t xml:space="preserve">) </w:t>
      </w:r>
      <w:r>
        <w:rPr>
          <w:sz w:val="18"/>
          <w:szCs w:val="18"/>
          <w:lang w:val="hu-HU"/>
        </w:rPr>
        <w:tab/>
        <w:t>See e.g. Mergl et al., 2015.</w:t>
      </w:r>
    </w:p>
  </w:footnote>
  <w:footnote w:id="60">
    <w:p>
      <w:pPr>
        <w:pStyle w:val="FootnoteText"/>
        <w:spacing w:before="0"/>
        <w:ind w:left="426" w:hanging="426"/>
        <w:rPr>
          <w:sz w:val="18"/>
          <w:szCs w:val="18"/>
          <w:lang w:val="hu-HU"/>
        </w:rPr>
      </w:pPr>
      <w:r>
        <w:rPr>
          <w:sz w:val="18"/>
          <w:szCs w:val="18"/>
          <w:lang w:val="hu-HU"/>
        </w:rPr>
        <w:t>(</w:t>
      </w:r>
      <w:r>
        <w:rPr>
          <w:sz w:val="18"/>
          <w:szCs w:val="18"/>
          <w:vertAlign w:val="superscript"/>
          <w:lang w:val="hu-HU"/>
        </w:rPr>
        <w:footnoteRef/>
      </w:r>
      <w:r>
        <w:rPr>
          <w:sz w:val="18"/>
          <w:szCs w:val="18"/>
          <w:lang w:val="hu-HU"/>
        </w:rPr>
        <w:t xml:space="preserve">) </w:t>
      </w:r>
      <w:r>
        <w:rPr>
          <w:sz w:val="18"/>
          <w:szCs w:val="18"/>
          <w:lang w:val="hu-HU"/>
        </w:rPr>
        <w:tab/>
        <w:t>Ibid.</w:t>
      </w:r>
    </w:p>
  </w:footnote>
  <w:footnote w:id="61">
    <w:p>
      <w:pPr>
        <w:pStyle w:val="FootnoteText"/>
        <w:spacing w:before="0"/>
        <w:ind w:left="426" w:hanging="426"/>
        <w:rPr>
          <w:sz w:val="18"/>
          <w:szCs w:val="18"/>
          <w:lang w:val="hu-HU"/>
        </w:rPr>
      </w:pPr>
      <w:r>
        <w:rPr>
          <w:sz w:val="18"/>
          <w:szCs w:val="18"/>
          <w:lang w:val="hu-HU"/>
        </w:rPr>
        <w:t>(</w:t>
      </w:r>
      <w:r>
        <w:rPr>
          <w:sz w:val="18"/>
          <w:szCs w:val="18"/>
          <w:vertAlign w:val="superscript"/>
          <w:lang w:val="hu-HU"/>
        </w:rPr>
        <w:footnoteRef/>
      </w:r>
      <w:r>
        <w:rPr>
          <w:sz w:val="18"/>
          <w:szCs w:val="18"/>
          <w:lang w:val="hu-HU"/>
        </w:rPr>
        <w:t>)</w:t>
      </w:r>
      <w:r>
        <w:rPr>
          <w:sz w:val="18"/>
          <w:szCs w:val="18"/>
          <w:lang w:val="hu-HU"/>
        </w:rPr>
        <w:tab/>
      </w:r>
      <w:r>
        <w:rPr>
          <w:sz w:val="18"/>
          <w:szCs w:val="18"/>
          <w:lang w:val="en-GB"/>
        </w:rPr>
        <w:t>Source</w:t>
      </w:r>
      <w:r>
        <w:rPr>
          <w:sz w:val="18"/>
          <w:szCs w:val="18"/>
          <w:lang w:val="hu-HU"/>
        </w:rPr>
        <w:t xml:space="preserve">: Eurostat, </w:t>
      </w:r>
      <w:r>
        <w:rPr>
          <w:sz w:val="18"/>
          <w:szCs w:val="18"/>
          <w:lang w:val="en-GB"/>
        </w:rPr>
        <w:t>'Causes of death (intentional self-harm) - Crude death rate' [hlth_cd_acdr2]. Data extracted on 07/06/2017.</w:t>
      </w:r>
    </w:p>
  </w:footnote>
  <w:footnote w:id="62">
    <w:p>
      <w:pPr>
        <w:pStyle w:val="FootnoteText"/>
        <w:spacing w:before="0"/>
        <w:ind w:left="425" w:hanging="425"/>
        <w:rPr>
          <w:lang w:val="en-GB"/>
        </w:rPr>
      </w:pPr>
      <w:r>
        <w:rPr>
          <w:sz w:val="18"/>
          <w:szCs w:val="18"/>
          <w:lang w:val="en-GB"/>
        </w:rPr>
        <w:t>(</w:t>
      </w:r>
      <w:r>
        <w:rPr>
          <w:rStyle w:val="FootnoteReference"/>
          <w:sz w:val="18"/>
          <w:szCs w:val="18"/>
        </w:rPr>
        <w:footnoteRef/>
      </w:r>
      <w:r>
        <w:rPr>
          <w:sz w:val="18"/>
          <w:szCs w:val="18"/>
          <w:lang w:val="en-GB"/>
        </w:rPr>
        <w:t>)</w:t>
      </w:r>
      <w:r>
        <w:rPr>
          <w:sz w:val="18"/>
          <w:szCs w:val="18"/>
        </w:rPr>
        <w:t xml:space="preserve"> </w:t>
      </w:r>
      <w:r>
        <w:rPr>
          <w:sz w:val="18"/>
          <w:szCs w:val="18"/>
          <w:lang w:val="en-GB"/>
        </w:rPr>
        <w:tab/>
        <w:t>For potential explanations, see e.g. the meta-analysis by Byrnes, Miller and Schafer, 1999.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935" w:type="pct"/>
      <w:tblInd w:w="-1026" w:type="dxa"/>
      <w:tblLook w:val="04A0" w:firstRow="1" w:lastRow="0" w:firstColumn="1" w:lastColumn="0" w:noHBand="0" w:noVBand="1"/>
    </w:tblPr>
    <w:tblGrid>
      <w:gridCol w:w="1107"/>
      <w:gridCol w:w="1510"/>
      <w:gridCol w:w="6791"/>
      <w:gridCol w:w="1696"/>
      <w:gridCol w:w="930"/>
    </w:tblGrid>
    <w:tr>
      <w:trPr>
        <w:trHeight w:hRule="exact" w:val="567"/>
      </w:trPr>
      <w:tc>
        <w:tcPr>
          <w:tcW w:w="1129" w:type="dxa"/>
          <w:shd w:val="clear" w:color="auto" w:fill="ED556E"/>
          <w:vAlign w:val="center"/>
        </w:tcPr>
        <w:p>
          <w:pPr>
            <w:pStyle w:val="Header"/>
            <w:spacing w:after="0" w:line="240" w:lineRule="auto"/>
            <w:jc w:val="right"/>
            <w:rPr>
              <w:rFonts w:ascii="Myriad Pro" w:hAnsi="Myriad Pro"/>
              <w:b/>
              <w:color w:val="FFFFFF"/>
              <w:sz w:val="48"/>
            </w:rPr>
          </w:pPr>
          <w:r>
            <w:rPr>
              <w:rFonts w:ascii="Myriad Pro" w:hAnsi="Myriad Pro"/>
              <w:b/>
              <w:color w:val="FFFFFF"/>
              <w:sz w:val="44"/>
            </w:rPr>
            <w:t>4</w:t>
          </w:r>
        </w:p>
      </w:tc>
      <w:tc>
        <w:tcPr>
          <w:tcW w:w="1554" w:type="dxa"/>
          <w:shd w:val="clear" w:color="auto" w:fill="D9D9D9"/>
        </w:tcPr>
        <w:p>
          <w:pPr>
            <w:pStyle w:val="Header"/>
          </w:pPr>
        </w:p>
      </w:tc>
      <w:tc>
        <w:tcPr>
          <w:tcW w:w="6993" w:type="dxa"/>
          <w:shd w:val="clear" w:color="auto" w:fill="auto"/>
          <w:vAlign w:val="bottom"/>
        </w:tcPr>
        <w:p>
          <w:pPr>
            <w:pStyle w:val="Yo4Headereven"/>
          </w:pPr>
          <w:r>
            <w:rPr>
              <w:rFonts w:ascii="Arial" w:hAnsi="Arial"/>
              <w:noProof/>
              <w:color w:val="FF0000"/>
              <w:sz w:val="20"/>
            </w:rPr>
            <w:t>Health and Well-being</w:t>
          </w:r>
        </w:p>
      </w:tc>
      <w:tc>
        <w:tcPr>
          <w:tcW w:w="1747" w:type="dxa"/>
          <w:shd w:val="clear" w:color="auto" w:fill="auto"/>
        </w:tcPr>
        <w:p>
          <w:pPr>
            <w:pStyle w:val="Header"/>
            <w:spacing w:after="0" w:line="240" w:lineRule="auto"/>
            <w:jc w:val="center"/>
            <w:rPr>
              <w:b/>
              <w:color w:val="FFFFFF"/>
              <w:sz w:val="48"/>
            </w:rPr>
          </w:pPr>
        </w:p>
      </w:tc>
      <w:tc>
        <w:tcPr>
          <w:tcW w:w="954" w:type="dxa"/>
          <w:shd w:val="clear" w:color="auto" w:fill="auto"/>
        </w:tcPr>
        <w:p>
          <w:pPr>
            <w:pStyle w:val="Header"/>
            <w:spacing w:after="0" w:line="240" w:lineRule="auto"/>
            <w:jc w:val="center"/>
            <w:rPr>
              <w:b/>
              <w:color w:val="FFFFFF"/>
              <w:sz w:val="48"/>
            </w:rPr>
          </w:pPr>
        </w:p>
      </w:tc>
    </w:tr>
  </w:tbl>
  <w:p>
    <w:pPr>
      <w:pStyle w:val="Yo5TextNotes"/>
      <w:tabs>
        <w:tab w:val="clear" w:pos="1985"/>
        <w:tab w:val="left" w:pos="3825"/>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25" w:type="pct"/>
      <w:tblInd w:w="-601" w:type="dxa"/>
      <w:tblLook w:val="04A0" w:firstRow="1" w:lastRow="0" w:firstColumn="1" w:lastColumn="0" w:noHBand="0" w:noVBand="1"/>
    </w:tblPr>
    <w:tblGrid>
      <w:gridCol w:w="882"/>
      <w:gridCol w:w="1609"/>
      <w:gridCol w:w="6460"/>
      <w:gridCol w:w="1534"/>
      <w:gridCol w:w="1123"/>
    </w:tblGrid>
    <w:tr>
      <w:trPr>
        <w:trHeight w:hRule="exact" w:val="567"/>
      </w:trPr>
      <w:tc>
        <w:tcPr>
          <w:tcW w:w="893" w:type="dxa"/>
          <w:shd w:val="clear" w:color="auto" w:fill="auto"/>
        </w:tcPr>
        <w:p>
          <w:pPr>
            <w:pStyle w:val="Header"/>
            <w:spacing w:after="0" w:line="240" w:lineRule="auto"/>
            <w:rPr>
              <w:b/>
              <w:color w:val="FFFFFF"/>
              <w:sz w:val="48"/>
            </w:rPr>
          </w:pPr>
        </w:p>
      </w:tc>
      <w:tc>
        <w:tcPr>
          <w:tcW w:w="1632" w:type="dxa"/>
          <w:shd w:val="clear" w:color="auto" w:fill="auto"/>
        </w:tcPr>
        <w:p>
          <w:pPr>
            <w:pStyle w:val="Header"/>
          </w:pPr>
        </w:p>
      </w:tc>
      <w:tc>
        <w:tcPr>
          <w:tcW w:w="6551" w:type="dxa"/>
          <w:shd w:val="clear" w:color="auto" w:fill="auto"/>
          <w:vAlign w:val="bottom"/>
        </w:tcPr>
        <w:p>
          <w:pPr>
            <w:pStyle w:val="Yo4Headerodd"/>
          </w:pPr>
          <w:r>
            <w:rPr>
              <w:rFonts w:ascii="Arial" w:hAnsi="Arial"/>
              <w:noProof/>
              <w:color w:val="FF0000"/>
              <w:sz w:val="20"/>
            </w:rPr>
            <w:t>Health and Well-being</w:t>
          </w:r>
        </w:p>
      </w:tc>
      <w:tc>
        <w:tcPr>
          <w:tcW w:w="1556" w:type="dxa"/>
          <w:shd w:val="clear" w:color="auto" w:fill="D9D9D9"/>
        </w:tcPr>
        <w:p>
          <w:pPr>
            <w:pStyle w:val="Header"/>
            <w:spacing w:after="0" w:line="240" w:lineRule="auto"/>
            <w:jc w:val="center"/>
            <w:rPr>
              <w:b/>
              <w:color w:val="FFFFFF"/>
              <w:sz w:val="48"/>
            </w:rPr>
          </w:pPr>
        </w:p>
      </w:tc>
      <w:tc>
        <w:tcPr>
          <w:tcW w:w="1134" w:type="dxa"/>
          <w:shd w:val="clear" w:color="auto" w:fill="ED556E"/>
          <w:vAlign w:val="center"/>
        </w:tcPr>
        <w:p>
          <w:pPr>
            <w:pStyle w:val="Header"/>
            <w:spacing w:after="0" w:line="240" w:lineRule="auto"/>
            <w:rPr>
              <w:rFonts w:ascii="Myriad Pro" w:hAnsi="Myriad Pro"/>
              <w:b/>
              <w:color w:val="FFFFFF"/>
              <w:sz w:val="44"/>
            </w:rPr>
          </w:pPr>
          <w:r>
            <w:rPr>
              <w:rFonts w:ascii="Myriad Pro" w:hAnsi="Myriad Pro"/>
              <w:b/>
              <w:color w:val="FFFFFF"/>
              <w:sz w:val="40"/>
            </w:rPr>
            <w:t>4</w:t>
          </w:r>
        </w:p>
      </w:tc>
    </w:tr>
  </w:tbl>
  <w:p>
    <w:pPr>
      <w:pStyle w:val="Yo5TextNote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E74C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96E68AA"/>
    <w:lvl w:ilvl="0">
      <w:start w:val="1"/>
      <w:numFmt w:val="decimal"/>
      <w:lvlText w:val="%1."/>
      <w:lvlJc w:val="left"/>
      <w:pPr>
        <w:tabs>
          <w:tab w:val="num" w:pos="1492"/>
        </w:tabs>
        <w:ind w:left="1492" w:hanging="360"/>
      </w:pPr>
    </w:lvl>
  </w:abstractNum>
  <w:abstractNum w:abstractNumId="2">
    <w:nsid w:val="FFFFFF7E"/>
    <w:multiLevelType w:val="singleLevel"/>
    <w:tmpl w:val="20023824"/>
    <w:lvl w:ilvl="0">
      <w:start w:val="1"/>
      <w:numFmt w:val="decimal"/>
      <w:pStyle w:val="ListBullet2"/>
      <w:lvlText w:val="%1."/>
      <w:lvlJc w:val="left"/>
      <w:pPr>
        <w:tabs>
          <w:tab w:val="num" w:pos="926"/>
        </w:tabs>
        <w:ind w:left="926" w:hanging="360"/>
      </w:pPr>
      <w:rPr>
        <w:rFonts w:cs="Times New Roman"/>
      </w:rPr>
    </w:lvl>
  </w:abstractNum>
  <w:abstractNum w:abstractNumId="3">
    <w:nsid w:val="FFFFFF7F"/>
    <w:multiLevelType w:val="singleLevel"/>
    <w:tmpl w:val="E71E1756"/>
    <w:lvl w:ilvl="0">
      <w:start w:val="1"/>
      <w:numFmt w:val="decimal"/>
      <w:pStyle w:val="ListBullet"/>
      <w:lvlText w:val="%1."/>
      <w:lvlJc w:val="left"/>
      <w:pPr>
        <w:tabs>
          <w:tab w:val="num" w:pos="643"/>
        </w:tabs>
        <w:ind w:left="643" w:hanging="360"/>
      </w:pPr>
      <w:rPr>
        <w:rFonts w:cs="Times New Roman"/>
      </w:rPr>
    </w:lvl>
  </w:abstractNum>
  <w:abstractNum w:abstractNumId="4">
    <w:nsid w:val="FFFFFF80"/>
    <w:multiLevelType w:val="singleLevel"/>
    <w:tmpl w:val="3E0837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3099C8"/>
    <w:lvl w:ilvl="0">
      <w:start w:val="1"/>
      <w:numFmt w:val="bullet"/>
      <w:pStyle w:val="ListNumber3"/>
      <w:lvlText w:val=""/>
      <w:lvlJc w:val="left"/>
      <w:pPr>
        <w:tabs>
          <w:tab w:val="num" w:pos="1209"/>
        </w:tabs>
        <w:ind w:left="1209" w:hanging="360"/>
      </w:pPr>
      <w:rPr>
        <w:rFonts w:ascii="Symbol" w:hAnsi="Symbol" w:hint="default"/>
      </w:rPr>
    </w:lvl>
  </w:abstractNum>
  <w:abstractNum w:abstractNumId="6">
    <w:nsid w:val="FFFFFF82"/>
    <w:multiLevelType w:val="singleLevel"/>
    <w:tmpl w:val="F7A2C098"/>
    <w:lvl w:ilvl="0">
      <w:start w:val="1"/>
      <w:numFmt w:val="bullet"/>
      <w:pStyle w:val="ListNumber2"/>
      <w:lvlText w:val=""/>
      <w:lvlJc w:val="left"/>
      <w:pPr>
        <w:tabs>
          <w:tab w:val="num" w:pos="926"/>
        </w:tabs>
        <w:ind w:left="926" w:hanging="360"/>
      </w:pPr>
      <w:rPr>
        <w:rFonts w:ascii="Symbol" w:hAnsi="Symbol" w:hint="default"/>
      </w:rPr>
    </w:lvl>
  </w:abstractNum>
  <w:abstractNum w:abstractNumId="7">
    <w:nsid w:val="FFFFFF83"/>
    <w:multiLevelType w:val="singleLevel"/>
    <w:tmpl w:val="9950308C"/>
    <w:lvl w:ilvl="0">
      <w:start w:val="1"/>
      <w:numFmt w:val="bullet"/>
      <w:pStyle w:val="ListBullet4"/>
      <w:lvlText w:val=""/>
      <w:lvlJc w:val="left"/>
      <w:pPr>
        <w:tabs>
          <w:tab w:val="num" w:pos="643"/>
        </w:tabs>
        <w:ind w:left="643" w:hanging="360"/>
      </w:pPr>
      <w:rPr>
        <w:rFonts w:ascii="Symbol" w:hAnsi="Symbol" w:hint="default"/>
      </w:rPr>
    </w:lvl>
  </w:abstractNum>
  <w:abstractNum w:abstractNumId="8">
    <w:nsid w:val="FFFFFF88"/>
    <w:multiLevelType w:val="singleLevel"/>
    <w:tmpl w:val="31DA0418"/>
    <w:lvl w:ilvl="0">
      <w:start w:val="1"/>
      <w:numFmt w:val="decimal"/>
      <w:pStyle w:val="ListNumber4"/>
      <w:lvlText w:val="%1."/>
      <w:lvlJc w:val="left"/>
      <w:pPr>
        <w:tabs>
          <w:tab w:val="num" w:pos="360"/>
        </w:tabs>
        <w:ind w:left="360" w:hanging="360"/>
      </w:pPr>
      <w:rPr>
        <w:rFonts w:cs="Times New Roman"/>
      </w:rPr>
    </w:lvl>
  </w:abstractNum>
  <w:abstractNum w:abstractNumId="9">
    <w:nsid w:val="FFFFFF89"/>
    <w:multiLevelType w:val="singleLevel"/>
    <w:tmpl w:val="549C364E"/>
    <w:lvl w:ilvl="0">
      <w:start w:val="1"/>
      <w:numFmt w:val="bullet"/>
      <w:pStyle w:val="ListBullet3"/>
      <w:lvlText w:val=""/>
      <w:lvlJc w:val="left"/>
      <w:pPr>
        <w:tabs>
          <w:tab w:val="num" w:pos="360"/>
        </w:tabs>
        <w:ind w:left="360" w:hanging="360"/>
      </w:pPr>
      <w:rPr>
        <w:rFonts w:ascii="Symbol" w:hAnsi="Symbol" w:hint="default"/>
      </w:rPr>
    </w:lvl>
  </w:abstractNum>
  <w:abstractNum w:abstractNumId="10">
    <w:nsid w:val="076A1B99"/>
    <w:multiLevelType w:val="hybridMultilevel"/>
    <w:tmpl w:val="7C401FD2"/>
    <w:lvl w:ilvl="0" w:tplc="0CBAACC0">
      <w:start w:val="1"/>
      <w:numFmt w:val="decimal"/>
      <w:pStyle w:val="Yo11TextNum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1314432"/>
    <w:multiLevelType w:val="multilevel"/>
    <w:tmpl w:val="56C06BBC"/>
    <w:lvl w:ilvl="0">
      <w:start w:val="1"/>
      <w:numFmt w:val="bullet"/>
      <w:pStyle w:val="Yo11Textbulletlvl1"/>
      <w:lvlText w:val=""/>
      <w:lvlJc w:val="left"/>
      <w:pPr>
        <w:ind w:left="360" w:hanging="360"/>
      </w:pPr>
      <w:rPr>
        <w:rFonts w:ascii="Symbol" w:hAnsi="Symbol" w:hint="default"/>
        <w:b w:val="0"/>
        <w:i w:val="0"/>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2F85CBE"/>
    <w:multiLevelType w:val="hybridMultilevel"/>
    <w:tmpl w:val="C5A25794"/>
    <w:lvl w:ilvl="0" w:tplc="2D2A33D8">
      <w:start w:val="1"/>
      <w:numFmt w:val="bullet"/>
      <w:pStyle w:val="tableauougraphique"/>
      <w:lvlText w:val=""/>
      <w:lvlJc w:val="left"/>
      <w:pPr>
        <w:ind w:left="720" w:hanging="360"/>
      </w:pPr>
      <w:rPr>
        <w:rFonts w:ascii="Wingdings 2" w:hAnsi="Wingdings 2" w:hint="default"/>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E53124E"/>
    <w:multiLevelType w:val="singleLevel"/>
    <w:tmpl w:val="64B62D6E"/>
    <w:lvl w:ilvl="0">
      <w:start w:val="1"/>
      <w:numFmt w:val="bullet"/>
      <w:pStyle w:val="Heading8"/>
      <w:lvlText w:val=""/>
      <w:lvlJc w:val="left"/>
      <w:pPr>
        <w:tabs>
          <w:tab w:val="num" w:pos="360"/>
        </w:tabs>
        <w:ind w:left="360" w:hanging="360"/>
      </w:pPr>
      <w:rPr>
        <w:rFonts w:ascii="Symbol" w:hAnsi="Symbol" w:hint="default"/>
      </w:rPr>
    </w:lvl>
  </w:abstractNum>
  <w:abstractNum w:abstractNumId="14">
    <w:nsid w:val="1F3C6A90"/>
    <w:multiLevelType w:val="hybridMultilevel"/>
    <w:tmpl w:val="E0CC778C"/>
    <w:lvl w:ilvl="0" w:tplc="BFB88B92">
      <w:start w:val="1"/>
      <w:numFmt w:val="bullet"/>
      <w:pStyle w:val="textepar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5">
    <w:nsid w:val="24BA2E06"/>
    <w:multiLevelType w:val="hybridMultilevel"/>
    <w:tmpl w:val="CC345A64"/>
    <w:lvl w:ilvl="0" w:tplc="41F83986">
      <w:start w:val="1"/>
      <w:numFmt w:val="bullet"/>
      <w:pStyle w:val="Yo11Textbulletlvl2"/>
      <w:lvlText w:val="o"/>
      <w:lvlJc w:val="left"/>
      <w:pPr>
        <w:ind w:left="644" w:hanging="360"/>
      </w:pPr>
      <w:rPr>
        <w:rFonts w:ascii="Courier New" w:hAnsi="Courier New" w:cs="Courier New" w:hint="default"/>
      </w:rPr>
    </w:lvl>
    <w:lvl w:ilvl="1" w:tplc="04070003" w:tentative="1">
      <w:start w:val="1"/>
      <w:numFmt w:val="bullet"/>
      <w:lvlText w:val="o"/>
      <w:lvlJc w:val="left"/>
      <w:pPr>
        <w:ind w:left="2517" w:hanging="360"/>
      </w:pPr>
      <w:rPr>
        <w:rFonts w:ascii="Courier New" w:hAnsi="Courier New" w:cs="Courier New" w:hint="default"/>
      </w:rPr>
    </w:lvl>
    <w:lvl w:ilvl="2" w:tplc="04070005" w:tentative="1">
      <w:start w:val="1"/>
      <w:numFmt w:val="bullet"/>
      <w:lvlText w:val=""/>
      <w:lvlJc w:val="left"/>
      <w:pPr>
        <w:ind w:left="3237" w:hanging="360"/>
      </w:pPr>
      <w:rPr>
        <w:rFonts w:ascii="Wingdings" w:hAnsi="Wingdings" w:hint="default"/>
      </w:rPr>
    </w:lvl>
    <w:lvl w:ilvl="3" w:tplc="04070001" w:tentative="1">
      <w:start w:val="1"/>
      <w:numFmt w:val="bullet"/>
      <w:lvlText w:val=""/>
      <w:lvlJc w:val="left"/>
      <w:pPr>
        <w:ind w:left="3957" w:hanging="360"/>
      </w:pPr>
      <w:rPr>
        <w:rFonts w:ascii="Symbol" w:hAnsi="Symbol" w:hint="default"/>
      </w:rPr>
    </w:lvl>
    <w:lvl w:ilvl="4" w:tplc="04070003" w:tentative="1">
      <w:start w:val="1"/>
      <w:numFmt w:val="bullet"/>
      <w:lvlText w:val="o"/>
      <w:lvlJc w:val="left"/>
      <w:pPr>
        <w:ind w:left="4677" w:hanging="360"/>
      </w:pPr>
      <w:rPr>
        <w:rFonts w:ascii="Courier New" w:hAnsi="Courier New" w:cs="Courier New" w:hint="default"/>
      </w:rPr>
    </w:lvl>
    <w:lvl w:ilvl="5" w:tplc="04070005" w:tentative="1">
      <w:start w:val="1"/>
      <w:numFmt w:val="bullet"/>
      <w:lvlText w:val=""/>
      <w:lvlJc w:val="left"/>
      <w:pPr>
        <w:ind w:left="5397" w:hanging="360"/>
      </w:pPr>
      <w:rPr>
        <w:rFonts w:ascii="Wingdings" w:hAnsi="Wingdings" w:hint="default"/>
      </w:rPr>
    </w:lvl>
    <w:lvl w:ilvl="6" w:tplc="04070001" w:tentative="1">
      <w:start w:val="1"/>
      <w:numFmt w:val="bullet"/>
      <w:lvlText w:val=""/>
      <w:lvlJc w:val="left"/>
      <w:pPr>
        <w:ind w:left="6117" w:hanging="360"/>
      </w:pPr>
      <w:rPr>
        <w:rFonts w:ascii="Symbol" w:hAnsi="Symbol" w:hint="default"/>
      </w:rPr>
    </w:lvl>
    <w:lvl w:ilvl="7" w:tplc="04070003" w:tentative="1">
      <w:start w:val="1"/>
      <w:numFmt w:val="bullet"/>
      <w:lvlText w:val="o"/>
      <w:lvlJc w:val="left"/>
      <w:pPr>
        <w:ind w:left="6837" w:hanging="360"/>
      </w:pPr>
      <w:rPr>
        <w:rFonts w:ascii="Courier New" w:hAnsi="Courier New" w:cs="Courier New" w:hint="default"/>
      </w:rPr>
    </w:lvl>
    <w:lvl w:ilvl="8" w:tplc="04070005" w:tentative="1">
      <w:start w:val="1"/>
      <w:numFmt w:val="bullet"/>
      <w:lvlText w:val=""/>
      <w:lvlJc w:val="left"/>
      <w:pPr>
        <w:ind w:left="7557" w:hanging="360"/>
      </w:pPr>
      <w:rPr>
        <w:rFonts w:ascii="Wingdings" w:hAnsi="Wingdings" w:hint="default"/>
      </w:rPr>
    </w:lvl>
  </w:abstractNum>
  <w:abstractNum w:abstractNumId="16">
    <w:nsid w:val="2AF76E7A"/>
    <w:multiLevelType w:val="singleLevel"/>
    <w:tmpl w:val="C74C5A32"/>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37DC3B30"/>
    <w:multiLevelType w:val="multilevel"/>
    <w:tmpl w:val="C47A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5459E8"/>
    <w:multiLevelType w:val="singleLevel"/>
    <w:tmpl w:val="2188C922"/>
    <w:name w:val="Tiret 1"/>
    <w:lvl w:ilvl="0">
      <w:start w:val="1"/>
      <w:numFmt w:val="bullet"/>
      <w:lvlRestart w:val="0"/>
      <w:pStyle w:val="Tiret1"/>
      <w:lvlText w:val="–"/>
      <w:lvlJc w:val="left"/>
      <w:pPr>
        <w:tabs>
          <w:tab w:val="num" w:pos="1417"/>
        </w:tabs>
        <w:ind w:left="1417" w:hanging="567"/>
      </w:pPr>
    </w:lvl>
  </w:abstractNum>
  <w:abstractNum w:abstractNumId="19">
    <w:nsid w:val="3BA736C9"/>
    <w:multiLevelType w:val="singleLevel"/>
    <w:tmpl w:val="F00A6C0C"/>
    <w:name w:val="Tiret 0"/>
    <w:lvl w:ilvl="0">
      <w:start w:val="1"/>
      <w:numFmt w:val="bullet"/>
      <w:lvlRestart w:val="0"/>
      <w:pStyle w:val="Tiret0"/>
      <w:lvlText w:val="–"/>
      <w:lvlJc w:val="left"/>
      <w:pPr>
        <w:tabs>
          <w:tab w:val="num" w:pos="850"/>
        </w:tabs>
        <w:ind w:left="850" w:hanging="850"/>
      </w:pPr>
    </w:lvl>
  </w:abstractNum>
  <w:abstractNum w:abstractNumId="20">
    <w:nsid w:val="3C90278F"/>
    <w:multiLevelType w:val="singleLevel"/>
    <w:tmpl w:val="0FE08974"/>
    <w:name w:val="Tiret 3"/>
    <w:lvl w:ilvl="0">
      <w:start w:val="1"/>
      <w:numFmt w:val="bullet"/>
      <w:lvlRestart w:val="0"/>
      <w:pStyle w:val="Tiret3"/>
      <w:lvlText w:val="–"/>
      <w:lvlJc w:val="left"/>
      <w:pPr>
        <w:tabs>
          <w:tab w:val="num" w:pos="2551"/>
        </w:tabs>
        <w:ind w:left="2551" w:hanging="567"/>
      </w:pPr>
    </w:lvl>
  </w:abstractNum>
  <w:abstractNum w:abstractNumId="21">
    <w:nsid w:val="40FF3500"/>
    <w:multiLevelType w:val="singleLevel"/>
    <w:tmpl w:val="84DA1EE8"/>
    <w:lvl w:ilvl="0">
      <w:start w:val="1"/>
      <w:numFmt w:val="bullet"/>
      <w:lvlRestart w:val="0"/>
      <w:lvlText w:val=""/>
      <w:lvlJc w:val="left"/>
      <w:pPr>
        <w:tabs>
          <w:tab w:val="num" w:pos="1417"/>
        </w:tabs>
        <w:ind w:left="1417" w:hanging="567"/>
      </w:pPr>
      <w:rPr>
        <w:rFonts w:ascii="Symbol" w:hAnsi="Symbol" w:hint="default"/>
      </w:rPr>
    </w:lvl>
  </w:abstractNum>
  <w:abstractNum w:abstractNumId="22">
    <w:nsid w:val="428415E7"/>
    <w:multiLevelType w:val="multilevel"/>
    <w:tmpl w:val="92100ADA"/>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48842C30"/>
    <w:multiLevelType w:val="singleLevel"/>
    <w:tmpl w:val="4FA60B9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4">
    <w:nsid w:val="49D47C56"/>
    <w:multiLevelType w:val="multilevel"/>
    <w:tmpl w:val="47CEF9CE"/>
    <w:name w:val="0.3838269"/>
    <w:lvl w:ilvl="0">
      <w:start w:val="3"/>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54593082"/>
    <w:multiLevelType w:val="singleLevel"/>
    <w:tmpl w:val="EDE069AC"/>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6">
    <w:nsid w:val="54E058C9"/>
    <w:multiLevelType w:val="hybridMultilevel"/>
    <w:tmpl w:val="BCFC9894"/>
    <w:lvl w:ilvl="0" w:tplc="EBA0E5C8">
      <w:start w:val="1"/>
      <w:numFmt w:val="decimal"/>
      <w:pStyle w:val="Yo11TextNum2"/>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27">
    <w:nsid w:val="568864DC"/>
    <w:multiLevelType w:val="singleLevel"/>
    <w:tmpl w:val="485EBDAC"/>
    <w:name w:val="Tiret 4"/>
    <w:lvl w:ilvl="0">
      <w:start w:val="1"/>
      <w:numFmt w:val="bullet"/>
      <w:lvlRestart w:val="0"/>
      <w:pStyle w:val="Tiret4"/>
      <w:lvlText w:val="–"/>
      <w:lvlJc w:val="left"/>
      <w:pPr>
        <w:tabs>
          <w:tab w:val="num" w:pos="3118"/>
        </w:tabs>
        <w:ind w:left="3118" w:hanging="567"/>
      </w:pPr>
    </w:lvl>
  </w:abstractNum>
  <w:abstractNum w:abstractNumId="28">
    <w:nsid w:val="59C8178D"/>
    <w:multiLevelType w:val="hybridMultilevel"/>
    <w:tmpl w:val="8A9E711C"/>
    <w:lvl w:ilvl="0" w:tplc="9A820658">
      <w:start w:val="1"/>
      <w:numFmt w:val="bullet"/>
      <w:pStyle w:val="Yo11Textbulletlvl3"/>
      <w:lvlText w:val=""/>
      <w:lvlJc w:val="left"/>
      <w:pPr>
        <w:ind w:left="984"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9">
    <w:nsid w:val="5F342530"/>
    <w:multiLevelType w:val="singleLevel"/>
    <w:tmpl w:val="D5444702"/>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0">
    <w:nsid w:val="5F9C40AA"/>
    <w:multiLevelType w:val="singleLevel"/>
    <w:tmpl w:val="B89CB5A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1">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32">
    <w:nsid w:val="69995580"/>
    <w:multiLevelType w:val="singleLevel"/>
    <w:tmpl w:val="75CC7CBA"/>
    <w:name w:val="Considérant"/>
    <w:lvl w:ilvl="0">
      <w:start w:val="1"/>
      <w:numFmt w:val="decimal"/>
      <w:lvlRestart w:val="0"/>
      <w:pStyle w:val="Considrant"/>
      <w:lvlText w:val="(%1)"/>
      <w:lvlJc w:val="left"/>
      <w:pPr>
        <w:tabs>
          <w:tab w:val="num" w:pos="709"/>
        </w:tabs>
        <w:ind w:left="709" w:hanging="709"/>
      </w:pPr>
    </w:lvl>
  </w:abstractNum>
  <w:abstractNum w:abstractNumId="33">
    <w:nsid w:val="711167E2"/>
    <w:multiLevelType w:val="multilevel"/>
    <w:tmpl w:val="C3843A7A"/>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769D4072"/>
    <w:multiLevelType w:val="hybridMultilevel"/>
    <w:tmpl w:val="0ACA6C82"/>
    <w:lvl w:ilvl="0" w:tplc="4E80D628">
      <w:start w:val="1"/>
      <w:numFmt w:val="decimal"/>
      <w:pStyle w:val="Yo11TextNum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BE95D7F"/>
    <w:multiLevelType w:val="multilevel"/>
    <w:tmpl w:val="F126F780"/>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1"/>
  </w:num>
  <w:num w:numId="2">
    <w:abstractNumId w:val="15"/>
  </w:num>
  <w:num w:numId="3">
    <w:abstractNumId w:val="28"/>
  </w:num>
  <w:num w:numId="4">
    <w:abstractNumId w:val="10"/>
  </w:num>
  <w:num w:numId="5">
    <w:abstractNumId w:val="26"/>
  </w:num>
  <w:num w:numId="6">
    <w:abstractNumId w:val="34"/>
  </w:num>
  <w:num w:numId="7">
    <w:abstractNumId w:val="24"/>
  </w:num>
  <w:num w:numId="8">
    <w:abstractNumId w:val="9"/>
  </w:num>
  <w:num w:numId="9">
    <w:abstractNumId w:val="7"/>
  </w:num>
  <w:num w:numId="10">
    <w:abstractNumId w:val="6"/>
  </w:num>
  <w:num w:numId="11">
    <w:abstractNumId w:val="5"/>
  </w:num>
  <w:num w:numId="12">
    <w:abstractNumId w:val="8"/>
  </w:num>
  <w:num w:numId="13">
    <w:abstractNumId w:val="3"/>
  </w:num>
  <w:num w:numId="14">
    <w:abstractNumId w:val="2"/>
  </w:num>
  <w:num w:numId="15">
    <w:abstractNumId w:val="22"/>
  </w:num>
  <w:num w:numId="16">
    <w:abstractNumId w:val="13"/>
  </w:num>
  <w:num w:numId="17">
    <w:abstractNumId w:val="14"/>
  </w:num>
  <w:num w:numId="18">
    <w:abstractNumId w:val="12"/>
  </w:num>
  <w:num w:numId="19">
    <w:abstractNumId w:val="19"/>
  </w:num>
  <w:num w:numId="20">
    <w:abstractNumId w:val="18"/>
  </w:num>
  <w:num w:numId="21">
    <w:abstractNumId w:val="31"/>
  </w:num>
  <w:num w:numId="22">
    <w:abstractNumId w:val="20"/>
  </w:num>
  <w:num w:numId="23">
    <w:abstractNumId w:val="27"/>
  </w:num>
  <w:num w:numId="24">
    <w:abstractNumId w:val="33"/>
  </w:num>
  <w:num w:numId="25">
    <w:abstractNumId w:val="35"/>
  </w:num>
  <w:num w:numId="26">
    <w:abstractNumId w:val="25"/>
  </w:num>
  <w:num w:numId="27">
    <w:abstractNumId w:val="16"/>
  </w:num>
  <w:num w:numId="28">
    <w:abstractNumId w:val="30"/>
  </w:num>
  <w:num w:numId="29">
    <w:abstractNumId w:val="29"/>
  </w:num>
  <w:num w:numId="30">
    <w:abstractNumId w:val="23"/>
  </w:num>
  <w:num w:numId="31">
    <w:abstractNumId w:val="32"/>
  </w:num>
  <w:num w:numId="32">
    <w:abstractNumId w:val="4"/>
  </w:num>
  <w:num w:numId="33">
    <w:abstractNumId w:val="1"/>
  </w:num>
  <w:num w:numId="34">
    <w:abstractNumId w:val="21"/>
  </w:num>
  <w:num w:numId="35">
    <w:abstractNumId w:val="0"/>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D9600B3F-B187-4649-BE71-787E6B8CE5F4"/>
    <w:docVar w:name="LW_COVERPAGE_TYPE" w:val="1"/>
    <w:docVar w:name="LW_CROSSREFERENCE" w:val="{COM(2018) 269 final}_x000b_{SWD(2018) 168 final}"/>
    <w:docVar w:name="LW_DocType" w:val="NORMAL"/>
    <w:docVar w:name="LW_EMISSION" w:val="22.5.2018"/>
    <w:docVar w:name="LW_EMISSION_ISODATE" w:val="2018-05-22"/>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Engaging, Connecting and Empowering young people: a new EU Youth Strategy_x000b_"/>
    <w:docVar w:name="LW_PART_NBR" w:val="4"/>
    <w:docVar w:name="LW_PART_NBR_TOTAL" w:val="7"/>
    <w:docVar w:name="LW_REF.INST.NEW" w:val="SWD"/>
    <w:docVar w:name="LW_REF.INST.NEW_ADOPTED" w:val="final"/>
    <w:docVar w:name="LW_REF.INST.NEW_TEXT" w:val="(2018) 16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Situation of young people in the European Union"/>
    <w:docVar w:name="LW_TYPE.DOC.CP" w:val="COMMISSION STAFF WORKING DOCUMENT"/>
    <w:docVar w:name="LW_TYPEACTEPRINCIPAL.CP" w:val="COMMUNICATION FROM THE COMMISSION TO THE EUROPEAN PARLIAMENT, THE EUROPEAN COUNCIL,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pPr>
      <w:keepNext/>
      <w:tabs>
        <w:tab w:val="num" w:pos="850"/>
      </w:tabs>
      <w:spacing w:before="120" w:after="120" w:line="240" w:lineRule="auto"/>
      <w:ind w:left="850" w:hanging="850"/>
      <w:jc w:val="both"/>
      <w:outlineLvl w:val="3"/>
    </w:pPr>
    <w:rPr>
      <w:rFonts w:ascii="Times New Roman" w:eastAsia="Times New Roman" w:hAnsi="Times New Roman"/>
      <w:bCs/>
      <w:sz w:val="24"/>
      <w:szCs w:val="28"/>
      <w:lang w:eastAsia="x-none"/>
    </w:rPr>
  </w:style>
  <w:style w:type="paragraph" w:styleId="Heading5">
    <w:name w:val="heading 5"/>
    <w:basedOn w:val="Normal"/>
    <w:next w:val="Normal"/>
    <w:link w:val="Heading5Char"/>
    <w:qFormat/>
    <w:pPr>
      <w:keepNext/>
      <w:spacing w:before="160" w:after="60" w:line="240" w:lineRule="auto"/>
      <w:jc w:val="both"/>
      <w:outlineLvl w:val="4"/>
    </w:pPr>
    <w:rPr>
      <w:rFonts w:ascii="Arial Narrow" w:hAnsi="Arial Narrow"/>
      <w:bCs/>
      <w:spacing w:val="8"/>
      <w:sz w:val="20"/>
      <w:szCs w:val="20"/>
      <w:u w:val="single"/>
      <w:lang w:val="en-IE" w:eastAsia="x-none"/>
    </w:rPr>
  </w:style>
  <w:style w:type="paragraph" w:styleId="Heading6">
    <w:name w:val="heading 6"/>
    <w:basedOn w:val="Normal"/>
    <w:next w:val="Normal"/>
    <w:link w:val="Heading6Char"/>
    <w:qFormat/>
    <w:pPr>
      <w:keepNext/>
      <w:spacing w:before="40" w:after="0" w:line="240" w:lineRule="auto"/>
      <w:ind w:left="57"/>
      <w:jc w:val="both"/>
      <w:outlineLvl w:val="5"/>
    </w:pPr>
    <w:rPr>
      <w:rFonts w:ascii="Myriad Pro SemiExt" w:hAnsi="Myriad Pro SemiExt"/>
      <w:b/>
      <w:bCs/>
      <w:sz w:val="16"/>
      <w:szCs w:val="20"/>
      <w:lang w:val="fr-FR" w:eastAsia="x-none"/>
    </w:rPr>
  </w:style>
  <w:style w:type="paragraph" w:styleId="Heading7">
    <w:name w:val="heading 7"/>
    <w:basedOn w:val="Normal"/>
    <w:next w:val="Normal"/>
    <w:link w:val="Heading7Char"/>
    <w:qFormat/>
    <w:pPr>
      <w:keepNext/>
      <w:spacing w:before="40" w:after="0" w:line="240" w:lineRule="auto"/>
      <w:ind w:left="57"/>
      <w:jc w:val="both"/>
      <w:outlineLvl w:val="6"/>
    </w:pPr>
    <w:rPr>
      <w:rFonts w:ascii="Myriad Pro Light" w:hAnsi="Myriad Pro Light"/>
      <w:b/>
      <w:bCs/>
      <w:sz w:val="16"/>
      <w:szCs w:val="20"/>
      <w:lang w:val="x-none" w:eastAsia="x-none"/>
    </w:rPr>
  </w:style>
  <w:style w:type="paragraph" w:styleId="Heading8">
    <w:name w:val="heading 8"/>
    <w:basedOn w:val="Normal"/>
    <w:next w:val="Normal"/>
    <w:link w:val="Heading8Char"/>
    <w:qFormat/>
    <w:pPr>
      <w:numPr>
        <w:numId w:val="16"/>
      </w:numPr>
      <w:spacing w:before="100" w:after="110" w:line="240" w:lineRule="auto"/>
      <w:jc w:val="both"/>
      <w:outlineLvl w:val="7"/>
    </w:pPr>
    <w:rPr>
      <w:rFonts w:ascii="Helvetica" w:hAnsi="Helvetica"/>
      <w:i/>
      <w:sz w:val="21"/>
      <w:szCs w:val="20"/>
      <w:lang w:val="fr-FR" w:eastAsia="x-none"/>
    </w:rPr>
  </w:style>
  <w:style w:type="paragraph" w:styleId="Heading9">
    <w:name w:val="heading 9"/>
    <w:basedOn w:val="Normal"/>
    <w:next w:val="Normal"/>
    <w:link w:val="Heading9Char"/>
    <w:qFormat/>
    <w:pPr>
      <w:spacing w:before="240" w:after="60" w:line="240" w:lineRule="auto"/>
      <w:jc w:val="both"/>
      <w:outlineLvl w:val="8"/>
    </w:pPr>
    <w:rPr>
      <w:rFonts w:ascii="Myriad Pro Light" w:hAnsi="Myriad Pro Light"/>
      <w:b/>
      <w:bCs/>
      <w:i/>
      <w:iCs/>
      <w:sz w:val="26"/>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36"/>
        <w:tab w:val="right" w:pos="9072"/>
      </w:tabs>
    </w:pPr>
    <w:rPr>
      <w:sz w:val="20"/>
      <w:szCs w:val="20"/>
      <w:lang w:val="x-none" w:eastAsia="x-none"/>
    </w:rPr>
  </w:style>
  <w:style w:type="character" w:customStyle="1" w:styleId="FooterChar">
    <w:name w:val="Footer Char"/>
    <w:link w:val="Footer"/>
    <w:uiPriority w:val="99"/>
    <w:rPr>
      <w:rFonts w:ascii="Calibri" w:eastAsia="Calibri" w:hAnsi="Calibri" w:cs="Times New Roman"/>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lang w:val="x-none" w:eastAsia="x-none"/>
    </w:rPr>
  </w:style>
  <w:style w:type="character" w:customStyle="1" w:styleId="CommentTextChar">
    <w:name w:val="Comment Text Char"/>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pPr>
      <w:spacing w:line="240" w:lineRule="auto"/>
    </w:pPr>
    <w:rPr>
      <w:b/>
      <w:bCs/>
    </w:rPr>
  </w:style>
  <w:style w:type="character" w:customStyle="1" w:styleId="CommentSubjectChar">
    <w:name w:val="Comment Subject Char"/>
    <w:link w:val="CommentSubject"/>
    <w:uiPriority w:val="99"/>
    <w:semiHidden/>
    <w:rPr>
      <w:rFonts w:ascii="Calibri" w:eastAsia="Calibri" w:hAnsi="Calibri" w:cs="Times New Roman"/>
      <w:b/>
      <w:bCs/>
      <w:sz w:val="20"/>
      <w:szCs w:val="20"/>
    </w:rPr>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p92TitleFigure">
    <w:name w:val="_p9_2_Title_Figure"/>
    <w:pPr>
      <w:keepNext/>
      <w:spacing w:before="200" w:after="100" w:line="276" w:lineRule="auto"/>
      <w:ind w:left="142"/>
    </w:pPr>
    <w:rPr>
      <w:rFonts w:ascii="Arial Narrow" w:eastAsia="Cambria" w:hAnsi="Arial Narrow" w:cs="Arial"/>
      <w:b/>
      <w:bCs/>
      <w:noProof/>
      <w:color w:val="C00000"/>
      <w:lang w:eastAsia="en-US"/>
    </w:rPr>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link w:val="Yo0H1Char"/>
    <w:pPr>
      <w:spacing w:after="300" w:line="300" w:lineRule="auto"/>
      <w:jc w:val="both"/>
    </w:pPr>
    <w:rPr>
      <w:rFonts w:ascii="Verdana" w:eastAsia="Calibri" w:hAnsi="Verdana" w:cs="MyriadPro-Bold"/>
      <w:bCs w:val="0"/>
      <w:color w:val="DB1E48"/>
      <w:kern w:val="0"/>
      <w:sz w:val="44"/>
      <w:szCs w:val="44"/>
      <w:lang w:val="en-US" w:eastAsia="fr-BE"/>
    </w:rPr>
  </w:style>
  <w:style w:type="character" w:customStyle="1" w:styleId="Heading1Char">
    <w:name w:val="Heading 1 Char"/>
    <w:link w:val="Heading1"/>
    <w:rPr>
      <w:rFonts w:ascii="Cambria" w:eastAsia="Times New Roman" w:hAnsi="Cambria" w:cs="Times New Roman"/>
      <w:b/>
      <w:bCs/>
      <w:kern w:val="32"/>
      <w:sz w:val="32"/>
      <w:szCs w:val="32"/>
      <w:lang w:val="en-GB" w:eastAsia="en-US"/>
    </w:rPr>
  </w:style>
  <w:style w:type="paragraph" w:customStyle="1" w:styleId="Yo0H2">
    <w:name w:val="_Yo_0_H2"/>
    <w:basedOn w:val="Heading2"/>
    <w:pPr>
      <w:spacing w:before="360" w:after="160" w:line="240" w:lineRule="auto"/>
      <w:jc w:val="both"/>
    </w:pPr>
    <w:rPr>
      <w:rFonts w:ascii="Arial Narrow" w:eastAsia="Calibri" w:hAnsi="Arial Narrow" w:cs="Arial"/>
      <w:b w:val="0"/>
      <w:i w:val="0"/>
      <w:iCs w:val="0"/>
      <w:caps/>
      <w:color w:val="DA1E48"/>
      <w:spacing w:val="10"/>
      <w:lang w:val="en-US"/>
    </w:rPr>
  </w:style>
  <w:style w:type="character" w:customStyle="1" w:styleId="Heading2Char">
    <w:name w:val="Heading 2 Char"/>
    <w:link w:val="Heading2"/>
    <w:rPr>
      <w:rFonts w:ascii="Cambria" w:eastAsia="Times New Roman" w:hAnsi="Cambria" w:cs="Times New Roman"/>
      <w:b/>
      <w:bCs/>
      <w:i/>
      <w:iCs/>
      <w:sz w:val="28"/>
      <w:szCs w:val="28"/>
      <w:lang w:val="en-GB" w:eastAsia="en-US"/>
    </w:rPr>
  </w:style>
  <w:style w:type="paragraph" w:customStyle="1" w:styleId="Yo0H3">
    <w:name w:val="_Yo_0_H3"/>
    <w:basedOn w:val="Heading3"/>
    <w:pPr>
      <w:spacing w:before="270" w:after="160" w:line="240" w:lineRule="auto"/>
      <w:jc w:val="both"/>
    </w:pPr>
    <w:rPr>
      <w:rFonts w:ascii="Calibri" w:eastAsia="Calibri" w:hAnsi="Calibri" w:cs="Calibri"/>
      <w:iCs/>
      <w:color w:val="C00000"/>
      <w:lang w:eastAsia="fr-BE"/>
    </w:rPr>
  </w:style>
  <w:style w:type="character" w:customStyle="1" w:styleId="Heading3Char">
    <w:name w:val="Heading 3 Char"/>
    <w:link w:val="Heading3"/>
    <w:rPr>
      <w:rFonts w:ascii="Cambria" w:eastAsia="Times New Roman" w:hAnsi="Cambria" w:cs="Times New Roman"/>
      <w:b/>
      <w:bCs/>
      <w:sz w:val="26"/>
      <w:szCs w:val="26"/>
      <w:lang w:val="en-GB" w:eastAsia="en-US"/>
    </w:rPr>
  </w:style>
  <w:style w:type="paragraph" w:customStyle="1" w:styleId="Yo0H4">
    <w:name w:val="_Yo_0_H4"/>
    <w:pPr>
      <w:suppressAutoHyphens/>
      <w:spacing w:before="240"/>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keepNext/>
      <w:tabs>
        <w:tab w:val="left" w:pos="993"/>
      </w:tabs>
      <w:suppressAutoHyphens/>
      <w:spacing w:before="120" w:after="120" w:line="300" w:lineRule="auto"/>
      <w:jc w:val="both"/>
    </w:pPr>
    <w:rPr>
      <w:rFonts w:ascii="Verdana" w:hAnsi="Verdana" w:cs="Arial"/>
      <w:b/>
      <w:noProof/>
      <w:sz w:val="18"/>
      <w:szCs w:val="18"/>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1"/>
      </w:numPr>
      <w:tabs>
        <w:tab w:val="clear" w:pos="4253"/>
        <w:tab w:val="left" w:pos="426"/>
      </w:tabs>
      <w:spacing w:before="120"/>
    </w:pPr>
    <w:rPr>
      <w:lang w:val="en-US"/>
    </w:rPr>
  </w:style>
  <w:style w:type="paragraph" w:customStyle="1" w:styleId="Yo11Textbulletlvl2">
    <w:name w:val="_Yo_11_Text_bullet_lvl_2"/>
    <w:basedOn w:val="Yo1Textpara"/>
    <w:pPr>
      <w:numPr>
        <w:numId w:val="2"/>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3"/>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5"/>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6"/>
      </w:numPr>
      <w:tabs>
        <w:tab w:val="clear" w:pos="4253"/>
        <w:tab w:val="left" w:pos="993"/>
      </w:tabs>
      <w:spacing w:before="120" w:after="120"/>
    </w:pPr>
    <w:rPr>
      <w:rFonts w:eastAsia="Times New Roman"/>
      <w:color w:val="1F497D"/>
      <w:lang w:val="fr-FR"/>
    </w:rPr>
  </w:style>
  <w:style w:type="paragraph" w:customStyle="1" w:styleId="Yo12Encart">
    <w:name w:val="_Yo_12_Encart"/>
    <w:qFormat/>
    <w:pPr>
      <w:framePr w:hSpace="180" w:wrap="around" w:vAnchor="text" w:hAnchor="margin" w:xAlign="right" w:y="675"/>
      <w:spacing w:before="60" w:after="60"/>
      <w:ind w:left="142" w:right="108"/>
      <w:suppressOverlap/>
      <w:jc w:val="both"/>
    </w:pPr>
    <w:rPr>
      <w:rFonts w:ascii="Arial Narrow" w:hAnsi="Arial Narrow"/>
      <w:sz w:val="18"/>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FootnoteSeparator">
    <w:name w:val="_Yo_4_Footnote_Separator"/>
    <w:qFormat/>
    <w:rPr>
      <w:color w:val="DA1E48"/>
      <w:sz w:val="22"/>
      <w:szCs w:val="22"/>
      <w:lang w:val="fr-BE"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sz w:val="16"/>
      <w:szCs w:val="16"/>
      <w:lang w:val="en-US" w:eastAsia="en-US"/>
    </w:rPr>
  </w:style>
  <w:style w:type="paragraph" w:customStyle="1" w:styleId="Yo5TextNotes">
    <w:name w:val="_Yo_5_Text_Notes"/>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6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pPr>
      <w:tabs>
        <w:tab w:val="center" w:pos="4536"/>
        <w:tab w:val="right" w:pos="9072"/>
      </w:tabs>
    </w:pPr>
  </w:style>
  <w:style w:type="character" w:customStyle="1" w:styleId="HeaderChar">
    <w:name w:val="Header Char"/>
    <w:link w:val="Header"/>
    <w:rPr>
      <w:sz w:val="22"/>
      <w:szCs w:val="22"/>
      <w:lang w:val="en-GB" w:eastAsia="en-US"/>
    </w:rPr>
  </w:style>
  <w:style w:type="character" w:customStyle="1" w:styleId="Heading4Char">
    <w:name w:val="Heading 4 Char"/>
    <w:link w:val="Heading4"/>
    <w:rPr>
      <w:rFonts w:ascii="Times New Roman" w:eastAsia="Times New Roman" w:hAnsi="Times New Roman"/>
      <w:bCs/>
      <w:sz w:val="24"/>
      <w:szCs w:val="28"/>
      <w:lang w:val="en-GB" w:eastAsia="x-none"/>
    </w:rPr>
  </w:style>
  <w:style w:type="character" w:customStyle="1" w:styleId="Heading5Char">
    <w:name w:val="Heading 5 Char"/>
    <w:link w:val="Heading5"/>
    <w:rPr>
      <w:rFonts w:ascii="Arial Narrow" w:hAnsi="Arial Narrow"/>
      <w:bCs/>
      <w:spacing w:val="8"/>
      <w:u w:val="single"/>
      <w:lang w:val="en-IE" w:eastAsia="x-none"/>
    </w:rPr>
  </w:style>
  <w:style w:type="character" w:customStyle="1" w:styleId="Heading6Char">
    <w:name w:val="Heading 6 Char"/>
    <w:link w:val="Heading6"/>
    <w:rPr>
      <w:rFonts w:ascii="Myriad Pro SemiExt" w:hAnsi="Myriad Pro SemiExt"/>
      <w:b/>
      <w:bCs/>
      <w:sz w:val="16"/>
      <w:lang w:val="fr-FR" w:eastAsia="x-none"/>
    </w:rPr>
  </w:style>
  <w:style w:type="character" w:customStyle="1" w:styleId="Heading7Char">
    <w:name w:val="Heading 7 Char"/>
    <w:link w:val="Heading7"/>
    <w:rPr>
      <w:rFonts w:ascii="Myriad Pro Light" w:hAnsi="Myriad Pro Light"/>
      <w:b/>
      <w:bCs/>
      <w:sz w:val="16"/>
      <w:lang w:val="x-none" w:eastAsia="x-none"/>
    </w:rPr>
  </w:style>
  <w:style w:type="character" w:customStyle="1" w:styleId="Heading8Char">
    <w:name w:val="Heading 8 Char"/>
    <w:link w:val="Heading8"/>
    <w:rPr>
      <w:rFonts w:ascii="Helvetica" w:hAnsi="Helvetica"/>
      <w:i/>
      <w:sz w:val="21"/>
      <w:lang w:val="fr-FR" w:eastAsia="x-none"/>
    </w:rPr>
  </w:style>
  <w:style w:type="character" w:customStyle="1" w:styleId="Heading9Char">
    <w:name w:val="Heading 9 Char"/>
    <w:link w:val="Heading9"/>
    <w:rPr>
      <w:rFonts w:ascii="Myriad Pro Light" w:hAnsi="Myriad Pro Light"/>
      <w:b/>
      <w:bCs/>
      <w:i/>
      <w:iCs/>
      <w:sz w:val="26"/>
      <w:lang w:val="en-GB" w:eastAsia="en-GB"/>
    </w:rPr>
  </w:style>
  <w:style w:type="paragraph" w:styleId="FootnoteText">
    <w:name w:val="footnote text"/>
    <w:basedOn w:val="Normal"/>
    <w:link w:val="FootnoteTextChar"/>
    <w:pPr>
      <w:spacing w:before="40" w:after="0" w:line="240" w:lineRule="auto"/>
      <w:ind w:left="720" w:hanging="720"/>
      <w:jc w:val="both"/>
    </w:pPr>
    <w:rPr>
      <w:rFonts w:ascii="Times New Roman" w:eastAsia="Times New Roman" w:hAnsi="Times New Roman"/>
      <w:sz w:val="20"/>
      <w:szCs w:val="20"/>
      <w:lang w:val="x-none" w:eastAsia="x-none"/>
    </w:rPr>
  </w:style>
  <w:style w:type="character" w:customStyle="1" w:styleId="FootnoteTextChar">
    <w:name w:val="Footnote Text Char"/>
    <w:link w:val="FootnoteText"/>
    <w:rPr>
      <w:rFonts w:ascii="Times New Roman" w:eastAsia="Times New Roman" w:hAnsi="Times New Roman"/>
      <w:lang w:val="x-none" w:eastAsia="x-none"/>
    </w:rPr>
  </w:style>
  <w:style w:type="character" w:styleId="FootnoteReference">
    <w:name w:val="footnote reference"/>
    <w:semiHidden/>
    <w:rPr>
      <w:shd w:val="clear" w:color="auto" w:fill="auto"/>
      <w:vertAlign w:val="superscript"/>
    </w:rPr>
  </w:style>
  <w:style w:type="character" w:styleId="Hyperlink">
    <w:name w:val="Hyperlink"/>
    <w:uiPriority w:val="99"/>
    <w:rPr>
      <w:rFonts w:cs="Times New Roman"/>
      <w:color w:val="0000FF"/>
      <w:u w:val="single"/>
      <w:shd w:val="clear" w:color="auto" w:fill="auto"/>
    </w:rPr>
  </w:style>
  <w:style w:type="character" w:styleId="Strong">
    <w:name w:val="Strong"/>
    <w:qFormat/>
    <w:rPr>
      <w:rFonts w:cs="Times New Roman"/>
      <w:b/>
      <w:bCs/>
    </w:rPr>
  </w:style>
  <w:style w:type="paragraph" w:customStyle="1" w:styleId="textepar">
    <w:name w:val="texte+par"/>
    <w:link w:val="texteparChar"/>
    <w:pPr>
      <w:spacing w:before="160" w:line="300" w:lineRule="auto"/>
      <w:jc w:val="both"/>
    </w:pPr>
    <w:rPr>
      <w:rFonts w:ascii="Verdana" w:eastAsia="Times New Roman" w:hAnsi="Verdana"/>
      <w:color w:val="632423"/>
      <w:sz w:val="22"/>
      <w:szCs w:val="22"/>
      <w:lang w:eastAsia="en-US"/>
    </w:rPr>
  </w:style>
  <w:style w:type="character" w:customStyle="1" w:styleId="texteparChar">
    <w:name w:val="texte+par Char"/>
    <w:link w:val="textepar"/>
    <w:rPr>
      <w:rFonts w:ascii="Verdana" w:eastAsia="Times New Roman" w:hAnsi="Verdana"/>
      <w:color w:val="632423"/>
      <w:sz w:val="22"/>
      <w:szCs w:val="22"/>
      <w:lang w:val="en-GB" w:eastAsia="en-US" w:bidi="ar-SA"/>
    </w:rPr>
  </w:style>
  <w:style w:type="paragraph" w:styleId="Caption">
    <w:name w:val="caption"/>
    <w:basedOn w:val="Normal"/>
    <w:next w:val="Normal"/>
    <w:link w:val="CaptionChar"/>
    <w:autoRedefine/>
    <w:uiPriority w:val="99"/>
    <w:qFormat/>
    <w:pPr>
      <w:keepNext/>
      <w:spacing w:before="40" w:after="0" w:line="240" w:lineRule="auto"/>
      <w:jc w:val="both"/>
    </w:pPr>
    <w:rPr>
      <w:rFonts w:ascii="Arial" w:hAnsi="Arial"/>
      <w:b/>
      <w:bCs/>
      <w:noProof/>
      <w:color w:val="FF0000"/>
      <w:sz w:val="18"/>
      <w:szCs w:val="20"/>
      <w:lang w:val="en-US" w:eastAsia="x-none"/>
    </w:rPr>
  </w:style>
  <w:style w:type="character" w:customStyle="1" w:styleId="CaptionChar">
    <w:name w:val="Caption Char"/>
    <w:link w:val="Caption"/>
    <w:uiPriority w:val="99"/>
    <w:locked/>
    <w:rPr>
      <w:rFonts w:ascii="Arial" w:hAnsi="Arial" w:cs="Arial"/>
      <w:b/>
      <w:bCs/>
      <w:noProof/>
      <w:color w:val="FF0000"/>
      <w:sz w:val="18"/>
      <w:lang w:val="en-US" w:eastAsia="x-none"/>
    </w:rPr>
  </w:style>
  <w:style w:type="paragraph" w:customStyle="1" w:styleId="texte8">
    <w:name w:val="texte8"/>
    <w:link w:val="texte8Char"/>
    <w:pPr>
      <w:widowControl w:val="0"/>
    </w:pPr>
    <w:rPr>
      <w:rFonts w:ascii="Arial" w:hAnsi="Arial"/>
      <w:color w:val="632423"/>
      <w:sz w:val="16"/>
      <w:szCs w:val="16"/>
      <w:lang w:val="fr-FR"/>
    </w:rPr>
  </w:style>
  <w:style w:type="character" w:customStyle="1" w:styleId="texte8Char">
    <w:name w:val="texte8 Char"/>
    <w:link w:val="texte8"/>
    <w:locked/>
    <w:rPr>
      <w:rFonts w:ascii="Arial" w:hAnsi="Arial"/>
      <w:color w:val="632423"/>
      <w:sz w:val="16"/>
      <w:szCs w:val="16"/>
      <w:lang w:val="fr-FR" w:eastAsia="en-GB" w:bidi="ar-SA"/>
    </w:rPr>
  </w:style>
  <w:style w:type="paragraph" w:customStyle="1" w:styleId="Source">
    <w:name w:val="Source"/>
    <w:basedOn w:val="Normal"/>
    <w:next w:val="Normal"/>
    <w:qFormat/>
    <w:pPr>
      <w:widowControl w:val="0"/>
      <w:spacing w:before="40" w:after="120" w:line="240" w:lineRule="auto"/>
      <w:contextualSpacing/>
      <w:jc w:val="both"/>
    </w:pPr>
    <w:rPr>
      <w:rFonts w:ascii="Arial" w:eastAsia="Times New Roman" w:hAnsi="Arial"/>
      <w:snapToGrid w:val="0"/>
      <w:sz w:val="16"/>
      <w:szCs w:val="16"/>
    </w:rPr>
  </w:style>
  <w:style w:type="paragraph" w:customStyle="1" w:styleId="texte83av3ap">
    <w:name w:val="texte8_3av_3ap"/>
    <w:basedOn w:val="Normal"/>
    <w:pPr>
      <w:widowControl w:val="0"/>
      <w:spacing w:before="60" w:after="60" w:line="240" w:lineRule="auto"/>
      <w:jc w:val="both"/>
    </w:pPr>
    <w:rPr>
      <w:rFonts w:ascii="Arial" w:eastAsia="Times New Roman" w:hAnsi="Arial" w:cs="Arial"/>
      <w:color w:val="632423"/>
      <w:sz w:val="16"/>
      <w:szCs w:val="16"/>
    </w:rPr>
  </w:style>
  <w:style w:type="paragraph" w:customStyle="1" w:styleId="texte83av">
    <w:name w:val="texte8_3av"/>
    <w:basedOn w:val="Normal"/>
    <w:pPr>
      <w:widowControl w:val="0"/>
      <w:spacing w:before="60" w:after="0" w:line="240" w:lineRule="auto"/>
      <w:jc w:val="both"/>
    </w:pPr>
    <w:rPr>
      <w:rFonts w:ascii="Arial" w:eastAsia="Times New Roman" w:hAnsi="Arial" w:cs="Arial"/>
      <w:sz w:val="16"/>
      <w:szCs w:val="16"/>
    </w:rPr>
  </w:style>
  <w:style w:type="character" w:customStyle="1" w:styleId="Heading1Char1">
    <w:name w:val="Heading 1 Char1"/>
    <w:uiPriority w:val="99"/>
    <w:rPr>
      <w:rFonts w:ascii="Times New Roman" w:eastAsia="Times New Roman" w:hAnsi="Times New Roman" w:cs="Times New Roman"/>
      <w:b/>
      <w:bCs/>
      <w:smallCaps/>
      <w:sz w:val="24"/>
      <w:szCs w:val="32"/>
      <w:lang w:val="en-GB"/>
    </w:rPr>
  </w:style>
  <w:style w:type="character" w:customStyle="1" w:styleId="Heading2Char1">
    <w:name w:val="Heading 2 Char1"/>
    <w:uiPriority w:val="99"/>
    <w:rPr>
      <w:rFonts w:ascii="Times New Roman" w:eastAsia="Times New Roman" w:hAnsi="Times New Roman" w:cs="Times New Roman"/>
      <w:b/>
      <w:bCs/>
      <w:iCs/>
      <w:sz w:val="24"/>
      <w:szCs w:val="28"/>
      <w:lang w:val="en-GB"/>
    </w:rPr>
  </w:style>
  <w:style w:type="character" w:customStyle="1" w:styleId="Heading3Char1">
    <w:name w:val="Heading 3 Char1"/>
    <w:uiPriority w:val="99"/>
    <w:rPr>
      <w:rFonts w:ascii="Times New Roman" w:eastAsia="Times New Roman" w:hAnsi="Times New Roman" w:cs="Times New Roman"/>
      <w:bCs/>
      <w:i/>
      <w:sz w:val="24"/>
      <w:szCs w:val="26"/>
      <w:lang w:val="en-GB"/>
    </w:rPr>
  </w:style>
  <w:style w:type="character" w:customStyle="1" w:styleId="Heading4Char1">
    <w:name w:val="Heading 4 Char1"/>
    <w:uiPriority w:val="99"/>
    <w:rPr>
      <w:rFonts w:ascii="Times New Roman" w:eastAsia="Times New Roman" w:hAnsi="Times New Roman" w:cs="Times New Roman"/>
      <w:bCs/>
      <w:sz w:val="24"/>
      <w:szCs w:val="28"/>
      <w:lang w:val="en-GB"/>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sz w:val="24"/>
      <w:szCs w:val="24"/>
    </w:rPr>
  </w:style>
  <w:style w:type="character" w:customStyle="1" w:styleId="HeaderChar1">
    <w:name w:val="Header Char1"/>
    <w:rPr>
      <w:rFonts w:ascii="Times New Roman" w:eastAsia="Times New Roman" w:hAnsi="Times New Roman"/>
      <w:sz w:val="24"/>
      <w:szCs w:val="24"/>
      <w:lang w:eastAsia="x-none"/>
    </w:rPr>
  </w:style>
  <w:style w:type="character" w:customStyle="1" w:styleId="FooterChar1">
    <w:name w:val="Footer Char1"/>
    <w:uiPriority w:val="99"/>
    <w:rPr>
      <w:rFonts w:ascii="Times New Roman" w:eastAsia="Times New Roman" w:hAnsi="Times New Roman"/>
      <w:sz w:val="24"/>
      <w:szCs w:val="24"/>
      <w:lang w:eastAsia="x-none"/>
    </w:rPr>
  </w:style>
  <w:style w:type="character" w:customStyle="1" w:styleId="FootnoteTextChar1">
    <w:name w:val="Footnote Text Char1"/>
    <w:semiHidden/>
    <w:rPr>
      <w:rFonts w:ascii="Times New Roman" w:eastAsia="Times New Roman" w:hAnsi="Times New Roman" w:cs="Times New Roman"/>
      <w:sz w:val="20"/>
      <w:szCs w:val="20"/>
      <w:lang w:val="en-GB"/>
    </w:rPr>
  </w:style>
  <w:style w:type="paragraph" w:styleId="TOC1">
    <w:name w:val="toc 1"/>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2">
    <w:name w:val="toc 2"/>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3">
    <w:name w:val="toc 3"/>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4">
    <w:name w:val="toc 4"/>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5">
    <w:name w:val="toc 5"/>
    <w:basedOn w:val="Normal"/>
    <w:next w:val="Normal"/>
    <w:uiPriority w:val="39"/>
    <w:pPr>
      <w:tabs>
        <w:tab w:val="right" w:leader="dot" w:pos="9071"/>
      </w:tabs>
      <w:spacing w:before="300" w:after="120" w:line="240" w:lineRule="auto"/>
      <w:jc w:val="both"/>
    </w:pPr>
    <w:rPr>
      <w:rFonts w:ascii="Times New Roman" w:eastAsia="Times New Roman" w:hAnsi="Times New Roman"/>
      <w:sz w:val="24"/>
      <w:szCs w:val="24"/>
    </w:rPr>
  </w:style>
  <w:style w:type="paragraph" w:styleId="TOC6">
    <w:name w:val="toc 6"/>
    <w:basedOn w:val="Normal"/>
    <w:next w:val="Normal"/>
    <w:uiPriority w:val="39"/>
    <w:pPr>
      <w:tabs>
        <w:tab w:val="right" w:leader="dot" w:pos="9071"/>
      </w:tabs>
      <w:spacing w:before="240" w:after="120" w:line="240" w:lineRule="auto"/>
      <w:jc w:val="both"/>
    </w:pPr>
    <w:rPr>
      <w:rFonts w:ascii="Times New Roman" w:eastAsia="Times New Roman" w:hAnsi="Times New Roman"/>
      <w:sz w:val="24"/>
      <w:szCs w:val="24"/>
    </w:rPr>
  </w:style>
  <w:style w:type="paragraph" w:styleId="TOC7">
    <w:name w:val="toc 7"/>
    <w:basedOn w:val="Normal"/>
    <w:next w:val="Normal"/>
    <w:uiPriority w:val="39"/>
    <w:pPr>
      <w:tabs>
        <w:tab w:val="right" w:leader="dot" w:pos="9071"/>
      </w:tabs>
      <w:spacing w:before="180" w:after="120" w:line="240" w:lineRule="auto"/>
      <w:jc w:val="both"/>
    </w:pPr>
    <w:rPr>
      <w:rFonts w:ascii="Times New Roman" w:eastAsia="Times New Roman" w:hAnsi="Times New Roman"/>
      <w:sz w:val="24"/>
      <w:szCs w:val="24"/>
    </w:rPr>
  </w:style>
  <w:style w:type="paragraph" w:styleId="TOC8">
    <w:name w:val="toc 8"/>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customStyle="1" w:styleId="HeaderLandscape">
    <w:name w:val="HeaderLandscape"/>
    <w:basedOn w:val="Normal"/>
    <w:pPr>
      <w:tabs>
        <w:tab w:val="center" w:pos="7285"/>
        <w:tab w:val="right" w:pos="14003"/>
      </w:tabs>
      <w:spacing w:before="120" w:after="120" w:line="240" w:lineRule="auto"/>
      <w:jc w:val="both"/>
    </w:pPr>
    <w:rPr>
      <w:rFonts w:ascii="Times New Roman" w:eastAsia="Times New Roman" w:hAnsi="Times New Roman"/>
      <w:sz w:val="24"/>
      <w:szCs w:val="24"/>
    </w:rPr>
  </w:style>
  <w:style w:type="paragraph" w:customStyle="1" w:styleId="FooterLandscape">
    <w:name w:val="FooterLandscape"/>
    <w:basedOn w:val="Normal"/>
    <w:uiPriority w:val="99"/>
    <w:pPr>
      <w:tabs>
        <w:tab w:val="center" w:pos="7285"/>
        <w:tab w:val="center" w:pos="10913"/>
        <w:tab w:val="right" w:pos="15137"/>
      </w:tabs>
      <w:spacing w:before="360" w:after="0" w:line="240" w:lineRule="auto"/>
      <w:ind w:left="-567" w:right="-567"/>
      <w:jc w:val="both"/>
    </w:pPr>
    <w:rPr>
      <w:rFonts w:ascii="Times New Roman" w:eastAsia="Times New Roman" w:hAnsi="Times New Roman"/>
      <w:sz w:val="24"/>
      <w:szCs w:val="24"/>
    </w:rPr>
  </w:style>
  <w:style w:type="paragraph" w:customStyle="1" w:styleId="Text2">
    <w:name w:val="Text 2"/>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Text3">
    <w:name w:val="Text 3"/>
    <w:basedOn w:val="Normal"/>
    <w:uiPriority w:val="99"/>
    <w:pPr>
      <w:spacing w:before="120" w:after="120" w:line="240" w:lineRule="auto"/>
      <w:ind w:left="1984"/>
      <w:jc w:val="both"/>
    </w:pPr>
    <w:rPr>
      <w:rFonts w:ascii="Times New Roman" w:eastAsia="Times New Roman" w:hAnsi="Times New Roman"/>
      <w:sz w:val="24"/>
      <w:szCs w:val="24"/>
    </w:rPr>
  </w:style>
  <w:style w:type="paragraph" w:customStyle="1" w:styleId="Text4">
    <w:name w:val="Text 4"/>
    <w:basedOn w:val="Normal"/>
    <w:uiPriority w:val="99"/>
    <w:pPr>
      <w:spacing w:before="120" w:after="120" w:line="240" w:lineRule="auto"/>
      <w:ind w:left="2551"/>
      <w:jc w:val="both"/>
    </w:pPr>
    <w:rPr>
      <w:rFonts w:ascii="Times New Roman" w:eastAsia="Times New Roman" w:hAnsi="Times New Roman"/>
      <w:sz w:val="24"/>
      <w:szCs w:val="24"/>
    </w:rPr>
  </w:style>
  <w:style w:type="paragraph" w:customStyle="1" w:styleId="NormalCentered">
    <w:name w:val="Normal Centered"/>
    <w:basedOn w:val="Normal"/>
    <w:uiPriority w:val="99"/>
    <w:pPr>
      <w:spacing w:before="120" w:after="120" w:line="240" w:lineRule="auto"/>
      <w:jc w:val="center"/>
    </w:pPr>
    <w:rPr>
      <w:rFonts w:ascii="Times New Roman" w:eastAsia="Times New Roman" w:hAnsi="Times New Roman"/>
      <w:sz w:val="24"/>
      <w:szCs w:val="24"/>
    </w:rPr>
  </w:style>
  <w:style w:type="paragraph" w:customStyle="1" w:styleId="NormalLeft">
    <w:name w:val="Normal Left"/>
    <w:basedOn w:val="Normal"/>
    <w:uiPriority w:val="99"/>
    <w:pPr>
      <w:spacing w:before="120" w:after="120" w:line="240" w:lineRule="auto"/>
      <w:jc w:val="both"/>
    </w:pPr>
    <w:rPr>
      <w:rFonts w:ascii="Times New Roman" w:eastAsia="Times New Roman" w:hAnsi="Times New Roman"/>
      <w:sz w:val="24"/>
      <w:szCs w:val="24"/>
    </w:rPr>
  </w:style>
  <w:style w:type="paragraph" w:customStyle="1" w:styleId="NormalRight">
    <w:name w:val="Normal Right"/>
    <w:basedOn w:val="Normal"/>
    <w:uiPriority w:val="99"/>
    <w:pPr>
      <w:spacing w:before="120" w:after="120" w:line="240" w:lineRule="auto"/>
      <w:jc w:val="right"/>
    </w:pPr>
    <w:rPr>
      <w:rFonts w:ascii="Times New Roman" w:eastAsia="Times New Roman" w:hAnsi="Times New Roman"/>
      <w:sz w:val="24"/>
      <w:szCs w:val="24"/>
    </w:rPr>
  </w:style>
  <w:style w:type="paragraph" w:customStyle="1" w:styleId="QuotedText">
    <w:name w:val="Quoted Text"/>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Point0">
    <w:name w:val="Point 0"/>
    <w:basedOn w:val="Normal"/>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Point2">
    <w:name w:val="Point 2"/>
    <w:basedOn w:val="Normal"/>
    <w:uiPriority w:val="99"/>
    <w:pPr>
      <w:spacing w:before="120" w:after="120" w:line="240" w:lineRule="auto"/>
      <w:ind w:left="1984" w:hanging="567"/>
      <w:jc w:val="both"/>
    </w:pPr>
    <w:rPr>
      <w:rFonts w:ascii="Times New Roman" w:eastAsia="Times New Roman" w:hAnsi="Times New Roman"/>
      <w:sz w:val="24"/>
      <w:szCs w:val="24"/>
    </w:rPr>
  </w:style>
  <w:style w:type="paragraph" w:customStyle="1" w:styleId="Point3">
    <w:name w:val="Point 3"/>
    <w:basedOn w:val="Normal"/>
    <w:uiPriority w:val="99"/>
    <w:pPr>
      <w:spacing w:before="120" w:after="120" w:line="240" w:lineRule="auto"/>
      <w:ind w:left="2551" w:hanging="567"/>
      <w:jc w:val="both"/>
    </w:pPr>
    <w:rPr>
      <w:rFonts w:ascii="Times New Roman" w:eastAsia="Times New Roman" w:hAnsi="Times New Roman"/>
      <w:sz w:val="24"/>
      <w:szCs w:val="24"/>
    </w:rPr>
  </w:style>
  <w:style w:type="paragraph" w:customStyle="1" w:styleId="Point4">
    <w:name w:val="Point 4"/>
    <w:basedOn w:val="Normal"/>
    <w:uiPriority w:val="99"/>
    <w:pPr>
      <w:spacing w:before="120" w:after="120" w:line="240" w:lineRule="auto"/>
      <w:ind w:left="3118" w:hanging="567"/>
      <w:jc w:val="both"/>
    </w:pPr>
    <w:rPr>
      <w:rFonts w:ascii="Times New Roman" w:eastAsia="Times New Roman" w:hAnsi="Times New Roman"/>
      <w:sz w:val="24"/>
      <w:szCs w:val="24"/>
    </w:rPr>
  </w:style>
  <w:style w:type="paragraph" w:customStyle="1" w:styleId="Tiret0">
    <w:name w:val="Tiret 0"/>
    <w:basedOn w:val="Point0"/>
    <w:pPr>
      <w:numPr>
        <w:numId w:val="19"/>
      </w:numPr>
    </w:pPr>
  </w:style>
  <w:style w:type="paragraph" w:customStyle="1" w:styleId="Tiret1">
    <w:name w:val="Tiret 1"/>
    <w:basedOn w:val="Point1"/>
    <w:pPr>
      <w:numPr>
        <w:numId w:val="20"/>
      </w:numPr>
    </w:pPr>
  </w:style>
  <w:style w:type="paragraph" w:customStyle="1" w:styleId="Tiret2">
    <w:name w:val="Tiret 2"/>
    <w:basedOn w:val="Point2"/>
    <w:pPr>
      <w:numPr>
        <w:numId w:val="21"/>
      </w:numPr>
    </w:pPr>
  </w:style>
  <w:style w:type="paragraph" w:customStyle="1" w:styleId="Tiret3">
    <w:name w:val="Tiret 3"/>
    <w:basedOn w:val="Point3"/>
    <w:pPr>
      <w:numPr>
        <w:numId w:val="22"/>
      </w:numPr>
    </w:pPr>
  </w:style>
  <w:style w:type="paragraph" w:customStyle="1" w:styleId="Tiret4">
    <w:name w:val="Tiret 4"/>
    <w:basedOn w:val="Point4"/>
    <w:pPr>
      <w:numPr>
        <w:numId w:val="23"/>
      </w:numPr>
    </w:pPr>
  </w:style>
  <w:style w:type="paragraph" w:customStyle="1" w:styleId="PointDouble0">
    <w:name w:val="PointDouble 0"/>
    <w:basedOn w:val="Normal"/>
    <w:uiPriority w:val="99"/>
    <w:pPr>
      <w:tabs>
        <w:tab w:val="left" w:pos="850"/>
      </w:tabs>
      <w:spacing w:before="120" w:after="120" w:line="240" w:lineRule="auto"/>
      <w:ind w:left="1417" w:hanging="1417"/>
      <w:jc w:val="both"/>
    </w:pPr>
    <w:rPr>
      <w:rFonts w:ascii="Times New Roman" w:eastAsia="Times New Roman" w:hAnsi="Times New Roman"/>
      <w:sz w:val="24"/>
      <w:szCs w:val="24"/>
    </w:rPr>
  </w:style>
  <w:style w:type="paragraph" w:customStyle="1" w:styleId="PointDouble1">
    <w:name w:val="PointDouble 1"/>
    <w:basedOn w:val="Normal"/>
    <w:uiPriority w:val="99"/>
    <w:pPr>
      <w:tabs>
        <w:tab w:val="left" w:pos="1417"/>
      </w:tabs>
      <w:spacing w:before="120" w:after="120" w:line="240" w:lineRule="auto"/>
      <w:ind w:left="1984" w:hanging="1134"/>
      <w:jc w:val="both"/>
    </w:pPr>
    <w:rPr>
      <w:rFonts w:ascii="Times New Roman" w:eastAsia="Times New Roman" w:hAnsi="Times New Roman"/>
      <w:sz w:val="24"/>
      <w:szCs w:val="24"/>
    </w:rPr>
  </w:style>
  <w:style w:type="paragraph" w:customStyle="1" w:styleId="PointDouble2">
    <w:name w:val="PointDouble 2"/>
    <w:basedOn w:val="Normal"/>
    <w:uiPriority w:val="99"/>
    <w:pPr>
      <w:tabs>
        <w:tab w:val="left" w:pos="1984"/>
      </w:tabs>
      <w:spacing w:before="120" w:after="120" w:line="240" w:lineRule="auto"/>
      <w:ind w:left="2551" w:hanging="1134"/>
      <w:jc w:val="both"/>
    </w:pPr>
    <w:rPr>
      <w:rFonts w:ascii="Times New Roman" w:eastAsia="Times New Roman" w:hAnsi="Times New Roman"/>
      <w:sz w:val="24"/>
      <w:szCs w:val="24"/>
    </w:rPr>
  </w:style>
  <w:style w:type="paragraph" w:customStyle="1" w:styleId="PointDouble3">
    <w:name w:val="PointDouble 3"/>
    <w:basedOn w:val="Normal"/>
    <w:uiPriority w:val="99"/>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PointDouble4">
    <w:name w:val="PointDouble 4"/>
    <w:basedOn w:val="Normal"/>
    <w:uiPriority w:val="99"/>
    <w:pPr>
      <w:tabs>
        <w:tab w:val="left" w:pos="3118"/>
      </w:tabs>
      <w:spacing w:before="120" w:after="120" w:line="240" w:lineRule="auto"/>
      <w:ind w:left="3685" w:hanging="1134"/>
      <w:jc w:val="both"/>
    </w:pPr>
    <w:rPr>
      <w:rFonts w:ascii="Times New Roman" w:eastAsia="Times New Roman" w:hAnsi="Times New Roman"/>
      <w:sz w:val="24"/>
      <w:szCs w:val="24"/>
    </w:rPr>
  </w:style>
  <w:style w:type="paragraph" w:customStyle="1" w:styleId="PointTriple0">
    <w:name w:val="PointTriple 0"/>
    <w:basedOn w:val="Normal"/>
    <w:uiPriority w:val="99"/>
    <w:pPr>
      <w:tabs>
        <w:tab w:val="left" w:pos="850"/>
        <w:tab w:val="left" w:pos="1417"/>
      </w:tabs>
      <w:spacing w:before="120" w:after="120" w:line="240" w:lineRule="auto"/>
      <w:ind w:left="1984" w:hanging="1984"/>
      <w:jc w:val="both"/>
    </w:pPr>
    <w:rPr>
      <w:rFonts w:ascii="Times New Roman" w:eastAsia="Times New Roman" w:hAnsi="Times New Roman"/>
      <w:sz w:val="24"/>
      <w:szCs w:val="24"/>
    </w:rPr>
  </w:style>
  <w:style w:type="paragraph" w:customStyle="1" w:styleId="PointTriple1">
    <w:name w:val="PointTriple 1"/>
    <w:basedOn w:val="Normal"/>
    <w:uiPriority w:val="99"/>
    <w:pPr>
      <w:tabs>
        <w:tab w:val="left" w:pos="1417"/>
        <w:tab w:val="left" w:pos="1984"/>
      </w:tabs>
      <w:spacing w:before="120" w:after="120" w:line="240" w:lineRule="auto"/>
      <w:ind w:left="2551" w:hanging="1701"/>
      <w:jc w:val="both"/>
    </w:pPr>
    <w:rPr>
      <w:rFonts w:ascii="Times New Roman" w:eastAsia="Times New Roman" w:hAnsi="Times New Roman"/>
      <w:sz w:val="24"/>
      <w:szCs w:val="24"/>
    </w:rPr>
  </w:style>
  <w:style w:type="paragraph" w:customStyle="1" w:styleId="PointTriple2">
    <w:name w:val="PointTriple 2"/>
    <w:basedOn w:val="Normal"/>
    <w:uiPriority w:val="99"/>
    <w:pPr>
      <w:tabs>
        <w:tab w:val="left" w:pos="1984"/>
        <w:tab w:val="left" w:pos="2551"/>
      </w:tabs>
      <w:spacing w:before="120" w:after="120" w:line="240" w:lineRule="auto"/>
      <w:ind w:left="3118" w:hanging="1701"/>
      <w:jc w:val="both"/>
    </w:pPr>
    <w:rPr>
      <w:rFonts w:ascii="Times New Roman" w:eastAsia="Times New Roman" w:hAnsi="Times New Roman"/>
      <w:sz w:val="24"/>
      <w:szCs w:val="24"/>
    </w:rPr>
  </w:style>
  <w:style w:type="paragraph" w:customStyle="1" w:styleId="PointTriple3">
    <w:name w:val="PointTriple 3"/>
    <w:basedOn w:val="Normal"/>
    <w:uiPriority w:val="99"/>
    <w:pPr>
      <w:tabs>
        <w:tab w:val="left" w:pos="2551"/>
        <w:tab w:val="left" w:pos="3118"/>
      </w:tabs>
      <w:spacing w:before="120" w:after="120" w:line="240" w:lineRule="auto"/>
      <w:ind w:left="3685" w:hanging="1701"/>
      <w:jc w:val="both"/>
    </w:pPr>
    <w:rPr>
      <w:rFonts w:ascii="Times New Roman" w:eastAsia="Times New Roman" w:hAnsi="Times New Roman"/>
      <w:sz w:val="24"/>
      <w:szCs w:val="24"/>
    </w:rPr>
  </w:style>
  <w:style w:type="paragraph" w:customStyle="1" w:styleId="PointTriple4">
    <w:name w:val="PointTriple 4"/>
    <w:basedOn w:val="Normal"/>
    <w:uiPriority w:val="99"/>
    <w:pPr>
      <w:tabs>
        <w:tab w:val="left" w:pos="3118"/>
        <w:tab w:val="left" w:pos="3685"/>
      </w:tabs>
      <w:spacing w:before="120" w:after="120" w:line="240" w:lineRule="auto"/>
      <w:ind w:left="4252" w:hanging="1701"/>
      <w:jc w:val="both"/>
    </w:pPr>
    <w:rPr>
      <w:rFonts w:ascii="Times New Roman" w:eastAsia="Times New Roman" w:hAnsi="Times New Roman"/>
      <w:sz w:val="24"/>
      <w:szCs w:val="24"/>
    </w:rPr>
  </w:style>
  <w:style w:type="paragraph" w:customStyle="1" w:styleId="NumPar1">
    <w:name w:val="NumPar 1"/>
    <w:basedOn w:val="Normal"/>
    <w:next w:val="Text1"/>
    <w:pPr>
      <w:numPr>
        <w:numId w:val="24"/>
      </w:numPr>
      <w:spacing w:before="120" w:after="120" w:line="240" w:lineRule="auto"/>
      <w:jc w:val="both"/>
    </w:pPr>
    <w:rPr>
      <w:rFonts w:ascii="Times New Roman" w:eastAsia="Times New Roman" w:hAnsi="Times New Roman"/>
      <w:sz w:val="24"/>
      <w:szCs w:val="24"/>
    </w:rPr>
  </w:style>
  <w:style w:type="paragraph" w:customStyle="1" w:styleId="NumPar2">
    <w:name w:val="NumPar 2"/>
    <w:basedOn w:val="Normal"/>
    <w:next w:val="Text1"/>
    <w:pPr>
      <w:numPr>
        <w:ilvl w:val="1"/>
        <w:numId w:val="24"/>
      </w:numPr>
      <w:spacing w:before="120" w:after="120" w:line="240" w:lineRule="auto"/>
      <w:jc w:val="both"/>
    </w:pPr>
    <w:rPr>
      <w:rFonts w:ascii="Times New Roman" w:eastAsia="Times New Roman" w:hAnsi="Times New Roman"/>
      <w:sz w:val="24"/>
      <w:szCs w:val="24"/>
    </w:rPr>
  </w:style>
  <w:style w:type="paragraph" w:customStyle="1" w:styleId="NumPar3">
    <w:name w:val="NumPar 3"/>
    <w:basedOn w:val="Normal"/>
    <w:next w:val="Text1"/>
    <w:pPr>
      <w:numPr>
        <w:ilvl w:val="2"/>
        <w:numId w:val="24"/>
      </w:numPr>
      <w:spacing w:before="120" w:after="120" w:line="240" w:lineRule="auto"/>
      <w:jc w:val="both"/>
    </w:pPr>
    <w:rPr>
      <w:rFonts w:ascii="Times New Roman" w:eastAsia="Times New Roman" w:hAnsi="Times New Roman"/>
      <w:sz w:val="24"/>
      <w:szCs w:val="24"/>
    </w:rPr>
  </w:style>
  <w:style w:type="paragraph" w:customStyle="1" w:styleId="NumPar4">
    <w:name w:val="NumPar 4"/>
    <w:basedOn w:val="Normal"/>
    <w:next w:val="Text1"/>
    <w:pPr>
      <w:numPr>
        <w:ilvl w:val="3"/>
        <w:numId w:val="24"/>
      </w:numPr>
      <w:spacing w:before="120" w:after="120" w:line="240" w:lineRule="auto"/>
      <w:jc w:val="both"/>
    </w:pPr>
    <w:rPr>
      <w:rFonts w:ascii="Times New Roman" w:eastAsia="Times New Roman" w:hAnsi="Times New Roman"/>
      <w:sz w:val="24"/>
      <w:szCs w:val="24"/>
    </w:rPr>
  </w:style>
  <w:style w:type="paragraph" w:customStyle="1" w:styleId="ManualNumPar1">
    <w:name w:val="Manual NumPar 1"/>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2">
    <w:name w:val="Manual NumPar 2"/>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3">
    <w:name w:val="Manual NumPar 3"/>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4">
    <w:name w:val="Manual NumPar 4"/>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QuotedNumPar">
    <w:name w:val="Quoted NumPar"/>
    <w:basedOn w:val="Normal"/>
    <w:uiPriority w:val="99"/>
    <w:pPr>
      <w:spacing w:before="120" w:after="120" w:line="240" w:lineRule="auto"/>
      <w:ind w:left="1417" w:hanging="567"/>
      <w:jc w:val="both"/>
    </w:pPr>
    <w:rPr>
      <w:rFonts w:ascii="Times New Roman" w:eastAsia="Times New Roman" w:hAnsi="Times New Roman"/>
      <w:sz w:val="24"/>
      <w:szCs w:val="24"/>
    </w:rPr>
  </w:style>
  <w:style w:type="paragraph" w:customStyle="1" w:styleId="ManualHeading1">
    <w:name w:val="Manual Heading 1"/>
    <w:basedOn w:val="Normal"/>
    <w:next w:val="Text1"/>
    <w:uiPriority w:val="99"/>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paragraph" w:customStyle="1" w:styleId="ManualHeading2">
    <w:name w:val="Manual Heading 2"/>
    <w:basedOn w:val="Normal"/>
    <w:next w:val="Text1"/>
    <w:uiPriority w:val="99"/>
    <w:pPr>
      <w:keepNext/>
      <w:tabs>
        <w:tab w:val="left" w:pos="850"/>
      </w:tabs>
      <w:spacing w:before="120" w:after="120" w:line="240" w:lineRule="auto"/>
      <w:ind w:left="850" w:hanging="850"/>
      <w:jc w:val="both"/>
      <w:outlineLvl w:val="1"/>
    </w:pPr>
    <w:rPr>
      <w:rFonts w:ascii="Times New Roman" w:eastAsia="Times New Roman" w:hAnsi="Times New Roman"/>
      <w:b/>
      <w:sz w:val="24"/>
      <w:szCs w:val="24"/>
    </w:rPr>
  </w:style>
  <w:style w:type="paragraph" w:customStyle="1" w:styleId="ManualHeading3">
    <w:name w:val="Manual Heading 3"/>
    <w:basedOn w:val="Normal"/>
    <w:next w:val="Text1"/>
    <w:uiPriority w:val="99"/>
    <w:pPr>
      <w:keepNext/>
      <w:tabs>
        <w:tab w:val="left" w:pos="850"/>
      </w:tabs>
      <w:spacing w:before="120" w:after="120" w:line="240" w:lineRule="auto"/>
      <w:ind w:left="850" w:hanging="850"/>
      <w:jc w:val="both"/>
      <w:outlineLvl w:val="2"/>
    </w:pPr>
    <w:rPr>
      <w:rFonts w:ascii="Times New Roman" w:eastAsia="Times New Roman" w:hAnsi="Times New Roman"/>
      <w:i/>
      <w:sz w:val="24"/>
      <w:szCs w:val="24"/>
    </w:rPr>
  </w:style>
  <w:style w:type="paragraph" w:customStyle="1" w:styleId="ManualHeading4">
    <w:name w:val="Manual Heading 4"/>
    <w:basedOn w:val="Normal"/>
    <w:next w:val="Text1"/>
    <w:uiPriority w:val="99"/>
    <w:pPr>
      <w:keepNext/>
      <w:tabs>
        <w:tab w:val="left" w:pos="850"/>
      </w:tabs>
      <w:spacing w:before="120" w:after="120" w:line="240" w:lineRule="auto"/>
      <w:ind w:left="850" w:hanging="850"/>
      <w:jc w:val="both"/>
      <w:outlineLvl w:val="3"/>
    </w:pPr>
    <w:rPr>
      <w:rFonts w:ascii="Times New Roman" w:eastAsia="Times New Roman" w:hAnsi="Times New Roman"/>
      <w:sz w:val="24"/>
      <w:szCs w:val="24"/>
    </w:rPr>
  </w:style>
  <w:style w:type="paragraph" w:customStyle="1" w:styleId="ChapterTitle">
    <w:name w:val="ChapterTitle"/>
    <w:basedOn w:val="Normal"/>
    <w:next w:val="Normal"/>
    <w:uiPriority w:val="99"/>
    <w:pPr>
      <w:keepNext/>
      <w:spacing w:before="120" w:after="360" w:line="240" w:lineRule="auto"/>
      <w:jc w:val="center"/>
    </w:pPr>
    <w:rPr>
      <w:rFonts w:ascii="Times New Roman" w:eastAsia="Times New Roman" w:hAnsi="Times New Roman"/>
      <w:b/>
      <w:sz w:val="32"/>
      <w:szCs w:val="24"/>
    </w:rPr>
  </w:style>
  <w:style w:type="paragraph" w:customStyle="1" w:styleId="PartTitle">
    <w:name w:val="PartTitle"/>
    <w:basedOn w:val="Normal"/>
    <w:next w:val="ChapterTitle"/>
    <w:uiPriority w:val="99"/>
    <w:pPr>
      <w:keepNext/>
      <w:pageBreakBefore/>
      <w:spacing w:before="120" w:after="360" w:line="240" w:lineRule="auto"/>
      <w:jc w:val="center"/>
    </w:pPr>
    <w:rPr>
      <w:rFonts w:ascii="Times New Roman" w:eastAsia="Times New Roman" w:hAnsi="Times New Roman"/>
      <w:b/>
      <w:sz w:val="36"/>
      <w:szCs w:val="24"/>
    </w:rPr>
  </w:style>
  <w:style w:type="paragraph" w:customStyle="1" w:styleId="SectionTitle">
    <w:name w:val="SectionTitle"/>
    <w:basedOn w:val="Normal"/>
    <w:next w:val="Heading1"/>
    <w:uiPriority w:val="99"/>
    <w:pPr>
      <w:keepNext/>
      <w:spacing w:before="120" w:after="360" w:line="240" w:lineRule="auto"/>
      <w:jc w:val="center"/>
    </w:pPr>
    <w:rPr>
      <w:rFonts w:ascii="Times New Roman" w:eastAsia="Times New Roman" w:hAnsi="Times New Roman"/>
      <w:b/>
      <w:smallCaps/>
      <w:sz w:val="28"/>
      <w:szCs w:val="24"/>
    </w:rPr>
  </w:style>
  <w:style w:type="paragraph" w:customStyle="1" w:styleId="TableTitle">
    <w:name w:val="Table Title"/>
    <w:basedOn w:val="Normal"/>
    <w:next w:val="Normal"/>
    <w:uiPriority w:val="99"/>
    <w:pPr>
      <w:spacing w:before="120" w:after="120" w:line="240" w:lineRule="auto"/>
      <w:jc w:val="center"/>
    </w:pPr>
    <w:rPr>
      <w:rFonts w:ascii="Times New Roman" w:eastAsia="Times New Roman" w:hAnsi="Times New Roman"/>
      <w:b/>
      <w:sz w:val="24"/>
      <w:szCs w:val="24"/>
    </w:rPr>
  </w:style>
  <w:style w:type="character" w:customStyle="1" w:styleId="Marker">
    <w:name w:val="Marker"/>
    <w:uiPriority w:val="99"/>
    <w:rPr>
      <w:rFonts w:cs="Times New Roman"/>
      <w:color w:val="0000FF"/>
      <w:shd w:val="clear" w:color="auto" w:fill="auto"/>
    </w:rPr>
  </w:style>
  <w:style w:type="character" w:customStyle="1" w:styleId="Marker1">
    <w:name w:val="Marker1"/>
    <w:uiPriority w:val="99"/>
    <w:rPr>
      <w:rFonts w:cs="Times New Roman"/>
      <w:color w:val="008000"/>
      <w:shd w:val="clear" w:color="auto" w:fill="auto"/>
    </w:rPr>
  </w:style>
  <w:style w:type="character" w:customStyle="1" w:styleId="Marker2">
    <w:name w:val="Marker2"/>
    <w:uiPriority w:val="99"/>
    <w:rPr>
      <w:rFonts w:cs="Times New Roman"/>
      <w:color w:val="FF0000"/>
      <w:shd w:val="clear" w:color="auto" w:fill="auto"/>
    </w:rPr>
  </w:style>
  <w:style w:type="paragraph" w:customStyle="1" w:styleId="Titolosommario">
    <w:name w:val="Titolo sommario"/>
    <w:basedOn w:val="Normal"/>
    <w:next w:val="Normal"/>
    <w:link w:val="TitolosommarioCarattere"/>
    <w:uiPriority w:val="39"/>
    <w:qFormat/>
    <w:pPr>
      <w:spacing w:before="120" w:after="240" w:line="240" w:lineRule="auto"/>
      <w:jc w:val="center"/>
    </w:pPr>
    <w:rPr>
      <w:rFonts w:ascii="Times New Roman" w:eastAsia="Times New Roman" w:hAnsi="Times New Roman"/>
      <w:b/>
      <w:sz w:val="28"/>
      <w:szCs w:val="24"/>
      <w:lang w:val="x-none"/>
    </w:rPr>
  </w:style>
  <w:style w:type="paragraph" w:customStyle="1" w:styleId="Point0number">
    <w:name w:val="Point 0 (number)"/>
    <w:basedOn w:val="Normal"/>
    <w:pPr>
      <w:numPr>
        <w:numId w:val="25"/>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25"/>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25"/>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25"/>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25"/>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25"/>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25"/>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25"/>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25"/>
      </w:numPr>
      <w:spacing w:before="120" w:after="120" w:line="240" w:lineRule="auto"/>
      <w:jc w:val="both"/>
    </w:pPr>
    <w:rPr>
      <w:rFonts w:ascii="Times New Roman" w:eastAsia="Times New Roman" w:hAnsi="Times New Roman"/>
      <w:sz w:val="24"/>
      <w:szCs w:val="24"/>
    </w:rPr>
  </w:style>
  <w:style w:type="paragraph" w:customStyle="1" w:styleId="Bullet0">
    <w:name w:val="Bullet 0"/>
    <w:basedOn w:val="Normal"/>
    <w:pPr>
      <w:numPr>
        <w:numId w:val="26"/>
      </w:numPr>
      <w:spacing w:before="120" w:after="120" w:line="240" w:lineRule="auto"/>
      <w:jc w:val="both"/>
    </w:pPr>
    <w:rPr>
      <w:rFonts w:ascii="Times New Roman" w:eastAsia="Times New Roman" w:hAnsi="Times New Roman"/>
      <w:sz w:val="24"/>
      <w:szCs w:val="24"/>
    </w:rPr>
  </w:style>
  <w:style w:type="paragraph" w:customStyle="1" w:styleId="Bullet1">
    <w:name w:val="Bullet 1"/>
    <w:basedOn w:val="Normal"/>
    <w:pPr>
      <w:numPr>
        <w:numId w:val="27"/>
      </w:numPr>
      <w:spacing w:before="120" w:after="120" w:line="240" w:lineRule="auto"/>
      <w:jc w:val="both"/>
    </w:pPr>
    <w:rPr>
      <w:rFonts w:ascii="Times New Roman" w:eastAsia="Times New Roman" w:hAnsi="Times New Roman"/>
      <w:sz w:val="24"/>
      <w:szCs w:val="24"/>
    </w:rPr>
  </w:style>
  <w:style w:type="paragraph" w:customStyle="1" w:styleId="Bullet2">
    <w:name w:val="Bullet 2"/>
    <w:basedOn w:val="Normal"/>
    <w:pPr>
      <w:numPr>
        <w:numId w:val="28"/>
      </w:numPr>
      <w:spacing w:before="120" w:after="120" w:line="240" w:lineRule="auto"/>
      <w:jc w:val="both"/>
    </w:pPr>
    <w:rPr>
      <w:rFonts w:ascii="Times New Roman" w:eastAsia="Times New Roman" w:hAnsi="Times New Roman"/>
      <w:sz w:val="24"/>
      <w:szCs w:val="24"/>
    </w:rPr>
  </w:style>
  <w:style w:type="paragraph" w:customStyle="1" w:styleId="Bullet3">
    <w:name w:val="Bullet 3"/>
    <w:basedOn w:val="Normal"/>
    <w:pPr>
      <w:numPr>
        <w:numId w:val="29"/>
      </w:numPr>
      <w:spacing w:before="120" w:after="120" w:line="240" w:lineRule="auto"/>
      <w:jc w:val="both"/>
    </w:pPr>
    <w:rPr>
      <w:rFonts w:ascii="Times New Roman" w:eastAsia="Times New Roman" w:hAnsi="Times New Roman"/>
      <w:sz w:val="24"/>
      <w:szCs w:val="24"/>
    </w:rPr>
  </w:style>
  <w:style w:type="paragraph" w:customStyle="1" w:styleId="Bullet4">
    <w:name w:val="Bullet 4"/>
    <w:basedOn w:val="Normal"/>
    <w:pPr>
      <w:numPr>
        <w:numId w:val="30"/>
      </w:numPr>
      <w:spacing w:before="120" w:after="120" w:line="240" w:lineRule="auto"/>
      <w:jc w:val="both"/>
    </w:pPr>
    <w:rPr>
      <w:rFonts w:ascii="Times New Roman" w:eastAsia="Times New Roman" w:hAnsi="Times New Roman"/>
      <w:sz w:val="24"/>
      <w:szCs w:val="24"/>
    </w:rPr>
  </w:style>
  <w:style w:type="paragraph" w:customStyle="1" w:styleId="Annexetitreexpos">
    <w:name w:val="Annexe titre (exposé)"/>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
    <w:name w:val="Annex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fichefinancire">
    <w:name w:val="Annexe titre (fiche financiè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pplicationdirecte">
    <w:name w:val="Application directe"/>
    <w:basedOn w:val="Normal"/>
    <w:next w:val="Fait"/>
    <w:uiPriority w:val="99"/>
    <w:pPr>
      <w:spacing w:before="480" w:after="120" w:line="240" w:lineRule="auto"/>
      <w:jc w:val="both"/>
    </w:pPr>
    <w:rPr>
      <w:rFonts w:ascii="Times New Roman" w:eastAsia="Times New Roman" w:hAnsi="Times New Roman"/>
      <w:sz w:val="24"/>
      <w:szCs w:val="24"/>
    </w:rPr>
  </w:style>
  <w:style w:type="paragraph" w:customStyle="1" w:styleId="Fait">
    <w:name w:val="Fait à"/>
    <w:basedOn w:val="Normal"/>
    <w:next w:val="Institutionquisigne"/>
    <w:uiPriority w:val="99"/>
    <w:pPr>
      <w:keepNext/>
      <w:spacing w:before="120" w:after="0" w:line="240" w:lineRule="auto"/>
      <w:jc w:val="both"/>
    </w:pPr>
    <w:rPr>
      <w:rFonts w:ascii="Times New Roman" w:eastAsia="Times New Roman" w:hAnsi="Times New Roman"/>
      <w:sz w:val="24"/>
      <w:szCs w:val="24"/>
    </w:rPr>
  </w:style>
  <w:style w:type="paragraph" w:customStyle="1" w:styleId="Institutionquisigne">
    <w:name w:val="Institution qui signe"/>
    <w:basedOn w:val="Normal"/>
    <w:next w:val="Personnequisigne"/>
    <w:uiPriority w:val="99"/>
    <w:pPr>
      <w:keepNext/>
      <w:tabs>
        <w:tab w:val="left" w:pos="4252"/>
      </w:tabs>
      <w:spacing w:before="720" w:after="0" w:line="240" w:lineRule="auto"/>
      <w:jc w:val="both"/>
    </w:pPr>
    <w:rPr>
      <w:rFonts w:ascii="Times New Roman" w:eastAsia="Times New Roman" w:hAnsi="Times New Roman"/>
      <w:i/>
      <w:sz w:val="24"/>
      <w:szCs w:val="24"/>
    </w:rPr>
  </w:style>
  <w:style w:type="paragraph" w:customStyle="1" w:styleId="Personnequisigne">
    <w:name w:val="Personne qui signe"/>
    <w:basedOn w:val="Normal"/>
    <w:next w:val="Institutionquisigne"/>
    <w:uiPriority w:val="99"/>
    <w:pPr>
      <w:tabs>
        <w:tab w:val="left" w:pos="4252"/>
      </w:tabs>
      <w:spacing w:before="40" w:after="0" w:line="240" w:lineRule="auto"/>
      <w:jc w:val="both"/>
    </w:pPr>
    <w:rPr>
      <w:rFonts w:ascii="Times New Roman" w:eastAsia="Times New Roman" w:hAnsi="Times New Roman"/>
      <w:i/>
      <w:sz w:val="24"/>
      <w:szCs w:val="24"/>
    </w:rPr>
  </w:style>
  <w:style w:type="paragraph" w:customStyle="1" w:styleId="Avertissementtitre">
    <w:name w:val="Avertissement titre"/>
    <w:basedOn w:val="Normal"/>
    <w:next w:val="Normal"/>
    <w:uiPriority w:val="99"/>
    <w:pPr>
      <w:keepNext/>
      <w:spacing w:before="480" w:after="120" w:line="240" w:lineRule="auto"/>
      <w:jc w:val="both"/>
    </w:pPr>
    <w:rPr>
      <w:rFonts w:ascii="Times New Roman" w:eastAsia="Times New Roman" w:hAnsi="Times New Roman"/>
      <w:sz w:val="24"/>
      <w:szCs w:val="24"/>
      <w:u w:val="single"/>
    </w:rPr>
  </w:style>
  <w:style w:type="paragraph" w:customStyle="1" w:styleId="Confidence">
    <w:name w:val="Confidence"/>
    <w:basedOn w:val="Normal"/>
    <w:next w:val="Normal"/>
    <w:uiPriority w:val="99"/>
    <w:pPr>
      <w:spacing w:before="360" w:after="120" w:line="240" w:lineRule="auto"/>
      <w:jc w:val="center"/>
    </w:pPr>
    <w:rPr>
      <w:rFonts w:ascii="Times New Roman" w:eastAsia="Times New Roman" w:hAnsi="Times New Roman"/>
      <w:sz w:val="24"/>
      <w:szCs w:val="24"/>
    </w:rPr>
  </w:style>
  <w:style w:type="paragraph" w:customStyle="1" w:styleId="Confidentialit">
    <w:name w:val="Confidentialité"/>
    <w:basedOn w:val="Normal"/>
    <w:next w:val="TypedudocumentPagedecouverture"/>
    <w:uiPriority w:val="99"/>
    <w:pPr>
      <w:spacing w:before="240" w:after="240" w:line="240" w:lineRule="auto"/>
      <w:ind w:left="5103"/>
      <w:jc w:val="both"/>
    </w:pPr>
    <w:rPr>
      <w:rFonts w:ascii="Times New Roman" w:eastAsia="Times New Roman" w:hAnsi="Times New Roman"/>
      <w:i/>
      <w:sz w:val="32"/>
      <w:szCs w:val="24"/>
    </w:rPr>
  </w:style>
  <w:style w:type="paragraph" w:customStyle="1" w:styleId="TypedudocumentPagedecouverture">
    <w:name w:val="Type du document (Page de couverture)"/>
    <w:basedOn w:val="Typedudocument"/>
    <w:next w:val="TitreobjetPagedecouverture"/>
    <w:uiPriority w:val="99"/>
  </w:style>
  <w:style w:type="paragraph" w:customStyle="1" w:styleId="Typedudocument">
    <w:name w:val="Type du document"/>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Titreobjet">
    <w:name w:val="Titre objet"/>
    <w:basedOn w:val="Normal"/>
    <w:next w:val="Sous-titreobjet"/>
    <w:uiPriority w:val="99"/>
    <w:pPr>
      <w:spacing w:before="360" w:after="360" w:line="240" w:lineRule="auto"/>
      <w:jc w:val="center"/>
    </w:pPr>
    <w:rPr>
      <w:rFonts w:ascii="Times New Roman" w:eastAsia="Times New Roman" w:hAnsi="Times New Roman"/>
      <w:b/>
      <w:sz w:val="24"/>
      <w:szCs w:val="24"/>
    </w:rPr>
  </w:style>
  <w:style w:type="paragraph" w:customStyle="1" w:styleId="Sous-titreobjet">
    <w:name w:val="Sous-titre objet"/>
    <w:basedOn w:val="Normal"/>
    <w:uiPriority w:val="99"/>
    <w:pPr>
      <w:spacing w:before="40" w:after="0" w:line="240" w:lineRule="auto"/>
      <w:jc w:val="center"/>
    </w:pPr>
    <w:rPr>
      <w:rFonts w:ascii="Times New Roman" w:eastAsia="Times New Roman" w:hAnsi="Times New Roman"/>
      <w:b/>
      <w:sz w:val="24"/>
      <w:szCs w:val="24"/>
    </w:rPr>
  </w:style>
  <w:style w:type="paragraph" w:customStyle="1" w:styleId="TitreobjetPagedecouverture">
    <w:name w:val="Titre objet (Page de couverture)"/>
    <w:basedOn w:val="Titreobjet"/>
    <w:next w:val="Sous-titreobjetPagedecouverture"/>
    <w:uiPriority w:val="99"/>
  </w:style>
  <w:style w:type="paragraph" w:customStyle="1" w:styleId="Sous-titreobjetPagedecouverture">
    <w:name w:val="Sous-titre objet (Page de couverture)"/>
    <w:basedOn w:val="Sous-titreobjet"/>
    <w:uiPriority w:val="99"/>
  </w:style>
  <w:style w:type="paragraph" w:customStyle="1" w:styleId="Considrant">
    <w:name w:val="Considérant"/>
    <w:basedOn w:val="Normal"/>
    <w:pPr>
      <w:numPr>
        <w:numId w:val="31"/>
      </w:numPr>
      <w:spacing w:before="120" w:after="120" w:line="240" w:lineRule="auto"/>
      <w:jc w:val="both"/>
    </w:pPr>
    <w:rPr>
      <w:rFonts w:ascii="Times New Roman" w:eastAsia="Times New Roman" w:hAnsi="Times New Roman"/>
      <w:sz w:val="24"/>
      <w:szCs w:val="24"/>
    </w:rPr>
  </w:style>
  <w:style w:type="paragraph" w:customStyle="1" w:styleId="Corrigendum">
    <w:name w:val="Corrigendum"/>
    <w:basedOn w:val="Normal"/>
    <w:next w:val="Normal"/>
    <w:uiPriority w:val="99"/>
    <w:pPr>
      <w:spacing w:before="40" w:after="240" w:line="240" w:lineRule="auto"/>
      <w:jc w:val="both"/>
    </w:pPr>
    <w:rPr>
      <w:rFonts w:ascii="Times New Roman" w:eastAsia="Times New Roman" w:hAnsi="Times New Roman"/>
      <w:sz w:val="24"/>
      <w:szCs w:val="24"/>
    </w:rPr>
  </w:style>
  <w:style w:type="paragraph" w:customStyle="1" w:styleId="Datedadoption">
    <w:name w:val="Date d'adoption"/>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Emission">
    <w:name w:val="Emission"/>
    <w:basedOn w:val="Normal"/>
    <w:next w:val="Rfrence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stitutionnelle">
    <w:name w:val="Référence institutionnell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Exposdesmotifstitre">
    <w:name w:val="Exposé des motifs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Formuledadoption">
    <w:name w:val="Formule d'adoption"/>
    <w:basedOn w:val="Normal"/>
    <w:next w:val="Titrearticle"/>
    <w:uiPriority w:val="99"/>
    <w:pPr>
      <w:keepNext/>
      <w:spacing w:before="120" w:after="120" w:line="240" w:lineRule="auto"/>
      <w:jc w:val="both"/>
    </w:pPr>
    <w:rPr>
      <w:rFonts w:ascii="Times New Roman" w:eastAsia="Times New Roman" w:hAnsi="Times New Roman"/>
      <w:sz w:val="24"/>
      <w:szCs w:val="24"/>
    </w:rPr>
  </w:style>
  <w:style w:type="paragraph" w:customStyle="1" w:styleId="Titrearticle">
    <w:name w:val="Titre article"/>
    <w:basedOn w:val="Normal"/>
    <w:next w:val="Normal"/>
    <w:uiPriority w:val="99"/>
    <w:pPr>
      <w:keepNext/>
      <w:spacing w:before="360" w:after="120" w:line="240" w:lineRule="auto"/>
      <w:jc w:val="center"/>
    </w:pPr>
    <w:rPr>
      <w:rFonts w:ascii="Times New Roman" w:eastAsia="Times New Roman" w:hAnsi="Times New Roman"/>
      <w:i/>
      <w:sz w:val="24"/>
      <w:szCs w:val="24"/>
    </w:rPr>
  </w:style>
  <w:style w:type="paragraph" w:customStyle="1" w:styleId="Institutionquiagit">
    <w:name w:val="Institution qui agit"/>
    <w:basedOn w:val="Normal"/>
    <w:next w:val="Normal"/>
    <w:uiPriority w:val="99"/>
    <w:pPr>
      <w:keepNext/>
      <w:spacing w:before="600" w:after="120" w:line="240" w:lineRule="auto"/>
      <w:jc w:val="both"/>
    </w:pPr>
    <w:rPr>
      <w:rFonts w:ascii="Times New Roman" w:eastAsia="Times New Roman" w:hAnsi="Times New Roman"/>
      <w:sz w:val="24"/>
      <w:szCs w:val="24"/>
    </w:rPr>
  </w:style>
  <w:style w:type="paragraph" w:customStyle="1" w:styleId="Langue">
    <w:name w:val="Langue"/>
    <w:basedOn w:val="Normal"/>
    <w:next w:val="Rfrenceinterne"/>
    <w:pPr>
      <w:framePr w:wrap="around" w:vAnchor="page" w:hAnchor="text" w:xAlign="center" w:y="14741"/>
      <w:spacing w:before="40" w:after="600" w:line="240" w:lineRule="auto"/>
      <w:jc w:val="center"/>
    </w:pPr>
    <w:rPr>
      <w:rFonts w:ascii="Times New Roman" w:eastAsia="Times New Roman" w:hAnsi="Times New Roman"/>
      <w:b/>
      <w:caps/>
      <w:sz w:val="24"/>
      <w:szCs w:val="24"/>
    </w:rPr>
  </w:style>
  <w:style w:type="paragraph" w:customStyle="1" w:styleId="Rfrenceinterne">
    <w:name w:val="Référence interne"/>
    <w:basedOn w:val="Normal"/>
    <w:next w:val="Rfrenceinter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terinstitutionnelle">
    <w:name w:val="Référence interinstitutionnelle"/>
    <w:basedOn w:val="Normal"/>
    <w:next w:val="Statut"/>
    <w:uiPriority w:val="99"/>
    <w:pPr>
      <w:spacing w:before="40" w:after="0" w:line="240" w:lineRule="auto"/>
      <w:ind w:left="5103"/>
      <w:jc w:val="both"/>
    </w:pPr>
    <w:rPr>
      <w:rFonts w:ascii="Times New Roman" w:eastAsia="Times New Roman" w:hAnsi="Times New Roman"/>
      <w:sz w:val="24"/>
      <w:szCs w:val="24"/>
    </w:rPr>
  </w:style>
  <w:style w:type="paragraph" w:customStyle="1" w:styleId="Statut">
    <w:name w:val="Statut"/>
    <w:basedOn w:val="Normal"/>
    <w:next w:val="Typedudocument"/>
    <w:uiPriority w:val="99"/>
    <w:pPr>
      <w:spacing w:before="360" w:after="0" w:line="240" w:lineRule="auto"/>
      <w:jc w:val="center"/>
    </w:pPr>
    <w:rPr>
      <w:rFonts w:ascii="Times New Roman" w:eastAsia="Times New Roman" w:hAnsi="Times New Roman"/>
      <w:sz w:val="24"/>
      <w:szCs w:val="24"/>
    </w:rPr>
  </w:style>
  <w:style w:type="paragraph" w:customStyle="1" w:styleId="ManualConsidrant">
    <w:name w:val="Manual Considérant"/>
    <w:basedOn w:val="Normal"/>
    <w:uiPriority w:val="99"/>
    <w:pPr>
      <w:spacing w:before="120" w:after="120" w:line="240" w:lineRule="auto"/>
      <w:ind w:left="709" w:hanging="709"/>
      <w:jc w:val="both"/>
    </w:pPr>
    <w:rPr>
      <w:rFonts w:ascii="Times New Roman" w:eastAsia="Times New Roman" w:hAnsi="Times New Roman"/>
      <w:sz w:val="24"/>
      <w:szCs w:val="24"/>
    </w:rPr>
  </w:style>
  <w:style w:type="paragraph" w:customStyle="1" w:styleId="Nomdelinstitution">
    <w:name w:val="Nom de l'institution"/>
    <w:basedOn w:val="Normal"/>
    <w:next w:val="Emission"/>
    <w:uiPriority w:val="99"/>
    <w:pPr>
      <w:spacing w:before="40" w:after="0" w:line="240" w:lineRule="auto"/>
      <w:jc w:val="both"/>
    </w:pPr>
    <w:rPr>
      <w:rFonts w:ascii="Arial" w:eastAsia="Times New Roman" w:hAnsi="Arial" w:cs="Arial"/>
      <w:sz w:val="24"/>
      <w:szCs w:val="24"/>
    </w:rPr>
  </w:style>
  <w:style w:type="character" w:customStyle="1" w:styleId="Added">
    <w:name w:val="Added"/>
    <w:uiPriority w:val="99"/>
    <w:rPr>
      <w:rFonts w:cs="Times New Roman"/>
      <w:b/>
      <w:u w:val="single"/>
      <w:shd w:val="clear" w:color="auto" w:fill="auto"/>
    </w:rPr>
  </w:style>
  <w:style w:type="character" w:customStyle="1" w:styleId="Deleted">
    <w:name w:val="Deleted"/>
    <w:uiPriority w:val="99"/>
    <w:rPr>
      <w:rFonts w:cs="Times New Roman"/>
      <w:strike/>
      <w:shd w:val="clear" w:color="auto" w:fill="auto"/>
    </w:rPr>
  </w:style>
  <w:style w:type="paragraph" w:customStyle="1" w:styleId="Address">
    <w:name w:val="Address"/>
    <w:basedOn w:val="Normal"/>
    <w:next w:val="Normal"/>
    <w:uiPriority w:val="99"/>
    <w:pPr>
      <w:keepLines/>
      <w:spacing w:before="120" w:after="120" w:line="360" w:lineRule="auto"/>
      <w:ind w:left="3402"/>
      <w:jc w:val="both"/>
    </w:pPr>
    <w:rPr>
      <w:rFonts w:ascii="Times New Roman" w:eastAsia="Times New Roman" w:hAnsi="Times New Roman"/>
      <w:sz w:val="24"/>
      <w:szCs w:val="24"/>
    </w:rPr>
  </w:style>
  <w:style w:type="paragraph" w:customStyle="1" w:styleId="Objetexterne">
    <w:name w:val="Objet externe"/>
    <w:basedOn w:val="Normal"/>
    <w:next w:val="Normal"/>
    <w:uiPriority w:val="99"/>
    <w:pPr>
      <w:spacing w:before="120" w:after="120" w:line="240" w:lineRule="auto"/>
      <w:jc w:val="both"/>
    </w:pPr>
    <w:rPr>
      <w:rFonts w:ascii="Times New Roman" w:eastAsia="Times New Roman" w:hAnsi="Times New Roman"/>
      <w:i/>
      <w:caps/>
      <w:sz w:val="24"/>
      <w:szCs w:val="24"/>
    </w:rPr>
  </w:style>
  <w:style w:type="paragraph" w:customStyle="1" w:styleId="Pagedecouverture">
    <w:name w:val="Page de couverture"/>
    <w:basedOn w:val="Normal"/>
    <w:next w:val="Normal"/>
    <w:uiPriority w:val="99"/>
    <w:pPr>
      <w:spacing w:before="120" w:after="120" w:line="240" w:lineRule="auto"/>
      <w:jc w:val="both"/>
    </w:pPr>
    <w:rPr>
      <w:rFonts w:ascii="Times New Roman" w:eastAsia="Times New Roman" w:hAnsi="Times New Roman"/>
      <w:sz w:val="24"/>
      <w:szCs w:val="24"/>
    </w:rPr>
  </w:style>
  <w:style w:type="paragraph" w:customStyle="1" w:styleId="Supertitre">
    <w:name w:val="Supertitre"/>
    <w:basedOn w:val="Normal"/>
    <w:next w:val="Normal"/>
    <w:uiPriority w:val="99"/>
    <w:pPr>
      <w:spacing w:before="40" w:after="600" w:line="240" w:lineRule="auto"/>
      <w:jc w:val="center"/>
    </w:pPr>
    <w:rPr>
      <w:rFonts w:ascii="Times New Roman" w:eastAsia="Times New Roman" w:hAnsi="Times New Roman"/>
      <w:b/>
      <w:sz w:val="24"/>
      <w:szCs w:val="24"/>
    </w:rPr>
  </w:style>
  <w:style w:type="paragraph" w:customStyle="1" w:styleId="Languesfaisantfoi">
    <w:name w:val="Langues faisant foi"/>
    <w:basedOn w:val="Normal"/>
    <w:next w:val="Normal"/>
    <w:uiPriority w:val="99"/>
    <w:pPr>
      <w:spacing w:before="360" w:after="0" w:line="240" w:lineRule="auto"/>
      <w:jc w:val="center"/>
    </w:pPr>
    <w:rPr>
      <w:rFonts w:ascii="Times New Roman" w:eastAsia="Times New Roman" w:hAnsi="Times New Roman"/>
      <w:sz w:val="24"/>
      <w:szCs w:val="24"/>
    </w:rPr>
  </w:style>
  <w:style w:type="paragraph" w:customStyle="1" w:styleId="Rfrencecroise">
    <w:name w:val="Référence croisée"/>
    <w:basedOn w:val="Normal"/>
    <w:uiPriority w:val="99"/>
    <w:pPr>
      <w:spacing w:before="40" w:after="0" w:line="240" w:lineRule="auto"/>
      <w:jc w:val="center"/>
    </w:pPr>
    <w:rPr>
      <w:rFonts w:ascii="Times New Roman" w:eastAsia="Times New Roman" w:hAnsi="Times New Roman"/>
      <w:sz w:val="24"/>
      <w:szCs w:val="24"/>
    </w:rPr>
  </w:style>
  <w:style w:type="paragraph" w:customStyle="1" w:styleId="Fichefinanciretitre">
    <w:name w:val="Fiche financièr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DatedadoptionPagedecouverture">
    <w:name w:val="Date d'adoption (Page de couverture)"/>
    <w:basedOn w:val="Datedadoption"/>
    <w:next w:val="TitreobjetPagedecouverture"/>
    <w:uiPriority w:val="99"/>
  </w:style>
  <w:style w:type="paragraph" w:customStyle="1" w:styleId="RfrenceinterinstitutionnellePagedecouverture">
    <w:name w:val="Référence interinstitutionnelle (Page de couverture)"/>
    <w:basedOn w:val="Rfrenceinterinstitutionnelle"/>
    <w:next w:val="Confidentialit"/>
    <w:uiPriority w:val="99"/>
  </w:style>
  <w:style w:type="paragraph" w:customStyle="1" w:styleId="StatutPagedecouverture">
    <w:name w:val="Statut (Page de couverture)"/>
    <w:basedOn w:val="Statut"/>
    <w:next w:val="TypedudocumentPagedecouverture"/>
    <w:uiPriority w:val="99"/>
  </w:style>
  <w:style w:type="paragraph" w:customStyle="1" w:styleId="Volume">
    <w:name w:val="Volum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IntrtEEE">
    <w:name w:val="Intérêt EEE"/>
    <w:basedOn w:val="Languesfaisantfoi"/>
    <w:next w:val="Normal"/>
    <w:uiPriority w:val="99"/>
    <w:pPr>
      <w:spacing w:after="240"/>
    </w:pPr>
  </w:style>
  <w:style w:type="paragraph" w:customStyle="1" w:styleId="Accompagnant">
    <w:name w:val="Accompagnant"/>
    <w:basedOn w:val="Normal"/>
    <w:next w:val="Typeacteprincipal"/>
    <w:uiPriority w:val="99"/>
    <w:pPr>
      <w:spacing w:before="40" w:after="240" w:line="240" w:lineRule="auto"/>
      <w:jc w:val="center"/>
    </w:pPr>
    <w:rPr>
      <w:rFonts w:ascii="Times New Roman" w:eastAsia="Times New Roman" w:hAnsi="Times New Roman"/>
      <w:b/>
      <w:i/>
      <w:sz w:val="24"/>
      <w:szCs w:val="24"/>
    </w:rPr>
  </w:style>
  <w:style w:type="paragraph" w:customStyle="1" w:styleId="Typeacteprincipal">
    <w:name w:val="Type acte principal"/>
    <w:basedOn w:val="Normal"/>
    <w:next w:val="Objetacteprincipal"/>
    <w:uiPriority w:val="99"/>
    <w:pPr>
      <w:spacing w:before="40" w:after="240" w:line="240" w:lineRule="auto"/>
      <w:jc w:val="center"/>
    </w:pPr>
    <w:rPr>
      <w:rFonts w:ascii="Times New Roman" w:eastAsia="Times New Roman" w:hAnsi="Times New Roman"/>
      <w:b/>
      <w:sz w:val="24"/>
      <w:szCs w:val="24"/>
    </w:rPr>
  </w:style>
  <w:style w:type="paragraph" w:customStyle="1" w:styleId="Objetacteprincipal">
    <w:name w:val="Objet acte principal"/>
    <w:basedOn w:val="Normal"/>
    <w:next w:val="Titrearticle"/>
    <w:uiPriority w:val="99"/>
    <w:pPr>
      <w:spacing w:before="40" w:after="360" w:line="240" w:lineRule="auto"/>
      <w:jc w:val="center"/>
    </w:pPr>
    <w:rPr>
      <w:rFonts w:ascii="Times New Roman" w:eastAsia="Times New Roman" w:hAnsi="Times New Roman"/>
      <w:b/>
      <w:sz w:val="24"/>
      <w:szCs w:val="24"/>
    </w:rPr>
  </w:style>
  <w:style w:type="paragraph" w:customStyle="1" w:styleId="IntrtEEEPagedecouverture">
    <w:name w:val="Intérêt EEE (Page de couverture)"/>
    <w:basedOn w:val="IntrtEEE"/>
    <w:next w:val="Rfrencecroise"/>
    <w:uiPriority w:val="99"/>
  </w:style>
  <w:style w:type="paragraph" w:customStyle="1" w:styleId="AccompagnantPagedecouverture">
    <w:name w:val="Accompagnant (Page de couverture)"/>
    <w:basedOn w:val="Accompagnant"/>
    <w:next w:val="TypeacteprincipalPagedecouverture"/>
    <w:uiPriority w:val="99"/>
  </w:style>
  <w:style w:type="paragraph" w:customStyle="1" w:styleId="TypeacteprincipalPagedecouverture">
    <w:name w:val="Type acte principal (Page de couverture)"/>
    <w:basedOn w:val="Typeacteprincipal"/>
    <w:next w:val="ObjetacteprincipalPagedecouverture"/>
    <w:uiPriority w:val="99"/>
  </w:style>
  <w:style w:type="paragraph" w:customStyle="1" w:styleId="ObjetacteprincipalPagedecouverture">
    <w:name w:val="Objet acte principal (Page de couverture)"/>
    <w:basedOn w:val="Objetacteprincipal"/>
    <w:next w:val="Rfrencecroise"/>
    <w:uiPriority w:val="99"/>
  </w:style>
  <w:style w:type="paragraph" w:customStyle="1" w:styleId="LanguesfaisantfoiPagedecouverture">
    <w:name w:val="Langues faisant foi (Page de couverture)"/>
    <w:basedOn w:val="Normal"/>
    <w:next w:val="Normal"/>
    <w:uiPriority w:val="99"/>
    <w:pPr>
      <w:spacing w:before="360" w:after="0" w:line="240" w:lineRule="auto"/>
      <w:jc w:val="center"/>
    </w:pPr>
    <w:rPr>
      <w:rFonts w:ascii="Times New Roman" w:eastAsia="Times New Roman" w:hAnsi="Times New Roman"/>
      <w:sz w:val="24"/>
      <w:szCs w:val="24"/>
    </w:rPr>
  </w:style>
  <w:style w:type="paragraph" w:styleId="ListBullet">
    <w:name w:val="List Bullet"/>
    <w:basedOn w:val="Normal"/>
    <w:uiPriority w:val="99"/>
    <w:pPr>
      <w:numPr>
        <w:numId w:val="13"/>
      </w:numPr>
      <w:tabs>
        <w:tab w:val="clear" w:pos="643"/>
        <w:tab w:val="num" w:pos="926"/>
        <w:tab w:val="num" w:pos="1984"/>
      </w:tabs>
      <w:spacing w:before="120" w:after="120" w:line="240" w:lineRule="auto"/>
      <w:ind w:left="360"/>
      <w:jc w:val="both"/>
    </w:pPr>
    <w:rPr>
      <w:rFonts w:ascii="Times New Roman" w:eastAsia="Times New Roman" w:hAnsi="Times New Roman"/>
      <w:sz w:val="24"/>
      <w:szCs w:val="24"/>
    </w:rPr>
  </w:style>
  <w:style w:type="paragraph" w:styleId="ListBullet2">
    <w:name w:val="List Bullet 2"/>
    <w:basedOn w:val="Normal"/>
    <w:uiPriority w:val="99"/>
    <w:pPr>
      <w:numPr>
        <w:numId w:val="14"/>
      </w:numPr>
      <w:tabs>
        <w:tab w:val="clear" w:pos="926"/>
        <w:tab w:val="num" w:pos="643"/>
        <w:tab w:val="num" w:pos="1209"/>
        <w:tab w:val="num" w:pos="2551"/>
      </w:tabs>
      <w:spacing w:before="120" w:after="120" w:line="240" w:lineRule="auto"/>
      <w:ind w:left="643"/>
      <w:jc w:val="both"/>
    </w:pPr>
    <w:rPr>
      <w:rFonts w:ascii="Times New Roman" w:eastAsia="Times New Roman" w:hAnsi="Times New Roman"/>
      <w:sz w:val="24"/>
      <w:szCs w:val="24"/>
    </w:rPr>
  </w:style>
  <w:style w:type="paragraph" w:styleId="ListBullet3">
    <w:name w:val="List Bullet 3"/>
    <w:basedOn w:val="Normal"/>
    <w:uiPriority w:val="99"/>
    <w:pPr>
      <w:numPr>
        <w:numId w:val="8"/>
      </w:numPr>
      <w:tabs>
        <w:tab w:val="clear" w:pos="360"/>
        <w:tab w:val="num" w:pos="926"/>
        <w:tab w:val="num" w:pos="3118"/>
      </w:tabs>
      <w:spacing w:before="120" w:after="120" w:line="240" w:lineRule="auto"/>
      <w:ind w:left="926"/>
      <w:jc w:val="both"/>
    </w:pPr>
    <w:rPr>
      <w:rFonts w:ascii="Times New Roman" w:eastAsia="Times New Roman" w:hAnsi="Times New Roman"/>
      <w:sz w:val="24"/>
      <w:szCs w:val="24"/>
    </w:rPr>
  </w:style>
  <w:style w:type="paragraph" w:styleId="ListBullet4">
    <w:name w:val="List Bullet 4"/>
    <w:basedOn w:val="Normal"/>
    <w:uiPriority w:val="99"/>
    <w:pPr>
      <w:numPr>
        <w:numId w:val="9"/>
      </w:numPr>
      <w:tabs>
        <w:tab w:val="num" w:pos="709"/>
        <w:tab w:val="num" w:pos="1209"/>
      </w:tabs>
      <w:spacing w:before="120" w:after="120" w:line="240" w:lineRule="auto"/>
      <w:ind w:left="1209"/>
      <w:jc w:val="both"/>
    </w:pPr>
    <w:rPr>
      <w:rFonts w:ascii="Times New Roman" w:eastAsia="Times New Roman" w:hAnsi="Times New Roman"/>
      <w:sz w:val="24"/>
      <w:szCs w:val="24"/>
    </w:rPr>
  </w:style>
  <w:style w:type="character" w:styleId="Emphasis">
    <w:name w:val="Emphasis"/>
    <w:uiPriority w:val="20"/>
    <w:qFormat/>
    <w:rPr>
      <w:rFonts w:cs="Times New Roman"/>
      <w:i/>
    </w:rPr>
  </w:style>
  <w:style w:type="paragraph" w:styleId="NormalWeb">
    <w:name w:val="Normal (Web)"/>
    <w:basedOn w:val="Normal"/>
    <w:uiPriority w:val="99"/>
    <w:pPr>
      <w:spacing w:before="100" w:beforeAutospacing="1" w:after="115" w:line="240" w:lineRule="auto"/>
      <w:jc w:val="both"/>
    </w:pPr>
    <w:rPr>
      <w:rFonts w:ascii="Times" w:eastAsia="Times New Roman" w:hAnsi="Times"/>
      <w:sz w:val="20"/>
      <w:szCs w:val="20"/>
      <w:lang w:val="en-US"/>
    </w:rPr>
  </w:style>
  <w:style w:type="paragraph" w:styleId="PlainText">
    <w:name w:val="Plain Text"/>
    <w:basedOn w:val="Normal"/>
    <w:link w:val="PlainTextChar1"/>
    <w:uiPriority w:val="99"/>
    <w:pPr>
      <w:widowControl w:val="0"/>
      <w:suppressAutoHyphens/>
      <w:spacing w:before="40" w:after="0" w:line="240" w:lineRule="auto"/>
      <w:jc w:val="both"/>
    </w:pPr>
    <w:rPr>
      <w:rFonts w:ascii="Arial" w:eastAsia="Arial Unicode MS" w:hAnsi="Arial" w:cs="Arial Unicode MS"/>
      <w:kern w:val="1"/>
      <w:sz w:val="24"/>
      <w:szCs w:val="24"/>
      <w:lang w:eastAsia="hi-IN" w:bidi="hi-IN"/>
    </w:rPr>
  </w:style>
  <w:style w:type="character" w:customStyle="1" w:styleId="PlainTextChar">
    <w:name w:val="Plain Text Char"/>
    <w:rPr>
      <w:rFonts w:ascii="Courier New" w:hAnsi="Courier New" w:cs="Courier New"/>
      <w:lang w:val="en-GB" w:eastAsia="en-US"/>
    </w:rPr>
  </w:style>
  <w:style w:type="character" w:customStyle="1" w:styleId="PlainTextChar1">
    <w:name w:val="Plain Text Char1"/>
    <w:link w:val="PlainText"/>
    <w:uiPriority w:val="99"/>
    <w:rPr>
      <w:rFonts w:ascii="Arial" w:eastAsia="Arial Unicode MS" w:hAnsi="Arial" w:cs="Arial Unicode MS"/>
      <w:kern w:val="1"/>
      <w:sz w:val="24"/>
      <w:szCs w:val="24"/>
      <w:lang w:val="en-GB" w:eastAsia="hi-IN" w:bidi="hi-IN"/>
    </w:rPr>
  </w:style>
  <w:style w:type="paragraph" w:styleId="BodyText">
    <w:name w:val="Body Text"/>
    <w:basedOn w:val="Normal"/>
    <w:link w:val="BodyTextChar1"/>
    <w:uiPriority w:val="99"/>
    <w:pPr>
      <w:widowControl w:val="0"/>
      <w:suppressAutoHyphens/>
      <w:spacing w:before="40" w:after="120" w:line="240" w:lineRule="auto"/>
      <w:jc w:val="both"/>
    </w:pPr>
    <w:rPr>
      <w:rFonts w:ascii="Arial" w:eastAsia="Arial Unicode MS" w:hAnsi="Arial" w:cs="Arial Unicode MS"/>
      <w:kern w:val="1"/>
      <w:sz w:val="24"/>
      <w:szCs w:val="24"/>
      <w:lang w:eastAsia="hi-IN" w:bidi="hi-IN"/>
    </w:rPr>
  </w:style>
  <w:style w:type="character" w:customStyle="1" w:styleId="BodyTextChar">
    <w:name w:val="Body Text Char"/>
    <w:rPr>
      <w:sz w:val="22"/>
      <w:szCs w:val="22"/>
      <w:lang w:val="en-GB" w:eastAsia="en-US"/>
    </w:rPr>
  </w:style>
  <w:style w:type="character" w:customStyle="1" w:styleId="BodyTextChar1">
    <w:name w:val="Body Text Char1"/>
    <w:link w:val="BodyText"/>
    <w:uiPriority w:val="99"/>
    <w:rPr>
      <w:rFonts w:ascii="Arial" w:eastAsia="Arial Unicode MS" w:hAnsi="Arial" w:cs="Arial Unicode MS"/>
      <w:kern w:val="1"/>
      <w:sz w:val="24"/>
      <w:szCs w:val="24"/>
      <w:lang w:val="en-GB" w:eastAsia="hi-IN" w:bidi="hi-IN"/>
    </w:rPr>
  </w:style>
  <w:style w:type="paragraph" w:styleId="ListNumber">
    <w:name w:val="List Number"/>
    <w:basedOn w:val="Normal"/>
    <w:uiPriority w:val="99"/>
    <w:pPr>
      <w:numPr>
        <w:numId w:val="15"/>
      </w:numPr>
      <w:spacing w:before="40"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uiPriority w:val="99"/>
    <w:pPr>
      <w:numPr>
        <w:ilvl w:val="1"/>
        <w:numId w:val="15"/>
      </w:numPr>
      <w:spacing w:before="40"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uiPriority w:val="99"/>
    <w:pPr>
      <w:numPr>
        <w:ilvl w:val="2"/>
        <w:numId w:val="15"/>
      </w:numPr>
      <w:spacing w:before="40"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uiPriority w:val="99"/>
    <w:pPr>
      <w:numPr>
        <w:ilvl w:val="3"/>
        <w:numId w:val="15"/>
      </w:numPr>
      <w:spacing w:before="40" w:after="240" w:line="240" w:lineRule="auto"/>
      <w:jc w:val="both"/>
    </w:pPr>
    <w:rPr>
      <w:rFonts w:ascii="Times New Roman" w:eastAsia="Times New Roman" w:hAnsi="Times New Roman"/>
      <w:sz w:val="24"/>
      <w:szCs w:val="20"/>
    </w:rPr>
  </w:style>
  <w:style w:type="character" w:customStyle="1" w:styleId="CommentTextChar1">
    <w:name w:val="Comment Text Char1"/>
    <w:rPr>
      <w:rFonts w:eastAsia="Times New Roman"/>
      <w:lang w:val="x-none" w:eastAsia="x-none"/>
    </w:rPr>
  </w:style>
  <w:style w:type="paragraph" w:customStyle="1" w:styleId="Not">
    <w:name w:val="Not"/>
    <w:basedOn w:val="FootnoteText"/>
    <w:uiPriority w:val="99"/>
    <w:pPr>
      <w:ind w:left="0" w:firstLine="0"/>
    </w:pPr>
  </w:style>
  <w:style w:type="character" w:customStyle="1" w:styleId="t23">
    <w:name w:val="t23"/>
    <w:uiPriority w:val="99"/>
    <w:rPr>
      <w:rFonts w:cs="Times New Roman"/>
      <w:shd w:val="clear" w:color="auto" w:fill="auto"/>
    </w:rPr>
  </w:style>
  <w:style w:type="character" w:customStyle="1" w:styleId="t25">
    <w:name w:val="t25"/>
    <w:uiPriority w:val="99"/>
    <w:rPr>
      <w:rFonts w:cs="Times New Roman"/>
      <w:shd w:val="clear" w:color="auto" w:fill="auto"/>
    </w:rPr>
  </w:style>
  <w:style w:type="character" w:customStyle="1" w:styleId="Caractresdenotedebasdepage">
    <w:name w:val="Caractères de note de bas de page"/>
    <w:uiPriority w:val="99"/>
    <w:rPr>
      <w:rFonts w:cs="Times New Roman"/>
      <w:shd w:val="clear" w:color="auto" w:fill="auto"/>
      <w:vertAlign w:val="superscript"/>
    </w:rPr>
  </w:style>
  <w:style w:type="character" w:customStyle="1" w:styleId="t9">
    <w:name w:val="t9"/>
    <w:uiPriority w:val="99"/>
    <w:rPr>
      <w:rFonts w:cs="Times New Roman"/>
      <w:shd w:val="clear" w:color="auto" w:fill="auto"/>
    </w:rPr>
  </w:style>
  <w:style w:type="character" w:customStyle="1" w:styleId="t10">
    <w:name w:val="t10"/>
    <w:uiPriority w:val="99"/>
    <w:rPr>
      <w:rFonts w:cs="Times New Roman"/>
      <w:shd w:val="clear" w:color="auto" w:fill="auto"/>
    </w:rPr>
  </w:style>
  <w:style w:type="character" w:customStyle="1" w:styleId="t20">
    <w:name w:val="t20"/>
    <w:uiPriority w:val="99"/>
    <w:rPr>
      <w:rFonts w:cs="Times New Roman"/>
      <w:shd w:val="clear" w:color="auto" w:fill="auto"/>
    </w:rPr>
  </w:style>
  <w:style w:type="character" w:customStyle="1" w:styleId="t21">
    <w:name w:val="t21"/>
    <w:uiPriority w:val="99"/>
    <w:rPr>
      <w:rFonts w:cs="Times New Roman"/>
      <w:shd w:val="clear" w:color="auto" w:fill="auto"/>
    </w:rPr>
  </w:style>
  <w:style w:type="character" w:customStyle="1" w:styleId="t5">
    <w:name w:val="t5"/>
    <w:uiPriority w:val="99"/>
    <w:rPr>
      <w:rFonts w:cs="Times New Roman"/>
      <w:shd w:val="clear" w:color="auto" w:fill="auto"/>
    </w:rPr>
  </w:style>
  <w:style w:type="character" w:customStyle="1" w:styleId="t4">
    <w:name w:val="t4"/>
    <w:uiPriority w:val="99"/>
    <w:rPr>
      <w:rFonts w:cs="Times New Roman"/>
      <w:shd w:val="clear" w:color="auto" w:fill="auto"/>
    </w:rPr>
  </w:style>
  <w:style w:type="character" w:customStyle="1" w:styleId="t11">
    <w:name w:val="t11"/>
    <w:uiPriority w:val="99"/>
    <w:rPr>
      <w:rFonts w:cs="Times New Roman"/>
      <w:shd w:val="clear" w:color="auto" w:fill="auto"/>
    </w:rPr>
  </w:style>
  <w:style w:type="character" w:customStyle="1" w:styleId="CaptionChar1">
    <w:name w:val="Caption Char1"/>
    <w:uiPriority w:val="99"/>
    <w:locked/>
    <w:rPr>
      <w:rFonts w:ascii="Times New Roman" w:eastAsia="Times New Roman" w:hAnsi="Times New Roman" w:cs="Times New Roman"/>
      <w:b/>
      <w:bCs/>
      <w:sz w:val="20"/>
      <w:szCs w:val="20"/>
      <w:lang w:val="en-GB"/>
    </w:rPr>
  </w:style>
  <w:style w:type="paragraph" w:styleId="TableofFigures">
    <w:name w:val="table of figures"/>
    <w:basedOn w:val="Normal"/>
    <w:next w:val="Normal"/>
    <w:uiPriority w:val="99"/>
    <w:pPr>
      <w:spacing w:before="40" w:after="120" w:line="240" w:lineRule="auto"/>
      <w:ind w:left="482" w:hanging="482"/>
      <w:jc w:val="both"/>
    </w:pPr>
    <w:rPr>
      <w:rFonts w:ascii="Times New Roman" w:eastAsia="Times New Roman" w:hAnsi="Times New Roman"/>
      <w:bCs/>
      <w:sz w:val="24"/>
      <w:szCs w:val="20"/>
    </w:rPr>
  </w:style>
  <w:style w:type="paragraph" w:styleId="ListNumber2">
    <w:name w:val="List Number 2"/>
    <w:basedOn w:val="Normal"/>
    <w:uiPriority w:val="99"/>
    <w:pPr>
      <w:numPr>
        <w:numId w:val="10"/>
      </w:numPr>
      <w:tabs>
        <w:tab w:val="clear" w:pos="926"/>
        <w:tab w:val="num" w:pos="643"/>
        <w:tab w:val="num" w:pos="850"/>
        <w:tab w:val="num" w:pos="1209"/>
      </w:tabs>
      <w:spacing w:before="120" w:after="120" w:line="240" w:lineRule="auto"/>
      <w:ind w:left="643"/>
      <w:jc w:val="both"/>
    </w:pPr>
    <w:rPr>
      <w:rFonts w:ascii="Times New Roman" w:eastAsia="Times New Roman" w:hAnsi="Times New Roman"/>
      <w:sz w:val="24"/>
      <w:szCs w:val="24"/>
    </w:rPr>
  </w:style>
  <w:style w:type="paragraph" w:styleId="ListNumber3">
    <w:name w:val="List Number 3"/>
    <w:basedOn w:val="Normal"/>
    <w:uiPriority w:val="99"/>
    <w:pPr>
      <w:numPr>
        <w:numId w:val="11"/>
      </w:numPr>
      <w:tabs>
        <w:tab w:val="clear" w:pos="1209"/>
        <w:tab w:val="num" w:pos="926"/>
        <w:tab w:val="num" w:pos="1417"/>
      </w:tabs>
      <w:spacing w:before="120" w:after="120" w:line="240" w:lineRule="auto"/>
      <w:ind w:left="926"/>
      <w:jc w:val="both"/>
    </w:pPr>
    <w:rPr>
      <w:rFonts w:ascii="Times New Roman" w:eastAsia="Times New Roman" w:hAnsi="Times New Roman"/>
      <w:sz w:val="24"/>
      <w:szCs w:val="24"/>
    </w:rPr>
  </w:style>
  <w:style w:type="paragraph" w:styleId="ListNumber4">
    <w:name w:val="List Number 4"/>
    <w:basedOn w:val="Normal"/>
    <w:uiPriority w:val="99"/>
    <w:pPr>
      <w:numPr>
        <w:numId w:val="12"/>
      </w:numPr>
      <w:tabs>
        <w:tab w:val="clear" w:pos="360"/>
        <w:tab w:val="num" w:pos="643"/>
        <w:tab w:val="num" w:pos="1209"/>
        <w:tab w:val="num" w:pos="1984"/>
      </w:tabs>
      <w:spacing w:before="120" w:after="120" w:line="240" w:lineRule="auto"/>
      <w:ind w:left="1209"/>
      <w:jc w:val="both"/>
    </w:pPr>
    <w:rPr>
      <w:rFonts w:ascii="Times New Roman" w:eastAsia="Times New Roman" w:hAnsi="Times New Roman"/>
      <w:sz w:val="24"/>
      <w:szCs w:val="24"/>
    </w:rPr>
  </w:style>
  <w:style w:type="paragraph" w:customStyle="1" w:styleId="Nomral">
    <w:name w:val="Nomral"/>
    <w:basedOn w:val="Normal"/>
    <w:uiPriority w:val="99"/>
    <w:pPr>
      <w:spacing w:before="120" w:after="120" w:line="240" w:lineRule="auto"/>
      <w:jc w:val="both"/>
    </w:pPr>
    <w:rPr>
      <w:rFonts w:ascii="Times New Roman" w:eastAsia="Times New Roman" w:hAnsi="Times New Roman"/>
      <w:sz w:val="24"/>
      <w:szCs w:val="24"/>
    </w:rPr>
  </w:style>
  <w:style w:type="paragraph" w:customStyle="1" w:styleId="Heading">
    <w:name w:val="Heading"/>
    <w:basedOn w:val="Heading1"/>
    <w:uiPriority w:val="99"/>
    <w:pPr>
      <w:tabs>
        <w:tab w:val="num" w:pos="643"/>
        <w:tab w:val="num" w:pos="850"/>
      </w:tabs>
      <w:spacing w:before="360" w:after="120" w:line="240" w:lineRule="auto"/>
      <w:ind w:left="850" w:hanging="850"/>
      <w:jc w:val="both"/>
    </w:pPr>
    <w:rPr>
      <w:rFonts w:ascii="Times New Roman" w:hAnsi="Times New Roman"/>
      <w:smallCaps/>
      <w:kern w:val="0"/>
      <w:sz w:val="24"/>
      <w:lang w:eastAsia="x-none"/>
    </w:rPr>
  </w:style>
  <w:style w:type="character" w:styleId="FollowedHyperlink">
    <w:name w:val="FollowedHyperlink"/>
    <w:uiPriority w:val="99"/>
    <w:rPr>
      <w:rFonts w:cs="Times New Roman"/>
      <w:color w:val="800080"/>
      <w:u w:val="single"/>
    </w:rPr>
  </w:style>
  <w:style w:type="paragraph" w:customStyle="1" w:styleId="FootnotesText">
    <w:name w:val="Footnotes Text"/>
    <w:basedOn w:val="Normal"/>
    <w:link w:val="FootnotesTextChar"/>
    <w:uiPriority w:val="99"/>
    <w:pPr>
      <w:autoSpaceDE w:val="0"/>
      <w:autoSpaceDN w:val="0"/>
      <w:adjustRightInd w:val="0"/>
      <w:spacing w:before="40" w:after="0" w:line="240" w:lineRule="auto"/>
      <w:jc w:val="both"/>
    </w:pPr>
    <w:rPr>
      <w:rFonts w:ascii="Times New Roman" w:eastAsia="Times New Roman" w:hAnsi="Times New Roman"/>
      <w:b/>
      <w:bCs/>
      <w:sz w:val="24"/>
      <w:szCs w:val="24"/>
      <w:lang w:eastAsia="en-GB"/>
    </w:rPr>
  </w:style>
  <w:style w:type="character" w:customStyle="1" w:styleId="FootnotesTextChar">
    <w:name w:val="Footnotes Text Char"/>
    <w:link w:val="FootnotesText"/>
    <w:uiPriority w:val="99"/>
    <w:locked/>
    <w:rPr>
      <w:rFonts w:ascii="Times New Roman" w:eastAsia="Times New Roman" w:hAnsi="Times New Roman"/>
      <w:b/>
      <w:bCs/>
      <w:sz w:val="24"/>
      <w:szCs w:val="24"/>
      <w:lang w:val="en-GB" w:eastAsia="en-GB"/>
    </w:rPr>
  </w:style>
  <w:style w:type="character" w:customStyle="1" w:styleId="hps">
    <w:name w:val="hps"/>
    <w:uiPriority w:val="99"/>
    <w:rPr>
      <w:rFonts w:cs="Times New Roman"/>
    </w:rPr>
  </w:style>
  <w:style w:type="paragraph" w:customStyle="1" w:styleId="Default">
    <w:name w:val="Default"/>
    <w:uiPriority w:val="99"/>
    <w:pPr>
      <w:autoSpaceDE w:val="0"/>
      <w:autoSpaceDN w:val="0"/>
      <w:adjustRightInd w:val="0"/>
    </w:pPr>
    <w:rPr>
      <w:rFonts w:ascii="EUAlbertina" w:eastAsia="Times New Roman" w:hAnsi="EUAlbertina" w:cs="EUAlbertina"/>
      <w:color w:val="000000"/>
      <w:sz w:val="24"/>
      <w:szCs w:val="24"/>
    </w:rPr>
  </w:style>
  <w:style w:type="paragraph" w:customStyle="1" w:styleId="CM4">
    <w:name w:val="CM4"/>
    <w:basedOn w:val="Default"/>
    <w:next w:val="Default"/>
    <w:uiPriority w:val="99"/>
    <w:rPr>
      <w:rFonts w:cs="Times New Roman"/>
      <w:color w:val="auto"/>
    </w:rPr>
  </w:style>
  <w:style w:type="character" w:customStyle="1" w:styleId="spiritsinfol">
    <w:name w:val="spirit s_info_l"/>
    <w:uiPriority w:val="99"/>
    <w:rPr>
      <w:rFonts w:cs="Times New Roman"/>
      <w:sz w:val="24"/>
      <w:szCs w:val="24"/>
    </w:rPr>
  </w:style>
  <w:style w:type="character" w:styleId="HTMLCite">
    <w:name w:val="HTML Cite"/>
    <w:uiPriority w:val="99"/>
    <w:rPr>
      <w:rFonts w:cs="Times New Roman"/>
      <w:i/>
      <w:iCs/>
    </w:rPr>
  </w:style>
  <w:style w:type="paragraph" w:customStyle="1" w:styleId="NormalBorderSinglesolidline">
    <w:name w:val="Normal + Border: : (Single solid line"/>
    <w:aliases w:val="Auto,0.5 pt Line width)"/>
    <w:basedOn w:val="Normal"/>
    <w:uiPriority w:val="99"/>
    <w:pPr>
      <w:spacing w:before="120" w:after="120" w:line="240" w:lineRule="auto"/>
      <w:jc w:val="both"/>
    </w:pPr>
    <w:rPr>
      <w:rFonts w:ascii="Times New Roman" w:eastAsia="Times New Roman" w:hAnsi="Times New Roman"/>
      <w:sz w:val="24"/>
      <w:szCs w:val="24"/>
      <w:bdr w:val="single" w:sz="4" w:space="0" w:color="auto"/>
    </w:rPr>
  </w:style>
  <w:style w:type="paragraph" w:customStyle="1" w:styleId="a3520normal">
    <w:name w:val="a___35__20_normal"/>
    <w:basedOn w:val="Normal"/>
    <w:uiPriority w:val="99"/>
    <w:pPr>
      <w:spacing w:before="100" w:beforeAutospacing="1" w:after="100" w:afterAutospacing="1" w:line="240" w:lineRule="auto"/>
      <w:jc w:val="both"/>
    </w:pPr>
    <w:rPr>
      <w:rFonts w:ascii="Times New Roman" w:eastAsia="Times New Roman" w:hAnsi="Times New Roman"/>
      <w:sz w:val="24"/>
      <w:szCs w:val="24"/>
      <w:lang w:eastAsia="en-GB"/>
    </w:rPr>
  </w:style>
  <w:style w:type="paragraph" w:customStyle="1" w:styleId="Noral">
    <w:name w:val="Noral"/>
    <w:basedOn w:val="Normal"/>
    <w:uiPriority w:val="99"/>
    <w:pPr>
      <w:spacing w:before="120" w:after="120" w:line="240" w:lineRule="auto"/>
      <w:jc w:val="both"/>
    </w:pPr>
    <w:rPr>
      <w:rFonts w:ascii="Times New Roman" w:eastAsia="Times New Roman" w:hAnsi="Times New Roman"/>
      <w:color w:val="0000FF"/>
      <w:sz w:val="24"/>
      <w:szCs w:val="24"/>
    </w:rPr>
  </w:style>
  <w:style w:type="character" w:customStyle="1" w:styleId="CharChar3">
    <w:name w:val="Char Char3"/>
    <w:uiPriority w:val="99"/>
    <w:semiHidden/>
    <w:locked/>
    <w:rPr>
      <w:lang w:val="en-GB" w:eastAsia="en-US"/>
    </w:rPr>
  </w:style>
  <w:style w:type="character" w:customStyle="1" w:styleId="CharChar2">
    <w:name w:val="Char Char2"/>
    <w:semiHidden/>
    <w:locked/>
    <w:rPr>
      <w:rFonts w:cs="Times New Roman"/>
      <w:sz w:val="20"/>
      <w:szCs w:val="20"/>
      <w:lang w:eastAsia="en-US"/>
    </w:rPr>
  </w:style>
  <w:style w:type="character" w:customStyle="1" w:styleId="CharChar5">
    <w:name w:val="Char Char5"/>
    <w:semiHidden/>
    <w:locked/>
    <w:rPr>
      <w:rFonts w:cs="Times New Roman"/>
      <w:lang w:val="en-GB" w:eastAsia="en-US" w:bidi="ar-SA"/>
    </w:rPr>
  </w:style>
  <w:style w:type="character" w:customStyle="1" w:styleId="CharChar7">
    <w:name w:val="Char Char7"/>
    <w:semiHidden/>
    <w:locked/>
    <w:rPr>
      <w:rFonts w:cs="Times New Roman"/>
      <w:lang w:val="en-GB" w:eastAsia="en-US" w:bidi="ar-SA"/>
    </w:rPr>
  </w:style>
  <w:style w:type="paragraph" w:styleId="Title">
    <w:name w:val="Title"/>
    <w:basedOn w:val="Normal"/>
    <w:link w:val="TitleChar"/>
    <w:qFormat/>
    <w:pPr>
      <w:spacing w:before="240" w:after="60" w:line="240" w:lineRule="auto"/>
      <w:jc w:val="center"/>
      <w:outlineLvl w:val="0"/>
    </w:pPr>
    <w:rPr>
      <w:rFonts w:ascii="Arial" w:hAnsi="Arial"/>
      <w:b/>
      <w:bCs/>
      <w:kern w:val="28"/>
      <w:sz w:val="32"/>
      <w:szCs w:val="32"/>
      <w:lang w:eastAsia="x-none"/>
    </w:rPr>
  </w:style>
  <w:style w:type="character" w:customStyle="1" w:styleId="TitleChar">
    <w:name w:val="Title Char"/>
    <w:link w:val="Title"/>
    <w:rPr>
      <w:rFonts w:ascii="Arial" w:hAnsi="Arial"/>
      <w:b/>
      <w:bCs/>
      <w:kern w:val="28"/>
      <w:sz w:val="32"/>
      <w:szCs w:val="32"/>
      <w:lang w:val="en-GB" w:eastAsia="x-none"/>
    </w:rPr>
  </w:style>
  <w:style w:type="paragraph" w:customStyle="1" w:styleId="entetepair">
    <w:name w:val="entete_pair"/>
    <w:pPr>
      <w:pBdr>
        <w:bottom w:val="single" w:sz="4" w:space="5" w:color="C00000"/>
      </w:pBdr>
      <w:spacing w:after="300"/>
    </w:pPr>
    <w:rPr>
      <w:rFonts w:ascii="Arial Narrow" w:hAnsi="Arial Narrow" w:cs="Arial"/>
      <w:color w:val="000000"/>
      <w:spacing w:val="20"/>
      <w:sz w:val="18"/>
      <w:lang w:eastAsia="en-US"/>
    </w:rPr>
  </w:style>
  <w:style w:type="paragraph" w:customStyle="1" w:styleId="enteteimpair">
    <w:name w:val="entete_impair"/>
    <w:basedOn w:val="entetepair"/>
    <w:pPr>
      <w:jc w:val="right"/>
    </w:pPr>
    <w:rPr>
      <w:lang w:val="en-US"/>
    </w:rPr>
  </w:style>
  <w:style w:type="paragraph" w:customStyle="1" w:styleId="exemple">
    <w:name w:val="exemple"/>
    <w:pPr>
      <w:spacing w:before="120" w:line="300" w:lineRule="auto"/>
      <w:ind w:left="369"/>
      <w:jc w:val="both"/>
    </w:pPr>
    <w:rPr>
      <w:rFonts w:ascii="Arial Narrow" w:hAnsi="Arial Narrow"/>
      <w:lang w:eastAsia="en-US"/>
    </w:rPr>
  </w:style>
  <w:style w:type="paragraph" w:customStyle="1" w:styleId="H1etiket">
    <w:name w:val="H1_etiket"/>
    <w:basedOn w:val="Heading1"/>
    <w:pPr>
      <w:spacing w:before="0" w:after="600" w:line="300" w:lineRule="auto"/>
      <w:jc w:val="right"/>
    </w:pPr>
    <w:rPr>
      <w:rFonts w:ascii="Verdana" w:eastAsia="Calibri" w:hAnsi="Verdana" w:cs="Arial"/>
      <w:bCs w:val="0"/>
      <w:caps/>
      <w:noProof/>
      <w:color w:val="943634"/>
      <w:kern w:val="0"/>
      <w:sz w:val="52"/>
      <w:szCs w:val="52"/>
      <w:lang w:eastAsia="x-none"/>
    </w:rPr>
  </w:style>
  <w:style w:type="paragraph" w:customStyle="1" w:styleId="H1prelim">
    <w:name w:val="H1_prelim"/>
    <w:pPr>
      <w:pBdr>
        <w:bottom w:val="single" w:sz="8" w:space="31" w:color="auto"/>
      </w:pBdr>
      <w:tabs>
        <w:tab w:val="left" w:pos="2268"/>
      </w:tabs>
      <w:spacing w:before="800" w:after="180"/>
      <w:jc w:val="center"/>
    </w:pPr>
    <w:rPr>
      <w:rFonts w:ascii="Arial" w:hAnsi="Arial" w:cs="Arial"/>
      <w:b/>
      <w:caps/>
      <w:color w:val="000000"/>
      <w:spacing w:val="60"/>
      <w:sz w:val="36"/>
      <w:lang w:val="fr-FR" w:eastAsia="en-US"/>
    </w:rPr>
  </w:style>
  <w:style w:type="paragraph" w:customStyle="1" w:styleId="H1subtitle">
    <w:name w:val="H1_subtitle"/>
    <w:basedOn w:val="Heading1"/>
    <w:pPr>
      <w:widowControl w:val="0"/>
      <w:shd w:val="clear" w:color="auto" w:fill="FFCC99"/>
      <w:spacing w:after="0" w:line="360" w:lineRule="auto"/>
      <w:jc w:val="center"/>
    </w:pPr>
    <w:rPr>
      <w:rFonts w:ascii="Verdana" w:eastAsia="Calibri" w:hAnsi="Verdana" w:cs="Arial"/>
      <w:bCs w:val="0"/>
      <w:caps/>
      <w:noProof/>
      <w:spacing w:val="20"/>
      <w:kern w:val="28"/>
      <w:lang w:eastAsia="x-none"/>
    </w:rPr>
  </w:style>
  <w:style w:type="paragraph" w:customStyle="1" w:styleId="noteexplicative">
    <w:name w:val="note explicative"/>
    <w:pPr>
      <w:spacing w:before="100" w:after="60"/>
    </w:pPr>
    <w:rPr>
      <w:rFonts w:ascii="Arial" w:hAnsi="Arial" w:cs="Arial"/>
      <w:b/>
      <w:bCs/>
      <w:color w:val="C00000"/>
      <w:sz w:val="18"/>
      <w:u w:val="single"/>
      <w:lang w:eastAsia="en-US"/>
    </w:rPr>
  </w:style>
  <w:style w:type="paragraph" w:customStyle="1" w:styleId="pays">
    <w:name w:val="pays"/>
    <w:pPr>
      <w:spacing w:before="200" w:after="100"/>
    </w:pPr>
    <w:rPr>
      <w:rFonts w:ascii="Myriad Pro" w:hAnsi="Myriad Pro"/>
      <w:b/>
      <w:color w:val="993300"/>
      <w:sz w:val="21"/>
      <w:lang w:eastAsia="en-US"/>
    </w:rPr>
  </w:style>
  <w:style w:type="paragraph" w:customStyle="1" w:styleId="tableauougraphique">
    <w:name w:val="tableau ou graphique"/>
    <w:pPr>
      <w:keepNext/>
      <w:numPr>
        <w:numId w:val="18"/>
      </w:numPr>
      <w:spacing w:before="200" w:after="200" w:line="276" w:lineRule="auto"/>
      <w:ind w:hanging="720"/>
    </w:pPr>
    <w:rPr>
      <w:rFonts w:ascii="Arial Narrow" w:eastAsia="Times New Roman" w:hAnsi="Arial Narrow" w:cs="Arial"/>
      <w:b/>
      <w:bCs/>
      <w:noProof/>
      <w:color w:val="943634"/>
      <w:lang w:eastAsia="en-US"/>
    </w:rPr>
  </w:style>
  <w:style w:type="paragraph" w:customStyle="1" w:styleId="texteparbullet">
    <w:name w:val="texte+par+bullet"/>
    <w:basedOn w:val="Normal"/>
    <w:pPr>
      <w:numPr>
        <w:numId w:val="17"/>
      </w:numPr>
      <w:spacing w:before="160" w:after="0" w:line="300" w:lineRule="auto"/>
      <w:jc w:val="both"/>
    </w:pPr>
    <w:rPr>
      <w:rFonts w:ascii="Arial" w:hAnsi="Arial" w:cs="Arial"/>
      <w:noProof/>
      <w:sz w:val="20"/>
      <w:szCs w:val="20"/>
      <w:lang w:eastAsia="de-DE"/>
    </w:rPr>
  </w:style>
  <w:style w:type="paragraph" w:customStyle="1" w:styleId="texteparbulletretrait">
    <w:name w:val="texte+par+bullet+retrait"/>
    <w:basedOn w:val="texteparbullet"/>
    <w:pPr>
      <w:numPr>
        <w:numId w:val="0"/>
      </w:numPr>
      <w:spacing w:before="80"/>
    </w:pPr>
  </w:style>
  <w:style w:type="paragraph" w:customStyle="1" w:styleId="texte1">
    <w:name w:val="texte1"/>
    <w:basedOn w:val="Normal"/>
    <w:pPr>
      <w:spacing w:before="40" w:after="0" w:line="240" w:lineRule="auto"/>
      <w:jc w:val="both"/>
    </w:pPr>
    <w:rPr>
      <w:rFonts w:ascii="Arial" w:hAnsi="Arial" w:cs="Arial"/>
      <w:sz w:val="2"/>
      <w:szCs w:val="17"/>
      <w:lang w:eastAsia="en-GB"/>
    </w:rPr>
  </w:style>
  <w:style w:type="paragraph" w:customStyle="1" w:styleId="texte83ap">
    <w:name w:val="texte8_3ap"/>
    <w:basedOn w:val="Normal"/>
    <w:pPr>
      <w:widowControl w:val="0"/>
      <w:spacing w:before="40" w:after="60" w:line="240" w:lineRule="auto"/>
      <w:jc w:val="both"/>
    </w:pPr>
    <w:rPr>
      <w:rFonts w:ascii="Arial" w:hAnsi="Arial" w:cs="Arial"/>
      <w:sz w:val="16"/>
      <w:szCs w:val="16"/>
    </w:rPr>
  </w:style>
  <w:style w:type="paragraph" w:customStyle="1" w:styleId="texte">
    <w:name w:val="texte"/>
    <w:basedOn w:val="textepar"/>
    <w:pPr>
      <w:spacing w:before="0"/>
      <w:jc w:val="left"/>
    </w:pPr>
    <w:rPr>
      <w:rFonts w:eastAsia="Calibri" w:cs="Arial"/>
      <w:sz w:val="20"/>
      <w:szCs w:val="20"/>
      <w:lang w:eastAsia="en-GB"/>
    </w:rPr>
  </w:style>
  <w:style w:type="character" w:customStyle="1" w:styleId="Caracteresdenotaderodap">
    <w:name w:val="Caracteres de nota de rodapé"/>
    <w:rPr>
      <w:rFonts w:cs="Times New Roman"/>
      <w:vertAlign w:val="superscript"/>
    </w:rPr>
  </w:style>
  <w:style w:type="character" w:customStyle="1" w:styleId="rightside">
    <w:name w:val="right_side"/>
    <w:rPr>
      <w:rFonts w:cs="Times New Roman"/>
    </w:rPr>
  </w:style>
  <w:style w:type="paragraph" w:customStyle="1" w:styleId="CM1">
    <w:name w:val="CM1"/>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Headin2">
    <w:name w:val="Headin 2"/>
    <w:basedOn w:val="Normal"/>
    <w:pPr>
      <w:keepNext/>
      <w:tabs>
        <w:tab w:val="left" w:pos="540"/>
      </w:tabs>
      <w:spacing w:before="320" w:after="360" w:line="240" w:lineRule="auto"/>
      <w:jc w:val="both"/>
      <w:outlineLvl w:val="1"/>
    </w:pPr>
    <w:rPr>
      <w:rFonts w:ascii="Arial" w:eastAsia="Times New Roman" w:hAnsi="Arial" w:cs="Arial"/>
      <w:b/>
      <w:bCs/>
      <w:color w:val="943634"/>
      <w:spacing w:val="10"/>
      <w:sz w:val="28"/>
      <w:szCs w:val="28"/>
    </w:rPr>
  </w:style>
  <w:style w:type="paragraph" w:customStyle="1" w:styleId="HwSINF">
    <w:name w:val="HwSINF §"/>
    <w:basedOn w:val="Normal"/>
    <w:pPr>
      <w:keepNext/>
      <w:spacing w:before="270" w:after="160" w:line="240" w:lineRule="auto"/>
      <w:jc w:val="both"/>
      <w:outlineLvl w:val="2"/>
    </w:pPr>
    <w:rPr>
      <w:rFonts w:ascii="Verdana" w:eastAsia="Times New Roman" w:hAnsi="Verdana"/>
      <w:b/>
      <w:color w:val="943634"/>
      <w:sz w:val="24"/>
    </w:rPr>
  </w:style>
  <w:style w:type="paragraph" w:styleId="DocumentMap">
    <w:name w:val="Document Map"/>
    <w:basedOn w:val="Normal"/>
    <w:link w:val="DocumentMapChar"/>
    <w:semiHidden/>
    <w:pPr>
      <w:shd w:val="clear" w:color="auto" w:fill="000080"/>
      <w:spacing w:before="120" w:after="120" w:line="240" w:lineRule="auto"/>
      <w:jc w:val="both"/>
    </w:pPr>
    <w:rPr>
      <w:rFonts w:ascii="Tahoma" w:eastAsia="Times New Roman" w:hAnsi="Tahoma"/>
      <w:sz w:val="20"/>
      <w:szCs w:val="20"/>
      <w:lang w:eastAsia="x-none"/>
    </w:rPr>
  </w:style>
  <w:style w:type="character" w:customStyle="1" w:styleId="DocumentMapChar">
    <w:name w:val="Document Map Char"/>
    <w:link w:val="DocumentMap"/>
    <w:semiHidden/>
    <w:rPr>
      <w:rFonts w:ascii="Tahoma" w:eastAsia="Times New Roman" w:hAnsi="Tahoma"/>
      <w:shd w:val="clear" w:color="auto" w:fill="000080"/>
      <w:lang w:val="en-GB" w:eastAsia="x-none"/>
    </w:rPr>
  </w:style>
  <w:style w:type="paragraph" w:customStyle="1" w:styleId="PartTit">
    <w:name w:val="PartTit#"/>
    <w:basedOn w:val="Heading1"/>
    <w:pPr>
      <w:tabs>
        <w:tab w:val="num" w:pos="850"/>
      </w:tabs>
      <w:spacing w:before="360" w:after="120" w:line="240" w:lineRule="auto"/>
      <w:ind w:left="850" w:hanging="850"/>
      <w:jc w:val="both"/>
    </w:pPr>
    <w:rPr>
      <w:rFonts w:ascii="Times New Roman" w:hAnsi="Times New Roman"/>
      <w:smallCaps/>
      <w:kern w:val="0"/>
      <w:sz w:val="24"/>
      <w:lang w:eastAsia="x-none"/>
    </w:rPr>
  </w:style>
  <w:style w:type="paragraph" w:customStyle="1" w:styleId="ManualHeading10">
    <w:name w:val="ManualHeading 1"/>
    <w:basedOn w:val="Normal"/>
    <w:qFormat/>
    <w:pPr>
      <w:spacing w:before="120" w:after="120" w:line="240" w:lineRule="auto"/>
      <w:jc w:val="both"/>
    </w:pPr>
    <w:rPr>
      <w:rFonts w:ascii="Times New Roman" w:eastAsia="Times New Roman" w:hAnsi="Times New Roman"/>
      <w:sz w:val="24"/>
      <w:szCs w:val="24"/>
    </w:rPr>
  </w:style>
  <w:style w:type="paragraph" w:customStyle="1" w:styleId="PartTitel">
    <w:name w:val="PartTitel"/>
    <w:basedOn w:val="Normal"/>
    <w:pPr>
      <w:spacing w:before="120" w:after="120" w:line="240" w:lineRule="auto"/>
      <w:jc w:val="both"/>
    </w:pPr>
    <w:rPr>
      <w:rFonts w:ascii="Times New Roman" w:eastAsia="Times New Roman" w:hAnsi="Times New Roman"/>
      <w:sz w:val="24"/>
      <w:szCs w:val="24"/>
    </w:rPr>
  </w:style>
  <w:style w:type="paragraph" w:customStyle="1" w:styleId="Heading20">
    <w:name w:val="Heading 2#"/>
    <w:basedOn w:val="Normal"/>
    <w:qFormat/>
    <w:pPr>
      <w:spacing w:before="160" w:after="0" w:line="300" w:lineRule="auto"/>
      <w:jc w:val="both"/>
    </w:pPr>
    <w:rPr>
      <w:rFonts w:ascii="Verdana" w:eastAsia="Times New Roman" w:hAnsi="Verdana" w:cs="Arial"/>
      <w:color w:val="632423"/>
      <w:sz w:val="20"/>
      <w:szCs w:val="20"/>
    </w:rPr>
  </w:style>
  <w:style w:type="paragraph" w:customStyle="1" w:styleId="Point00">
    <w:name w:val="Point0"/>
    <w:basedOn w:val="Point1"/>
    <w:pPr>
      <w:tabs>
        <w:tab w:val="left" w:pos="567"/>
      </w:tabs>
      <w:ind w:left="719" w:hanging="435"/>
    </w:pPr>
  </w:style>
  <w:style w:type="paragraph" w:customStyle="1" w:styleId="ManualHeading20">
    <w:name w:val="ManualHeading 2"/>
    <w:basedOn w:val="Normal"/>
    <w:pPr>
      <w:spacing w:before="120" w:after="120" w:line="240" w:lineRule="auto"/>
      <w:jc w:val="both"/>
    </w:pPr>
    <w:rPr>
      <w:rFonts w:ascii="Times New Roman" w:eastAsia="Times New Roman" w:hAnsi="Times New Roman"/>
      <w:sz w:val="24"/>
      <w:szCs w:val="24"/>
    </w:rPr>
  </w:style>
  <w:style w:type="character" w:customStyle="1" w:styleId="at1">
    <w:name w:val="a__t1"/>
  </w:style>
  <w:style w:type="paragraph" w:customStyle="1" w:styleId="Caption0">
    <w:name w:val="Caption#"/>
    <w:basedOn w:val="Normal"/>
    <w:qFormat/>
    <w:pPr>
      <w:spacing w:before="40" w:after="180" w:line="240" w:lineRule="auto"/>
      <w:jc w:val="both"/>
    </w:pPr>
    <w:rPr>
      <w:rFonts w:ascii="Times New Roman" w:eastAsia="Times New Roman" w:hAnsi="Times New Roman"/>
      <w:sz w:val="24"/>
      <w:lang w:val="en-US"/>
    </w:rPr>
  </w:style>
  <w:style w:type="character" w:customStyle="1" w:styleId="Titolodellibro">
    <w:name w:val="Titolo del libro"/>
    <w:uiPriority w:val="33"/>
    <w:qFormat/>
    <w:rPr>
      <w:b/>
      <w:bCs/>
      <w:smallCaps/>
      <w:spacing w:val="5"/>
    </w:rPr>
  </w:style>
  <w:style w:type="paragraph" w:customStyle="1" w:styleId="Reference">
    <w:name w:val="Reference"/>
    <w:basedOn w:val="Normal"/>
    <w:link w:val="ReferenceChar"/>
    <w:qFormat/>
    <w:pPr>
      <w:keepLines/>
      <w:spacing w:before="40" w:after="120" w:line="240" w:lineRule="auto"/>
      <w:ind w:left="720" w:hanging="720"/>
    </w:pPr>
    <w:rPr>
      <w:rFonts w:ascii="Times New Roman" w:eastAsia="Times New Roman" w:hAnsi="Times New Roman"/>
      <w:noProof/>
      <w:lang w:val="en-US"/>
    </w:rPr>
  </w:style>
  <w:style w:type="character" w:customStyle="1" w:styleId="st1">
    <w:name w:val="st1"/>
  </w:style>
  <w:style w:type="character" w:customStyle="1" w:styleId="ReferenceChar">
    <w:name w:val="Reference Char"/>
    <w:link w:val="Reference"/>
    <w:rPr>
      <w:rFonts w:ascii="Times New Roman" w:eastAsia="Times New Roman" w:hAnsi="Times New Roman"/>
      <w:noProof/>
      <w:sz w:val="22"/>
      <w:szCs w:val="22"/>
      <w:lang w:val="en-US"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itolosommarioCarattere">
    <w:name w:val="Titolo sommario Carattere"/>
    <w:link w:val="Titolosommario"/>
    <w:uiPriority w:val="39"/>
    <w:rPr>
      <w:rFonts w:ascii="Times New Roman" w:eastAsia="Times New Roman" w:hAnsi="Times New Roman"/>
      <w:b/>
      <w:sz w:val="28"/>
      <w:szCs w:val="24"/>
      <w:lang w:val="x-none"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top">
    <w:name w:val="top"/>
    <w:basedOn w:val="Normal"/>
    <w:link w:val="topChar"/>
    <w:qFormat/>
    <w:pPr>
      <w:spacing w:after="0" w:line="240" w:lineRule="auto"/>
      <w:jc w:val="both"/>
    </w:pPr>
    <w:rPr>
      <w:rFonts w:ascii="Times New Roman" w:eastAsia="Times New Roman" w:hAnsi="Times New Roman"/>
      <w:sz w:val="2"/>
      <w:szCs w:val="2"/>
      <w:lang w:val="en-US"/>
    </w:rPr>
  </w:style>
  <w:style w:type="paragraph" w:customStyle="1" w:styleId="Tiop">
    <w:name w:val="Tiop"/>
    <w:basedOn w:val="Normal"/>
    <w:qFormat/>
    <w:pPr>
      <w:spacing w:before="40" w:after="180" w:line="240" w:lineRule="auto"/>
      <w:jc w:val="both"/>
    </w:pPr>
    <w:rPr>
      <w:rFonts w:ascii="Times New Roman" w:eastAsia="Times New Roman" w:hAnsi="Times New Roman"/>
      <w:sz w:val="24"/>
      <w:lang w:val="en-US"/>
    </w:rPr>
  </w:style>
  <w:style w:type="character" w:customStyle="1" w:styleId="topChar">
    <w:name w:val="top Char"/>
    <w:link w:val="top"/>
    <w:rPr>
      <w:rFonts w:ascii="Times New Roman" w:eastAsia="Times New Roman" w:hAnsi="Times New Roman"/>
      <w:sz w:val="2"/>
      <w:szCs w:val="2"/>
      <w:lang w:val="en-US" w:eastAsia="en-US"/>
    </w:rPr>
  </w:style>
  <w:style w:type="paragraph" w:customStyle="1" w:styleId="a75TextbaseTable">
    <w:name w:val="_a7_5_Text_base_Table"/>
    <w:qFormat/>
    <w:pPr>
      <w:tabs>
        <w:tab w:val="left" w:pos="1985"/>
      </w:tabs>
    </w:pPr>
    <w:rPr>
      <w:rFonts w:ascii="Arial" w:eastAsia="Times New Roman" w:hAnsi="Arial" w:cs="Arial"/>
      <w:snapToGrid w:val="0"/>
      <w:color w:val="1F497D"/>
      <w:sz w:val="16"/>
      <w:szCs w:val="16"/>
      <w:lang w:val="en-US" w:eastAsia="en-US"/>
    </w:r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styleId="Revision">
    <w:name w:val="Revision"/>
    <w:hidden/>
    <w:uiPriority w:val="99"/>
    <w:semiHidden/>
    <w:rPr>
      <w:sz w:val="22"/>
      <w:szCs w:val="22"/>
      <w:lang w:eastAsia="en-US"/>
    </w:rPr>
  </w:style>
  <w:style w:type="paragraph" w:customStyle="1" w:styleId="a71Textpara">
    <w:name w:val="_a7_1_Text_para"/>
    <w:link w:val="a71TextparaChar"/>
    <w:pPr>
      <w:tabs>
        <w:tab w:val="left" w:pos="4253"/>
      </w:tabs>
      <w:spacing w:before="160" w:line="300" w:lineRule="auto"/>
      <w:jc w:val="both"/>
    </w:pPr>
    <w:rPr>
      <w:rFonts w:ascii="Arial" w:hAnsi="Arial" w:cs="Arial"/>
      <w:color w:val="1F497D"/>
      <w:lang w:eastAsia="en-US"/>
    </w:rPr>
  </w:style>
  <w:style w:type="character" w:customStyle="1" w:styleId="a71TextparaChar">
    <w:name w:val="_a7_1_Text_para Char"/>
    <w:link w:val="a71Textpara"/>
    <w:rPr>
      <w:rFonts w:ascii="Arial" w:hAnsi="Arial" w:cs="Arial"/>
      <w:color w:val="1F497D"/>
      <w:lang w:val="en-GB" w:eastAsia="en-US" w:bidi="ar-SA"/>
    </w:rPr>
  </w:style>
  <w:style w:type="paragraph" w:customStyle="1" w:styleId="Yo13YouthIndicator">
    <w:name w:val="_Yo_13_Youth_Indicator"/>
    <w:qFormat/>
    <w:pPr>
      <w:spacing w:line="300" w:lineRule="auto"/>
      <w:ind w:left="113" w:right="113"/>
    </w:pPr>
    <w:rPr>
      <w:b/>
      <w:color w:val="FFFFFF"/>
      <w:sz w:val="16"/>
      <w:szCs w:val="22"/>
      <w:lang w:eastAsia="en-US"/>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Yo0H1Char">
    <w:name w:val="_Yo_0_H1 Char"/>
    <w:link w:val="Yo0H1"/>
    <w:rPr>
      <w:rFonts w:ascii="Verdana" w:eastAsia="Times New Roman" w:hAnsi="Verdana" w:cs="MyriadPro-Bold"/>
      <w:b/>
      <w:bCs w:val="0"/>
      <w:color w:val="DB1E48"/>
      <w:kern w:val="32"/>
      <w:sz w:val="44"/>
      <w:szCs w:val="44"/>
      <w:lang w:val="en-US" w:eastAsia="fr-BE"/>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 w:type="paragraph" w:styleId="TOCHeading">
    <w:name w:val="TOC Heading"/>
    <w:basedOn w:val="Heading1"/>
    <w:next w:val="Normal"/>
    <w:uiPriority w:val="39"/>
    <w:unhideWhenUsed/>
    <w:qFormat/>
    <w:pPr>
      <w:keepLines/>
      <w:spacing w:after="0" w:line="259" w:lineRule="auto"/>
      <w:outlineLvl w:val="9"/>
    </w:pPr>
    <w:rPr>
      <w:rFonts w:ascii="Calibri Light" w:hAnsi="Calibri Light"/>
      <w:b w:val="0"/>
      <w:bCs w:val="0"/>
      <w:color w:val="2E74B5"/>
      <w:kern w:val="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pPr>
      <w:keepNext/>
      <w:tabs>
        <w:tab w:val="num" w:pos="850"/>
      </w:tabs>
      <w:spacing w:before="120" w:after="120" w:line="240" w:lineRule="auto"/>
      <w:ind w:left="850" w:hanging="850"/>
      <w:jc w:val="both"/>
      <w:outlineLvl w:val="3"/>
    </w:pPr>
    <w:rPr>
      <w:rFonts w:ascii="Times New Roman" w:eastAsia="Times New Roman" w:hAnsi="Times New Roman"/>
      <w:bCs/>
      <w:sz w:val="24"/>
      <w:szCs w:val="28"/>
      <w:lang w:eastAsia="x-none"/>
    </w:rPr>
  </w:style>
  <w:style w:type="paragraph" w:styleId="Heading5">
    <w:name w:val="heading 5"/>
    <w:basedOn w:val="Normal"/>
    <w:next w:val="Normal"/>
    <w:link w:val="Heading5Char"/>
    <w:qFormat/>
    <w:pPr>
      <w:keepNext/>
      <w:spacing w:before="160" w:after="60" w:line="240" w:lineRule="auto"/>
      <w:jc w:val="both"/>
      <w:outlineLvl w:val="4"/>
    </w:pPr>
    <w:rPr>
      <w:rFonts w:ascii="Arial Narrow" w:hAnsi="Arial Narrow"/>
      <w:bCs/>
      <w:spacing w:val="8"/>
      <w:sz w:val="20"/>
      <w:szCs w:val="20"/>
      <w:u w:val="single"/>
      <w:lang w:val="en-IE" w:eastAsia="x-none"/>
    </w:rPr>
  </w:style>
  <w:style w:type="paragraph" w:styleId="Heading6">
    <w:name w:val="heading 6"/>
    <w:basedOn w:val="Normal"/>
    <w:next w:val="Normal"/>
    <w:link w:val="Heading6Char"/>
    <w:qFormat/>
    <w:pPr>
      <w:keepNext/>
      <w:spacing w:before="40" w:after="0" w:line="240" w:lineRule="auto"/>
      <w:ind w:left="57"/>
      <w:jc w:val="both"/>
      <w:outlineLvl w:val="5"/>
    </w:pPr>
    <w:rPr>
      <w:rFonts w:ascii="Myriad Pro SemiExt" w:hAnsi="Myriad Pro SemiExt"/>
      <w:b/>
      <w:bCs/>
      <w:sz w:val="16"/>
      <w:szCs w:val="20"/>
      <w:lang w:val="fr-FR" w:eastAsia="x-none"/>
    </w:rPr>
  </w:style>
  <w:style w:type="paragraph" w:styleId="Heading7">
    <w:name w:val="heading 7"/>
    <w:basedOn w:val="Normal"/>
    <w:next w:val="Normal"/>
    <w:link w:val="Heading7Char"/>
    <w:qFormat/>
    <w:pPr>
      <w:keepNext/>
      <w:spacing w:before="40" w:after="0" w:line="240" w:lineRule="auto"/>
      <w:ind w:left="57"/>
      <w:jc w:val="both"/>
      <w:outlineLvl w:val="6"/>
    </w:pPr>
    <w:rPr>
      <w:rFonts w:ascii="Myriad Pro Light" w:hAnsi="Myriad Pro Light"/>
      <w:b/>
      <w:bCs/>
      <w:sz w:val="16"/>
      <w:szCs w:val="20"/>
      <w:lang w:val="x-none" w:eastAsia="x-none"/>
    </w:rPr>
  </w:style>
  <w:style w:type="paragraph" w:styleId="Heading8">
    <w:name w:val="heading 8"/>
    <w:basedOn w:val="Normal"/>
    <w:next w:val="Normal"/>
    <w:link w:val="Heading8Char"/>
    <w:qFormat/>
    <w:pPr>
      <w:numPr>
        <w:numId w:val="16"/>
      </w:numPr>
      <w:spacing w:before="100" w:after="110" w:line="240" w:lineRule="auto"/>
      <w:jc w:val="both"/>
      <w:outlineLvl w:val="7"/>
    </w:pPr>
    <w:rPr>
      <w:rFonts w:ascii="Helvetica" w:hAnsi="Helvetica"/>
      <w:i/>
      <w:sz w:val="21"/>
      <w:szCs w:val="20"/>
      <w:lang w:val="fr-FR" w:eastAsia="x-none"/>
    </w:rPr>
  </w:style>
  <w:style w:type="paragraph" w:styleId="Heading9">
    <w:name w:val="heading 9"/>
    <w:basedOn w:val="Normal"/>
    <w:next w:val="Normal"/>
    <w:link w:val="Heading9Char"/>
    <w:qFormat/>
    <w:pPr>
      <w:spacing w:before="240" w:after="60" w:line="240" w:lineRule="auto"/>
      <w:jc w:val="both"/>
      <w:outlineLvl w:val="8"/>
    </w:pPr>
    <w:rPr>
      <w:rFonts w:ascii="Myriad Pro Light" w:hAnsi="Myriad Pro Light"/>
      <w:b/>
      <w:bCs/>
      <w:i/>
      <w:iCs/>
      <w:sz w:val="26"/>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36"/>
        <w:tab w:val="right" w:pos="9072"/>
      </w:tabs>
    </w:pPr>
    <w:rPr>
      <w:sz w:val="20"/>
      <w:szCs w:val="20"/>
      <w:lang w:val="x-none" w:eastAsia="x-none"/>
    </w:rPr>
  </w:style>
  <w:style w:type="character" w:customStyle="1" w:styleId="FooterChar">
    <w:name w:val="Footer Char"/>
    <w:link w:val="Footer"/>
    <w:uiPriority w:val="99"/>
    <w:rPr>
      <w:rFonts w:ascii="Calibri" w:eastAsia="Calibri" w:hAnsi="Calibri" w:cs="Times New Roman"/>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lang w:val="x-none" w:eastAsia="x-none"/>
    </w:rPr>
  </w:style>
  <w:style w:type="character" w:customStyle="1" w:styleId="CommentTextChar">
    <w:name w:val="Comment Text Char"/>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pPr>
      <w:spacing w:line="240" w:lineRule="auto"/>
    </w:pPr>
    <w:rPr>
      <w:b/>
      <w:bCs/>
    </w:rPr>
  </w:style>
  <w:style w:type="character" w:customStyle="1" w:styleId="CommentSubjectChar">
    <w:name w:val="Comment Subject Char"/>
    <w:link w:val="CommentSubject"/>
    <w:uiPriority w:val="99"/>
    <w:semiHidden/>
    <w:rPr>
      <w:rFonts w:ascii="Calibri" w:eastAsia="Calibri" w:hAnsi="Calibri" w:cs="Times New Roman"/>
      <w:b/>
      <w:bCs/>
      <w:sz w:val="20"/>
      <w:szCs w:val="20"/>
    </w:rPr>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p92TitleFigure">
    <w:name w:val="_p9_2_Title_Figure"/>
    <w:pPr>
      <w:keepNext/>
      <w:spacing w:before="200" w:after="100" w:line="276" w:lineRule="auto"/>
      <w:ind w:left="142"/>
    </w:pPr>
    <w:rPr>
      <w:rFonts w:ascii="Arial Narrow" w:eastAsia="Cambria" w:hAnsi="Arial Narrow" w:cs="Arial"/>
      <w:b/>
      <w:bCs/>
      <w:noProof/>
      <w:color w:val="C00000"/>
      <w:lang w:eastAsia="en-US"/>
    </w:rPr>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link w:val="Yo0H1Char"/>
    <w:pPr>
      <w:spacing w:after="300" w:line="300" w:lineRule="auto"/>
      <w:jc w:val="both"/>
    </w:pPr>
    <w:rPr>
      <w:rFonts w:ascii="Verdana" w:eastAsia="Calibri" w:hAnsi="Verdana" w:cs="MyriadPro-Bold"/>
      <w:bCs w:val="0"/>
      <w:color w:val="DB1E48"/>
      <w:kern w:val="0"/>
      <w:sz w:val="44"/>
      <w:szCs w:val="44"/>
      <w:lang w:val="en-US" w:eastAsia="fr-BE"/>
    </w:rPr>
  </w:style>
  <w:style w:type="character" w:customStyle="1" w:styleId="Heading1Char">
    <w:name w:val="Heading 1 Char"/>
    <w:link w:val="Heading1"/>
    <w:rPr>
      <w:rFonts w:ascii="Cambria" w:eastAsia="Times New Roman" w:hAnsi="Cambria" w:cs="Times New Roman"/>
      <w:b/>
      <w:bCs/>
      <w:kern w:val="32"/>
      <w:sz w:val="32"/>
      <w:szCs w:val="32"/>
      <w:lang w:val="en-GB" w:eastAsia="en-US"/>
    </w:rPr>
  </w:style>
  <w:style w:type="paragraph" w:customStyle="1" w:styleId="Yo0H2">
    <w:name w:val="_Yo_0_H2"/>
    <w:basedOn w:val="Heading2"/>
    <w:pPr>
      <w:spacing w:before="360" w:after="160" w:line="240" w:lineRule="auto"/>
      <w:jc w:val="both"/>
    </w:pPr>
    <w:rPr>
      <w:rFonts w:ascii="Arial Narrow" w:eastAsia="Calibri" w:hAnsi="Arial Narrow" w:cs="Arial"/>
      <w:b w:val="0"/>
      <w:i w:val="0"/>
      <w:iCs w:val="0"/>
      <w:caps/>
      <w:color w:val="DA1E48"/>
      <w:spacing w:val="10"/>
      <w:lang w:val="en-US"/>
    </w:rPr>
  </w:style>
  <w:style w:type="character" w:customStyle="1" w:styleId="Heading2Char">
    <w:name w:val="Heading 2 Char"/>
    <w:link w:val="Heading2"/>
    <w:rPr>
      <w:rFonts w:ascii="Cambria" w:eastAsia="Times New Roman" w:hAnsi="Cambria" w:cs="Times New Roman"/>
      <w:b/>
      <w:bCs/>
      <w:i/>
      <w:iCs/>
      <w:sz w:val="28"/>
      <w:szCs w:val="28"/>
      <w:lang w:val="en-GB" w:eastAsia="en-US"/>
    </w:rPr>
  </w:style>
  <w:style w:type="paragraph" w:customStyle="1" w:styleId="Yo0H3">
    <w:name w:val="_Yo_0_H3"/>
    <w:basedOn w:val="Heading3"/>
    <w:pPr>
      <w:spacing w:before="270" w:after="160" w:line="240" w:lineRule="auto"/>
      <w:jc w:val="both"/>
    </w:pPr>
    <w:rPr>
      <w:rFonts w:ascii="Calibri" w:eastAsia="Calibri" w:hAnsi="Calibri" w:cs="Calibri"/>
      <w:iCs/>
      <w:color w:val="C00000"/>
      <w:lang w:eastAsia="fr-BE"/>
    </w:rPr>
  </w:style>
  <w:style w:type="character" w:customStyle="1" w:styleId="Heading3Char">
    <w:name w:val="Heading 3 Char"/>
    <w:link w:val="Heading3"/>
    <w:rPr>
      <w:rFonts w:ascii="Cambria" w:eastAsia="Times New Roman" w:hAnsi="Cambria" w:cs="Times New Roman"/>
      <w:b/>
      <w:bCs/>
      <w:sz w:val="26"/>
      <w:szCs w:val="26"/>
      <w:lang w:val="en-GB" w:eastAsia="en-US"/>
    </w:rPr>
  </w:style>
  <w:style w:type="paragraph" w:customStyle="1" w:styleId="Yo0H4">
    <w:name w:val="_Yo_0_H4"/>
    <w:pPr>
      <w:suppressAutoHyphens/>
      <w:spacing w:before="240"/>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keepNext/>
      <w:tabs>
        <w:tab w:val="left" w:pos="993"/>
      </w:tabs>
      <w:suppressAutoHyphens/>
      <w:spacing w:before="120" w:after="120" w:line="300" w:lineRule="auto"/>
      <w:jc w:val="both"/>
    </w:pPr>
    <w:rPr>
      <w:rFonts w:ascii="Verdana" w:hAnsi="Verdana" w:cs="Arial"/>
      <w:b/>
      <w:noProof/>
      <w:sz w:val="18"/>
      <w:szCs w:val="18"/>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1"/>
      </w:numPr>
      <w:tabs>
        <w:tab w:val="clear" w:pos="4253"/>
        <w:tab w:val="left" w:pos="426"/>
      </w:tabs>
      <w:spacing w:before="120"/>
    </w:pPr>
    <w:rPr>
      <w:lang w:val="en-US"/>
    </w:rPr>
  </w:style>
  <w:style w:type="paragraph" w:customStyle="1" w:styleId="Yo11Textbulletlvl2">
    <w:name w:val="_Yo_11_Text_bullet_lvl_2"/>
    <w:basedOn w:val="Yo1Textpara"/>
    <w:pPr>
      <w:numPr>
        <w:numId w:val="2"/>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3"/>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5"/>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6"/>
      </w:numPr>
      <w:tabs>
        <w:tab w:val="clear" w:pos="4253"/>
        <w:tab w:val="left" w:pos="993"/>
      </w:tabs>
      <w:spacing w:before="120" w:after="120"/>
    </w:pPr>
    <w:rPr>
      <w:rFonts w:eastAsia="Times New Roman"/>
      <w:color w:val="1F497D"/>
      <w:lang w:val="fr-FR"/>
    </w:rPr>
  </w:style>
  <w:style w:type="paragraph" w:customStyle="1" w:styleId="Yo12Encart">
    <w:name w:val="_Yo_12_Encart"/>
    <w:qFormat/>
    <w:pPr>
      <w:framePr w:hSpace="180" w:wrap="around" w:vAnchor="text" w:hAnchor="margin" w:xAlign="right" w:y="675"/>
      <w:spacing w:before="60" w:after="60"/>
      <w:ind w:left="142" w:right="108"/>
      <w:suppressOverlap/>
      <w:jc w:val="both"/>
    </w:pPr>
    <w:rPr>
      <w:rFonts w:ascii="Arial Narrow" w:hAnsi="Arial Narrow"/>
      <w:sz w:val="18"/>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FootnoteSeparator">
    <w:name w:val="_Yo_4_Footnote_Separator"/>
    <w:qFormat/>
    <w:rPr>
      <w:color w:val="DA1E48"/>
      <w:sz w:val="22"/>
      <w:szCs w:val="22"/>
      <w:lang w:val="fr-BE"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sz w:val="16"/>
      <w:szCs w:val="16"/>
      <w:lang w:val="en-US" w:eastAsia="en-US"/>
    </w:rPr>
  </w:style>
  <w:style w:type="paragraph" w:customStyle="1" w:styleId="Yo5TextNotes">
    <w:name w:val="_Yo_5_Text_Notes"/>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6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pPr>
      <w:tabs>
        <w:tab w:val="center" w:pos="4536"/>
        <w:tab w:val="right" w:pos="9072"/>
      </w:tabs>
    </w:pPr>
  </w:style>
  <w:style w:type="character" w:customStyle="1" w:styleId="HeaderChar">
    <w:name w:val="Header Char"/>
    <w:link w:val="Header"/>
    <w:rPr>
      <w:sz w:val="22"/>
      <w:szCs w:val="22"/>
      <w:lang w:val="en-GB" w:eastAsia="en-US"/>
    </w:rPr>
  </w:style>
  <w:style w:type="character" w:customStyle="1" w:styleId="Heading4Char">
    <w:name w:val="Heading 4 Char"/>
    <w:link w:val="Heading4"/>
    <w:rPr>
      <w:rFonts w:ascii="Times New Roman" w:eastAsia="Times New Roman" w:hAnsi="Times New Roman"/>
      <w:bCs/>
      <w:sz w:val="24"/>
      <w:szCs w:val="28"/>
      <w:lang w:val="en-GB" w:eastAsia="x-none"/>
    </w:rPr>
  </w:style>
  <w:style w:type="character" w:customStyle="1" w:styleId="Heading5Char">
    <w:name w:val="Heading 5 Char"/>
    <w:link w:val="Heading5"/>
    <w:rPr>
      <w:rFonts w:ascii="Arial Narrow" w:hAnsi="Arial Narrow"/>
      <w:bCs/>
      <w:spacing w:val="8"/>
      <w:u w:val="single"/>
      <w:lang w:val="en-IE" w:eastAsia="x-none"/>
    </w:rPr>
  </w:style>
  <w:style w:type="character" w:customStyle="1" w:styleId="Heading6Char">
    <w:name w:val="Heading 6 Char"/>
    <w:link w:val="Heading6"/>
    <w:rPr>
      <w:rFonts w:ascii="Myriad Pro SemiExt" w:hAnsi="Myriad Pro SemiExt"/>
      <w:b/>
      <w:bCs/>
      <w:sz w:val="16"/>
      <w:lang w:val="fr-FR" w:eastAsia="x-none"/>
    </w:rPr>
  </w:style>
  <w:style w:type="character" w:customStyle="1" w:styleId="Heading7Char">
    <w:name w:val="Heading 7 Char"/>
    <w:link w:val="Heading7"/>
    <w:rPr>
      <w:rFonts w:ascii="Myriad Pro Light" w:hAnsi="Myriad Pro Light"/>
      <w:b/>
      <w:bCs/>
      <w:sz w:val="16"/>
      <w:lang w:val="x-none" w:eastAsia="x-none"/>
    </w:rPr>
  </w:style>
  <w:style w:type="character" w:customStyle="1" w:styleId="Heading8Char">
    <w:name w:val="Heading 8 Char"/>
    <w:link w:val="Heading8"/>
    <w:rPr>
      <w:rFonts w:ascii="Helvetica" w:hAnsi="Helvetica"/>
      <w:i/>
      <w:sz w:val="21"/>
      <w:lang w:val="fr-FR" w:eastAsia="x-none"/>
    </w:rPr>
  </w:style>
  <w:style w:type="character" w:customStyle="1" w:styleId="Heading9Char">
    <w:name w:val="Heading 9 Char"/>
    <w:link w:val="Heading9"/>
    <w:rPr>
      <w:rFonts w:ascii="Myriad Pro Light" w:hAnsi="Myriad Pro Light"/>
      <w:b/>
      <w:bCs/>
      <w:i/>
      <w:iCs/>
      <w:sz w:val="26"/>
      <w:lang w:val="en-GB" w:eastAsia="en-GB"/>
    </w:rPr>
  </w:style>
  <w:style w:type="paragraph" w:styleId="FootnoteText">
    <w:name w:val="footnote text"/>
    <w:basedOn w:val="Normal"/>
    <w:link w:val="FootnoteTextChar"/>
    <w:pPr>
      <w:spacing w:before="40" w:after="0" w:line="240" w:lineRule="auto"/>
      <w:ind w:left="720" w:hanging="720"/>
      <w:jc w:val="both"/>
    </w:pPr>
    <w:rPr>
      <w:rFonts w:ascii="Times New Roman" w:eastAsia="Times New Roman" w:hAnsi="Times New Roman"/>
      <w:sz w:val="20"/>
      <w:szCs w:val="20"/>
      <w:lang w:val="x-none" w:eastAsia="x-none"/>
    </w:rPr>
  </w:style>
  <w:style w:type="character" w:customStyle="1" w:styleId="FootnoteTextChar">
    <w:name w:val="Footnote Text Char"/>
    <w:link w:val="FootnoteText"/>
    <w:rPr>
      <w:rFonts w:ascii="Times New Roman" w:eastAsia="Times New Roman" w:hAnsi="Times New Roman"/>
      <w:lang w:val="x-none" w:eastAsia="x-none"/>
    </w:rPr>
  </w:style>
  <w:style w:type="character" w:styleId="FootnoteReference">
    <w:name w:val="footnote reference"/>
    <w:semiHidden/>
    <w:rPr>
      <w:shd w:val="clear" w:color="auto" w:fill="auto"/>
      <w:vertAlign w:val="superscript"/>
    </w:rPr>
  </w:style>
  <w:style w:type="character" w:styleId="Hyperlink">
    <w:name w:val="Hyperlink"/>
    <w:uiPriority w:val="99"/>
    <w:rPr>
      <w:rFonts w:cs="Times New Roman"/>
      <w:color w:val="0000FF"/>
      <w:u w:val="single"/>
      <w:shd w:val="clear" w:color="auto" w:fill="auto"/>
    </w:rPr>
  </w:style>
  <w:style w:type="character" w:styleId="Strong">
    <w:name w:val="Strong"/>
    <w:qFormat/>
    <w:rPr>
      <w:rFonts w:cs="Times New Roman"/>
      <w:b/>
      <w:bCs/>
    </w:rPr>
  </w:style>
  <w:style w:type="paragraph" w:customStyle="1" w:styleId="textepar">
    <w:name w:val="texte+par"/>
    <w:link w:val="texteparChar"/>
    <w:pPr>
      <w:spacing w:before="160" w:line="300" w:lineRule="auto"/>
      <w:jc w:val="both"/>
    </w:pPr>
    <w:rPr>
      <w:rFonts w:ascii="Verdana" w:eastAsia="Times New Roman" w:hAnsi="Verdana"/>
      <w:color w:val="632423"/>
      <w:sz w:val="22"/>
      <w:szCs w:val="22"/>
      <w:lang w:eastAsia="en-US"/>
    </w:rPr>
  </w:style>
  <w:style w:type="character" w:customStyle="1" w:styleId="texteparChar">
    <w:name w:val="texte+par Char"/>
    <w:link w:val="textepar"/>
    <w:rPr>
      <w:rFonts w:ascii="Verdana" w:eastAsia="Times New Roman" w:hAnsi="Verdana"/>
      <w:color w:val="632423"/>
      <w:sz w:val="22"/>
      <w:szCs w:val="22"/>
      <w:lang w:val="en-GB" w:eastAsia="en-US" w:bidi="ar-SA"/>
    </w:rPr>
  </w:style>
  <w:style w:type="paragraph" w:styleId="Caption">
    <w:name w:val="caption"/>
    <w:basedOn w:val="Normal"/>
    <w:next w:val="Normal"/>
    <w:link w:val="CaptionChar"/>
    <w:autoRedefine/>
    <w:uiPriority w:val="99"/>
    <w:qFormat/>
    <w:pPr>
      <w:keepNext/>
      <w:spacing w:before="40" w:after="0" w:line="240" w:lineRule="auto"/>
      <w:jc w:val="both"/>
    </w:pPr>
    <w:rPr>
      <w:rFonts w:ascii="Arial" w:hAnsi="Arial"/>
      <w:b/>
      <w:bCs/>
      <w:noProof/>
      <w:color w:val="FF0000"/>
      <w:sz w:val="18"/>
      <w:szCs w:val="20"/>
      <w:lang w:val="en-US" w:eastAsia="x-none"/>
    </w:rPr>
  </w:style>
  <w:style w:type="character" w:customStyle="1" w:styleId="CaptionChar">
    <w:name w:val="Caption Char"/>
    <w:link w:val="Caption"/>
    <w:uiPriority w:val="99"/>
    <w:locked/>
    <w:rPr>
      <w:rFonts w:ascii="Arial" w:hAnsi="Arial" w:cs="Arial"/>
      <w:b/>
      <w:bCs/>
      <w:noProof/>
      <w:color w:val="FF0000"/>
      <w:sz w:val="18"/>
      <w:lang w:val="en-US" w:eastAsia="x-none"/>
    </w:rPr>
  </w:style>
  <w:style w:type="paragraph" w:customStyle="1" w:styleId="texte8">
    <w:name w:val="texte8"/>
    <w:link w:val="texte8Char"/>
    <w:pPr>
      <w:widowControl w:val="0"/>
    </w:pPr>
    <w:rPr>
      <w:rFonts w:ascii="Arial" w:hAnsi="Arial"/>
      <w:color w:val="632423"/>
      <w:sz w:val="16"/>
      <w:szCs w:val="16"/>
      <w:lang w:val="fr-FR"/>
    </w:rPr>
  </w:style>
  <w:style w:type="character" w:customStyle="1" w:styleId="texte8Char">
    <w:name w:val="texte8 Char"/>
    <w:link w:val="texte8"/>
    <w:locked/>
    <w:rPr>
      <w:rFonts w:ascii="Arial" w:hAnsi="Arial"/>
      <w:color w:val="632423"/>
      <w:sz w:val="16"/>
      <w:szCs w:val="16"/>
      <w:lang w:val="fr-FR" w:eastAsia="en-GB" w:bidi="ar-SA"/>
    </w:rPr>
  </w:style>
  <w:style w:type="paragraph" w:customStyle="1" w:styleId="Source">
    <w:name w:val="Source"/>
    <w:basedOn w:val="Normal"/>
    <w:next w:val="Normal"/>
    <w:qFormat/>
    <w:pPr>
      <w:widowControl w:val="0"/>
      <w:spacing w:before="40" w:after="120" w:line="240" w:lineRule="auto"/>
      <w:contextualSpacing/>
      <w:jc w:val="both"/>
    </w:pPr>
    <w:rPr>
      <w:rFonts w:ascii="Arial" w:eastAsia="Times New Roman" w:hAnsi="Arial"/>
      <w:snapToGrid w:val="0"/>
      <w:sz w:val="16"/>
      <w:szCs w:val="16"/>
    </w:rPr>
  </w:style>
  <w:style w:type="paragraph" w:customStyle="1" w:styleId="texte83av3ap">
    <w:name w:val="texte8_3av_3ap"/>
    <w:basedOn w:val="Normal"/>
    <w:pPr>
      <w:widowControl w:val="0"/>
      <w:spacing w:before="60" w:after="60" w:line="240" w:lineRule="auto"/>
      <w:jc w:val="both"/>
    </w:pPr>
    <w:rPr>
      <w:rFonts w:ascii="Arial" w:eastAsia="Times New Roman" w:hAnsi="Arial" w:cs="Arial"/>
      <w:color w:val="632423"/>
      <w:sz w:val="16"/>
      <w:szCs w:val="16"/>
    </w:rPr>
  </w:style>
  <w:style w:type="paragraph" w:customStyle="1" w:styleId="texte83av">
    <w:name w:val="texte8_3av"/>
    <w:basedOn w:val="Normal"/>
    <w:pPr>
      <w:widowControl w:val="0"/>
      <w:spacing w:before="60" w:after="0" w:line="240" w:lineRule="auto"/>
      <w:jc w:val="both"/>
    </w:pPr>
    <w:rPr>
      <w:rFonts w:ascii="Arial" w:eastAsia="Times New Roman" w:hAnsi="Arial" w:cs="Arial"/>
      <w:sz w:val="16"/>
      <w:szCs w:val="16"/>
    </w:rPr>
  </w:style>
  <w:style w:type="character" w:customStyle="1" w:styleId="Heading1Char1">
    <w:name w:val="Heading 1 Char1"/>
    <w:uiPriority w:val="99"/>
    <w:rPr>
      <w:rFonts w:ascii="Times New Roman" w:eastAsia="Times New Roman" w:hAnsi="Times New Roman" w:cs="Times New Roman"/>
      <w:b/>
      <w:bCs/>
      <w:smallCaps/>
      <w:sz w:val="24"/>
      <w:szCs w:val="32"/>
      <w:lang w:val="en-GB"/>
    </w:rPr>
  </w:style>
  <w:style w:type="character" w:customStyle="1" w:styleId="Heading2Char1">
    <w:name w:val="Heading 2 Char1"/>
    <w:uiPriority w:val="99"/>
    <w:rPr>
      <w:rFonts w:ascii="Times New Roman" w:eastAsia="Times New Roman" w:hAnsi="Times New Roman" w:cs="Times New Roman"/>
      <w:b/>
      <w:bCs/>
      <w:iCs/>
      <w:sz w:val="24"/>
      <w:szCs w:val="28"/>
      <w:lang w:val="en-GB"/>
    </w:rPr>
  </w:style>
  <w:style w:type="character" w:customStyle="1" w:styleId="Heading3Char1">
    <w:name w:val="Heading 3 Char1"/>
    <w:uiPriority w:val="99"/>
    <w:rPr>
      <w:rFonts w:ascii="Times New Roman" w:eastAsia="Times New Roman" w:hAnsi="Times New Roman" w:cs="Times New Roman"/>
      <w:bCs/>
      <w:i/>
      <w:sz w:val="24"/>
      <w:szCs w:val="26"/>
      <w:lang w:val="en-GB"/>
    </w:rPr>
  </w:style>
  <w:style w:type="character" w:customStyle="1" w:styleId="Heading4Char1">
    <w:name w:val="Heading 4 Char1"/>
    <w:uiPriority w:val="99"/>
    <w:rPr>
      <w:rFonts w:ascii="Times New Roman" w:eastAsia="Times New Roman" w:hAnsi="Times New Roman" w:cs="Times New Roman"/>
      <w:bCs/>
      <w:sz w:val="24"/>
      <w:szCs w:val="28"/>
      <w:lang w:val="en-GB"/>
    </w:rPr>
  </w:style>
  <w:style w:type="paragraph" w:customStyle="1" w:styleId="Text1">
    <w:name w:val="Text 1"/>
    <w:basedOn w:val="Normal"/>
    <w:uiPriority w:val="99"/>
    <w:pPr>
      <w:spacing w:before="120" w:after="120" w:line="240" w:lineRule="auto"/>
      <w:ind w:left="850"/>
      <w:jc w:val="both"/>
    </w:pPr>
    <w:rPr>
      <w:rFonts w:ascii="Times New Roman" w:eastAsia="Times New Roman" w:hAnsi="Times New Roman"/>
      <w:sz w:val="24"/>
      <w:szCs w:val="24"/>
    </w:rPr>
  </w:style>
  <w:style w:type="character" w:customStyle="1" w:styleId="HeaderChar1">
    <w:name w:val="Header Char1"/>
    <w:rPr>
      <w:rFonts w:ascii="Times New Roman" w:eastAsia="Times New Roman" w:hAnsi="Times New Roman"/>
      <w:sz w:val="24"/>
      <w:szCs w:val="24"/>
      <w:lang w:eastAsia="x-none"/>
    </w:rPr>
  </w:style>
  <w:style w:type="character" w:customStyle="1" w:styleId="FooterChar1">
    <w:name w:val="Footer Char1"/>
    <w:uiPriority w:val="99"/>
    <w:rPr>
      <w:rFonts w:ascii="Times New Roman" w:eastAsia="Times New Roman" w:hAnsi="Times New Roman"/>
      <w:sz w:val="24"/>
      <w:szCs w:val="24"/>
      <w:lang w:eastAsia="x-none"/>
    </w:rPr>
  </w:style>
  <w:style w:type="character" w:customStyle="1" w:styleId="FootnoteTextChar1">
    <w:name w:val="Footnote Text Char1"/>
    <w:semiHidden/>
    <w:rPr>
      <w:rFonts w:ascii="Times New Roman" w:eastAsia="Times New Roman" w:hAnsi="Times New Roman" w:cs="Times New Roman"/>
      <w:sz w:val="20"/>
      <w:szCs w:val="20"/>
      <w:lang w:val="en-GB"/>
    </w:rPr>
  </w:style>
  <w:style w:type="paragraph" w:styleId="TOC1">
    <w:name w:val="toc 1"/>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2">
    <w:name w:val="toc 2"/>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3">
    <w:name w:val="toc 3"/>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4">
    <w:name w:val="toc 4"/>
    <w:basedOn w:val="Normal"/>
    <w:next w:val="Normal"/>
    <w:uiPriority w:val="39"/>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5">
    <w:name w:val="toc 5"/>
    <w:basedOn w:val="Normal"/>
    <w:next w:val="Normal"/>
    <w:uiPriority w:val="39"/>
    <w:pPr>
      <w:tabs>
        <w:tab w:val="right" w:leader="dot" w:pos="9071"/>
      </w:tabs>
      <w:spacing w:before="300" w:after="120" w:line="240" w:lineRule="auto"/>
      <w:jc w:val="both"/>
    </w:pPr>
    <w:rPr>
      <w:rFonts w:ascii="Times New Roman" w:eastAsia="Times New Roman" w:hAnsi="Times New Roman"/>
      <w:sz w:val="24"/>
      <w:szCs w:val="24"/>
    </w:rPr>
  </w:style>
  <w:style w:type="paragraph" w:styleId="TOC6">
    <w:name w:val="toc 6"/>
    <w:basedOn w:val="Normal"/>
    <w:next w:val="Normal"/>
    <w:uiPriority w:val="39"/>
    <w:pPr>
      <w:tabs>
        <w:tab w:val="right" w:leader="dot" w:pos="9071"/>
      </w:tabs>
      <w:spacing w:before="240" w:after="120" w:line="240" w:lineRule="auto"/>
      <w:jc w:val="both"/>
    </w:pPr>
    <w:rPr>
      <w:rFonts w:ascii="Times New Roman" w:eastAsia="Times New Roman" w:hAnsi="Times New Roman"/>
      <w:sz w:val="24"/>
      <w:szCs w:val="24"/>
    </w:rPr>
  </w:style>
  <w:style w:type="paragraph" w:styleId="TOC7">
    <w:name w:val="toc 7"/>
    <w:basedOn w:val="Normal"/>
    <w:next w:val="Normal"/>
    <w:uiPriority w:val="39"/>
    <w:pPr>
      <w:tabs>
        <w:tab w:val="right" w:leader="dot" w:pos="9071"/>
      </w:tabs>
      <w:spacing w:before="180" w:after="120" w:line="240" w:lineRule="auto"/>
      <w:jc w:val="both"/>
    </w:pPr>
    <w:rPr>
      <w:rFonts w:ascii="Times New Roman" w:eastAsia="Times New Roman" w:hAnsi="Times New Roman"/>
      <w:sz w:val="24"/>
      <w:szCs w:val="24"/>
    </w:rPr>
  </w:style>
  <w:style w:type="paragraph" w:styleId="TOC8">
    <w:name w:val="toc 8"/>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sz w:val="24"/>
      <w:szCs w:val="24"/>
    </w:rPr>
  </w:style>
  <w:style w:type="paragraph" w:customStyle="1" w:styleId="HeaderLandscape">
    <w:name w:val="HeaderLandscape"/>
    <w:basedOn w:val="Normal"/>
    <w:pPr>
      <w:tabs>
        <w:tab w:val="center" w:pos="7285"/>
        <w:tab w:val="right" w:pos="14003"/>
      </w:tabs>
      <w:spacing w:before="120" w:after="120" w:line="240" w:lineRule="auto"/>
      <w:jc w:val="both"/>
    </w:pPr>
    <w:rPr>
      <w:rFonts w:ascii="Times New Roman" w:eastAsia="Times New Roman" w:hAnsi="Times New Roman"/>
      <w:sz w:val="24"/>
      <w:szCs w:val="24"/>
    </w:rPr>
  </w:style>
  <w:style w:type="paragraph" w:customStyle="1" w:styleId="FooterLandscape">
    <w:name w:val="FooterLandscape"/>
    <w:basedOn w:val="Normal"/>
    <w:uiPriority w:val="99"/>
    <w:pPr>
      <w:tabs>
        <w:tab w:val="center" w:pos="7285"/>
        <w:tab w:val="center" w:pos="10913"/>
        <w:tab w:val="right" w:pos="15137"/>
      </w:tabs>
      <w:spacing w:before="360" w:after="0" w:line="240" w:lineRule="auto"/>
      <w:ind w:left="-567" w:right="-567"/>
      <w:jc w:val="both"/>
    </w:pPr>
    <w:rPr>
      <w:rFonts w:ascii="Times New Roman" w:eastAsia="Times New Roman" w:hAnsi="Times New Roman"/>
      <w:sz w:val="24"/>
      <w:szCs w:val="24"/>
    </w:rPr>
  </w:style>
  <w:style w:type="paragraph" w:customStyle="1" w:styleId="Text2">
    <w:name w:val="Text 2"/>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Text3">
    <w:name w:val="Text 3"/>
    <w:basedOn w:val="Normal"/>
    <w:uiPriority w:val="99"/>
    <w:pPr>
      <w:spacing w:before="120" w:after="120" w:line="240" w:lineRule="auto"/>
      <w:ind w:left="1984"/>
      <w:jc w:val="both"/>
    </w:pPr>
    <w:rPr>
      <w:rFonts w:ascii="Times New Roman" w:eastAsia="Times New Roman" w:hAnsi="Times New Roman"/>
      <w:sz w:val="24"/>
      <w:szCs w:val="24"/>
    </w:rPr>
  </w:style>
  <w:style w:type="paragraph" w:customStyle="1" w:styleId="Text4">
    <w:name w:val="Text 4"/>
    <w:basedOn w:val="Normal"/>
    <w:uiPriority w:val="99"/>
    <w:pPr>
      <w:spacing w:before="120" w:after="120" w:line="240" w:lineRule="auto"/>
      <w:ind w:left="2551"/>
      <w:jc w:val="both"/>
    </w:pPr>
    <w:rPr>
      <w:rFonts w:ascii="Times New Roman" w:eastAsia="Times New Roman" w:hAnsi="Times New Roman"/>
      <w:sz w:val="24"/>
      <w:szCs w:val="24"/>
    </w:rPr>
  </w:style>
  <w:style w:type="paragraph" w:customStyle="1" w:styleId="NormalCentered">
    <w:name w:val="Normal Centered"/>
    <w:basedOn w:val="Normal"/>
    <w:uiPriority w:val="99"/>
    <w:pPr>
      <w:spacing w:before="120" w:after="120" w:line="240" w:lineRule="auto"/>
      <w:jc w:val="center"/>
    </w:pPr>
    <w:rPr>
      <w:rFonts w:ascii="Times New Roman" w:eastAsia="Times New Roman" w:hAnsi="Times New Roman"/>
      <w:sz w:val="24"/>
      <w:szCs w:val="24"/>
    </w:rPr>
  </w:style>
  <w:style w:type="paragraph" w:customStyle="1" w:styleId="NormalLeft">
    <w:name w:val="Normal Left"/>
    <w:basedOn w:val="Normal"/>
    <w:uiPriority w:val="99"/>
    <w:pPr>
      <w:spacing w:before="120" w:after="120" w:line="240" w:lineRule="auto"/>
      <w:jc w:val="both"/>
    </w:pPr>
    <w:rPr>
      <w:rFonts w:ascii="Times New Roman" w:eastAsia="Times New Roman" w:hAnsi="Times New Roman"/>
      <w:sz w:val="24"/>
      <w:szCs w:val="24"/>
    </w:rPr>
  </w:style>
  <w:style w:type="paragraph" w:customStyle="1" w:styleId="NormalRight">
    <w:name w:val="Normal Right"/>
    <w:basedOn w:val="Normal"/>
    <w:uiPriority w:val="99"/>
    <w:pPr>
      <w:spacing w:before="120" w:after="120" w:line="240" w:lineRule="auto"/>
      <w:jc w:val="right"/>
    </w:pPr>
    <w:rPr>
      <w:rFonts w:ascii="Times New Roman" w:eastAsia="Times New Roman" w:hAnsi="Times New Roman"/>
      <w:sz w:val="24"/>
      <w:szCs w:val="24"/>
    </w:rPr>
  </w:style>
  <w:style w:type="paragraph" w:customStyle="1" w:styleId="QuotedText">
    <w:name w:val="Quoted Text"/>
    <w:basedOn w:val="Normal"/>
    <w:uiPriority w:val="99"/>
    <w:pPr>
      <w:spacing w:before="120" w:after="120" w:line="240" w:lineRule="auto"/>
      <w:ind w:left="1417"/>
      <w:jc w:val="both"/>
    </w:pPr>
    <w:rPr>
      <w:rFonts w:ascii="Times New Roman" w:eastAsia="Times New Roman" w:hAnsi="Times New Roman"/>
      <w:sz w:val="24"/>
      <w:szCs w:val="24"/>
    </w:rPr>
  </w:style>
  <w:style w:type="paragraph" w:customStyle="1" w:styleId="Point0">
    <w:name w:val="Point 0"/>
    <w:basedOn w:val="Normal"/>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Point1">
    <w:name w:val="Point 1"/>
    <w:basedOn w:val="Normal"/>
    <w:pPr>
      <w:spacing w:before="120" w:after="120" w:line="240" w:lineRule="auto"/>
      <w:ind w:left="1417" w:hanging="567"/>
      <w:jc w:val="both"/>
    </w:pPr>
    <w:rPr>
      <w:rFonts w:ascii="Times New Roman" w:eastAsia="Times New Roman" w:hAnsi="Times New Roman"/>
      <w:sz w:val="24"/>
      <w:szCs w:val="24"/>
    </w:rPr>
  </w:style>
  <w:style w:type="paragraph" w:customStyle="1" w:styleId="Point2">
    <w:name w:val="Point 2"/>
    <w:basedOn w:val="Normal"/>
    <w:uiPriority w:val="99"/>
    <w:pPr>
      <w:spacing w:before="120" w:after="120" w:line="240" w:lineRule="auto"/>
      <w:ind w:left="1984" w:hanging="567"/>
      <w:jc w:val="both"/>
    </w:pPr>
    <w:rPr>
      <w:rFonts w:ascii="Times New Roman" w:eastAsia="Times New Roman" w:hAnsi="Times New Roman"/>
      <w:sz w:val="24"/>
      <w:szCs w:val="24"/>
    </w:rPr>
  </w:style>
  <w:style w:type="paragraph" w:customStyle="1" w:styleId="Point3">
    <w:name w:val="Point 3"/>
    <w:basedOn w:val="Normal"/>
    <w:uiPriority w:val="99"/>
    <w:pPr>
      <w:spacing w:before="120" w:after="120" w:line="240" w:lineRule="auto"/>
      <w:ind w:left="2551" w:hanging="567"/>
      <w:jc w:val="both"/>
    </w:pPr>
    <w:rPr>
      <w:rFonts w:ascii="Times New Roman" w:eastAsia="Times New Roman" w:hAnsi="Times New Roman"/>
      <w:sz w:val="24"/>
      <w:szCs w:val="24"/>
    </w:rPr>
  </w:style>
  <w:style w:type="paragraph" w:customStyle="1" w:styleId="Point4">
    <w:name w:val="Point 4"/>
    <w:basedOn w:val="Normal"/>
    <w:uiPriority w:val="99"/>
    <w:pPr>
      <w:spacing w:before="120" w:after="120" w:line="240" w:lineRule="auto"/>
      <w:ind w:left="3118" w:hanging="567"/>
      <w:jc w:val="both"/>
    </w:pPr>
    <w:rPr>
      <w:rFonts w:ascii="Times New Roman" w:eastAsia="Times New Roman" w:hAnsi="Times New Roman"/>
      <w:sz w:val="24"/>
      <w:szCs w:val="24"/>
    </w:rPr>
  </w:style>
  <w:style w:type="paragraph" w:customStyle="1" w:styleId="Tiret0">
    <w:name w:val="Tiret 0"/>
    <w:basedOn w:val="Point0"/>
    <w:pPr>
      <w:numPr>
        <w:numId w:val="19"/>
      </w:numPr>
    </w:pPr>
  </w:style>
  <w:style w:type="paragraph" w:customStyle="1" w:styleId="Tiret1">
    <w:name w:val="Tiret 1"/>
    <w:basedOn w:val="Point1"/>
    <w:pPr>
      <w:numPr>
        <w:numId w:val="20"/>
      </w:numPr>
    </w:pPr>
  </w:style>
  <w:style w:type="paragraph" w:customStyle="1" w:styleId="Tiret2">
    <w:name w:val="Tiret 2"/>
    <w:basedOn w:val="Point2"/>
    <w:pPr>
      <w:numPr>
        <w:numId w:val="21"/>
      </w:numPr>
    </w:pPr>
  </w:style>
  <w:style w:type="paragraph" w:customStyle="1" w:styleId="Tiret3">
    <w:name w:val="Tiret 3"/>
    <w:basedOn w:val="Point3"/>
    <w:pPr>
      <w:numPr>
        <w:numId w:val="22"/>
      </w:numPr>
    </w:pPr>
  </w:style>
  <w:style w:type="paragraph" w:customStyle="1" w:styleId="Tiret4">
    <w:name w:val="Tiret 4"/>
    <w:basedOn w:val="Point4"/>
    <w:pPr>
      <w:numPr>
        <w:numId w:val="23"/>
      </w:numPr>
    </w:pPr>
  </w:style>
  <w:style w:type="paragraph" w:customStyle="1" w:styleId="PointDouble0">
    <w:name w:val="PointDouble 0"/>
    <w:basedOn w:val="Normal"/>
    <w:uiPriority w:val="99"/>
    <w:pPr>
      <w:tabs>
        <w:tab w:val="left" w:pos="850"/>
      </w:tabs>
      <w:spacing w:before="120" w:after="120" w:line="240" w:lineRule="auto"/>
      <w:ind w:left="1417" w:hanging="1417"/>
      <w:jc w:val="both"/>
    </w:pPr>
    <w:rPr>
      <w:rFonts w:ascii="Times New Roman" w:eastAsia="Times New Roman" w:hAnsi="Times New Roman"/>
      <w:sz w:val="24"/>
      <w:szCs w:val="24"/>
    </w:rPr>
  </w:style>
  <w:style w:type="paragraph" w:customStyle="1" w:styleId="PointDouble1">
    <w:name w:val="PointDouble 1"/>
    <w:basedOn w:val="Normal"/>
    <w:uiPriority w:val="99"/>
    <w:pPr>
      <w:tabs>
        <w:tab w:val="left" w:pos="1417"/>
      </w:tabs>
      <w:spacing w:before="120" w:after="120" w:line="240" w:lineRule="auto"/>
      <w:ind w:left="1984" w:hanging="1134"/>
      <w:jc w:val="both"/>
    </w:pPr>
    <w:rPr>
      <w:rFonts w:ascii="Times New Roman" w:eastAsia="Times New Roman" w:hAnsi="Times New Roman"/>
      <w:sz w:val="24"/>
      <w:szCs w:val="24"/>
    </w:rPr>
  </w:style>
  <w:style w:type="paragraph" w:customStyle="1" w:styleId="PointDouble2">
    <w:name w:val="PointDouble 2"/>
    <w:basedOn w:val="Normal"/>
    <w:uiPriority w:val="99"/>
    <w:pPr>
      <w:tabs>
        <w:tab w:val="left" w:pos="1984"/>
      </w:tabs>
      <w:spacing w:before="120" w:after="120" w:line="240" w:lineRule="auto"/>
      <w:ind w:left="2551" w:hanging="1134"/>
      <w:jc w:val="both"/>
    </w:pPr>
    <w:rPr>
      <w:rFonts w:ascii="Times New Roman" w:eastAsia="Times New Roman" w:hAnsi="Times New Roman"/>
      <w:sz w:val="24"/>
      <w:szCs w:val="24"/>
    </w:rPr>
  </w:style>
  <w:style w:type="paragraph" w:customStyle="1" w:styleId="PointDouble3">
    <w:name w:val="PointDouble 3"/>
    <w:basedOn w:val="Normal"/>
    <w:uiPriority w:val="99"/>
    <w:pPr>
      <w:tabs>
        <w:tab w:val="left" w:pos="2551"/>
      </w:tabs>
      <w:spacing w:before="120" w:after="120" w:line="240" w:lineRule="auto"/>
      <w:ind w:left="3118" w:hanging="1134"/>
      <w:jc w:val="both"/>
    </w:pPr>
    <w:rPr>
      <w:rFonts w:ascii="Times New Roman" w:eastAsia="Times New Roman" w:hAnsi="Times New Roman"/>
      <w:sz w:val="24"/>
      <w:szCs w:val="24"/>
    </w:rPr>
  </w:style>
  <w:style w:type="paragraph" w:customStyle="1" w:styleId="PointDouble4">
    <w:name w:val="PointDouble 4"/>
    <w:basedOn w:val="Normal"/>
    <w:uiPriority w:val="99"/>
    <w:pPr>
      <w:tabs>
        <w:tab w:val="left" w:pos="3118"/>
      </w:tabs>
      <w:spacing w:before="120" w:after="120" w:line="240" w:lineRule="auto"/>
      <w:ind w:left="3685" w:hanging="1134"/>
      <w:jc w:val="both"/>
    </w:pPr>
    <w:rPr>
      <w:rFonts w:ascii="Times New Roman" w:eastAsia="Times New Roman" w:hAnsi="Times New Roman"/>
      <w:sz w:val="24"/>
      <w:szCs w:val="24"/>
    </w:rPr>
  </w:style>
  <w:style w:type="paragraph" w:customStyle="1" w:styleId="PointTriple0">
    <w:name w:val="PointTriple 0"/>
    <w:basedOn w:val="Normal"/>
    <w:uiPriority w:val="99"/>
    <w:pPr>
      <w:tabs>
        <w:tab w:val="left" w:pos="850"/>
        <w:tab w:val="left" w:pos="1417"/>
      </w:tabs>
      <w:spacing w:before="120" w:after="120" w:line="240" w:lineRule="auto"/>
      <w:ind w:left="1984" w:hanging="1984"/>
      <w:jc w:val="both"/>
    </w:pPr>
    <w:rPr>
      <w:rFonts w:ascii="Times New Roman" w:eastAsia="Times New Roman" w:hAnsi="Times New Roman"/>
      <w:sz w:val="24"/>
      <w:szCs w:val="24"/>
    </w:rPr>
  </w:style>
  <w:style w:type="paragraph" w:customStyle="1" w:styleId="PointTriple1">
    <w:name w:val="PointTriple 1"/>
    <w:basedOn w:val="Normal"/>
    <w:uiPriority w:val="99"/>
    <w:pPr>
      <w:tabs>
        <w:tab w:val="left" w:pos="1417"/>
        <w:tab w:val="left" w:pos="1984"/>
      </w:tabs>
      <w:spacing w:before="120" w:after="120" w:line="240" w:lineRule="auto"/>
      <w:ind w:left="2551" w:hanging="1701"/>
      <w:jc w:val="both"/>
    </w:pPr>
    <w:rPr>
      <w:rFonts w:ascii="Times New Roman" w:eastAsia="Times New Roman" w:hAnsi="Times New Roman"/>
      <w:sz w:val="24"/>
      <w:szCs w:val="24"/>
    </w:rPr>
  </w:style>
  <w:style w:type="paragraph" w:customStyle="1" w:styleId="PointTriple2">
    <w:name w:val="PointTriple 2"/>
    <w:basedOn w:val="Normal"/>
    <w:uiPriority w:val="99"/>
    <w:pPr>
      <w:tabs>
        <w:tab w:val="left" w:pos="1984"/>
        <w:tab w:val="left" w:pos="2551"/>
      </w:tabs>
      <w:spacing w:before="120" w:after="120" w:line="240" w:lineRule="auto"/>
      <w:ind w:left="3118" w:hanging="1701"/>
      <w:jc w:val="both"/>
    </w:pPr>
    <w:rPr>
      <w:rFonts w:ascii="Times New Roman" w:eastAsia="Times New Roman" w:hAnsi="Times New Roman"/>
      <w:sz w:val="24"/>
      <w:szCs w:val="24"/>
    </w:rPr>
  </w:style>
  <w:style w:type="paragraph" w:customStyle="1" w:styleId="PointTriple3">
    <w:name w:val="PointTriple 3"/>
    <w:basedOn w:val="Normal"/>
    <w:uiPriority w:val="99"/>
    <w:pPr>
      <w:tabs>
        <w:tab w:val="left" w:pos="2551"/>
        <w:tab w:val="left" w:pos="3118"/>
      </w:tabs>
      <w:spacing w:before="120" w:after="120" w:line="240" w:lineRule="auto"/>
      <w:ind w:left="3685" w:hanging="1701"/>
      <w:jc w:val="both"/>
    </w:pPr>
    <w:rPr>
      <w:rFonts w:ascii="Times New Roman" w:eastAsia="Times New Roman" w:hAnsi="Times New Roman"/>
      <w:sz w:val="24"/>
      <w:szCs w:val="24"/>
    </w:rPr>
  </w:style>
  <w:style w:type="paragraph" w:customStyle="1" w:styleId="PointTriple4">
    <w:name w:val="PointTriple 4"/>
    <w:basedOn w:val="Normal"/>
    <w:uiPriority w:val="99"/>
    <w:pPr>
      <w:tabs>
        <w:tab w:val="left" w:pos="3118"/>
        <w:tab w:val="left" w:pos="3685"/>
      </w:tabs>
      <w:spacing w:before="120" w:after="120" w:line="240" w:lineRule="auto"/>
      <w:ind w:left="4252" w:hanging="1701"/>
      <w:jc w:val="both"/>
    </w:pPr>
    <w:rPr>
      <w:rFonts w:ascii="Times New Roman" w:eastAsia="Times New Roman" w:hAnsi="Times New Roman"/>
      <w:sz w:val="24"/>
      <w:szCs w:val="24"/>
    </w:rPr>
  </w:style>
  <w:style w:type="paragraph" w:customStyle="1" w:styleId="NumPar1">
    <w:name w:val="NumPar 1"/>
    <w:basedOn w:val="Normal"/>
    <w:next w:val="Text1"/>
    <w:pPr>
      <w:numPr>
        <w:numId w:val="24"/>
      </w:numPr>
      <w:spacing w:before="120" w:after="120" w:line="240" w:lineRule="auto"/>
      <w:jc w:val="both"/>
    </w:pPr>
    <w:rPr>
      <w:rFonts w:ascii="Times New Roman" w:eastAsia="Times New Roman" w:hAnsi="Times New Roman"/>
      <w:sz w:val="24"/>
      <w:szCs w:val="24"/>
    </w:rPr>
  </w:style>
  <w:style w:type="paragraph" w:customStyle="1" w:styleId="NumPar2">
    <w:name w:val="NumPar 2"/>
    <w:basedOn w:val="Normal"/>
    <w:next w:val="Text1"/>
    <w:pPr>
      <w:numPr>
        <w:ilvl w:val="1"/>
        <w:numId w:val="24"/>
      </w:numPr>
      <w:spacing w:before="120" w:after="120" w:line="240" w:lineRule="auto"/>
      <w:jc w:val="both"/>
    </w:pPr>
    <w:rPr>
      <w:rFonts w:ascii="Times New Roman" w:eastAsia="Times New Roman" w:hAnsi="Times New Roman"/>
      <w:sz w:val="24"/>
      <w:szCs w:val="24"/>
    </w:rPr>
  </w:style>
  <w:style w:type="paragraph" w:customStyle="1" w:styleId="NumPar3">
    <w:name w:val="NumPar 3"/>
    <w:basedOn w:val="Normal"/>
    <w:next w:val="Text1"/>
    <w:pPr>
      <w:numPr>
        <w:ilvl w:val="2"/>
        <w:numId w:val="24"/>
      </w:numPr>
      <w:spacing w:before="120" w:after="120" w:line="240" w:lineRule="auto"/>
      <w:jc w:val="both"/>
    </w:pPr>
    <w:rPr>
      <w:rFonts w:ascii="Times New Roman" w:eastAsia="Times New Roman" w:hAnsi="Times New Roman"/>
      <w:sz w:val="24"/>
      <w:szCs w:val="24"/>
    </w:rPr>
  </w:style>
  <w:style w:type="paragraph" w:customStyle="1" w:styleId="NumPar4">
    <w:name w:val="NumPar 4"/>
    <w:basedOn w:val="Normal"/>
    <w:next w:val="Text1"/>
    <w:pPr>
      <w:numPr>
        <w:ilvl w:val="3"/>
        <w:numId w:val="24"/>
      </w:numPr>
      <w:spacing w:before="120" w:after="120" w:line="240" w:lineRule="auto"/>
      <w:jc w:val="both"/>
    </w:pPr>
    <w:rPr>
      <w:rFonts w:ascii="Times New Roman" w:eastAsia="Times New Roman" w:hAnsi="Times New Roman"/>
      <w:sz w:val="24"/>
      <w:szCs w:val="24"/>
    </w:rPr>
  </w:style>
  <w:style w:type="paragraph" w:customStyle="1" w:styleId="ManualNumPar1">
    <w:name w:val="Manual NumPar 1"/>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2">
    <w:name w:val="Manual NumPar 2"/>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3">
    <w:name w:val="Manual NumPar 3"/>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ManualNumPar4">
    <w:name w:val="Manual NumPar 4"/>
    <w:basedOn w:val="Normal"/>
    <w:next w:val="Text1"/>
    <w:uiPriority w:val="99"/>
    <w:pPr>
      <w:spacing w:before="120" w:after="120" w:line="240" w:lineRule="auto"/>
      <w:ind w:left="850" w:hanging="850"/>
      <w:jc w:val="both"/>
    </w:pPr>
    <w:rPr>
      <w:rFonts w:ascii="Times New Roman" w:eastAsia="Times New Roman" w:hAnsi="Times New Roman"/>
      <w:sz w:val="24"/>
      <w:szCs w:val="24"/>
    </w:rPr>
  </w:style>
  <w:style w:type="paragraph" w:customStyle="1" w:styleId="QuotedNumPar">
    <w:name w:val="Quoted NumPar"/>
    <w:basedOn w:val="Normal"/>
    <w:uiPriority w:val="99"/>
    <w:pPr>
      <w:spacing w:before="120" w:after="120" w:line="240" w:lineRule="auto"/>
      <w:ind w:left="1417" w:hanging="567"/>
      <w:jc w:val="both"/>
    </w:pPr>
    <w:rPr>
      <w:rFonts w:ascii="Times New Roman" w:eastAsia="Times New Roman" w:hAnsi="Times New Roman"/>
      <w:sz w:val="24"/>
      <w:szCs w:val="24"/>
    </w:rPr>
  </w:style>
  <w:style w:type="paragraph" w:customStyle="1" w:styleId="ManualHeading1">
    <w:name w:val="Manual Heading 1"/>
    <w:basedOn w:val="Normal"/>
    <w:next w:val="Text1"/>
    <w:uiPriority w:val="99"/>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rPr>
  </w:style>
  <w:style w:type="paragraph" w:customStyle="1" w:styleId="ManualHeading2">
    <w:name w:val="Manual Heading 2"/>
    <w:basedOn w:val="Normal"/>
    <w:next w:val="Text1"/>
    <w:uiPriority w:val="99"/>
    <w:pPr>
      <w:keepNext/>
      <w:tabs>
        <w:tab w:val="left" w:pos="850"/>
      </w:tabs>
      <w:spacing w:before="120" w:after="120" w:line="240" w:lineRule="auto"/>
      <w:ind w:left="850" w:hanging="850"/>
      <w:jc w:val="both"/>
      <w:outlineLvl w:val="1"/>
    </w:pPr>
    <w:rPr>
      <w:rFonts w:ascii="Times New Roman" w:eastAsia="Times New Roman" w:hAnsi="Times New Roman"/>
      <w:b/>
      <w:sz w:val="24"/>
      <w:szCs w:val="24"/>
    </w:rPr>
  </w:style>
  <w:style w:type="paragraph" w:customStyle="1" w:styleId="ManualHeading3">
    <w:name w:val="Manual Heading 3"/>
    <w:basedOn w:val="Normal"/>
    <w:next w:val="Text1"/>
    <w:uiPriority w:val="99"/>
    <w:pPr>
      <w:keepNext/>
      <w:tabs>
        <w:tab w:val="left" w:pos="850"/>
      </w:tabs>
      <w:spacing w:before="120" w:after="120" w:line="240" w:lineRule="auto"/>
      <w:ind w:left="850" w:hanging="850"/>
      <w:jc w:val="both"/>
      <w:outlineLvl w:val="2"/>
    </w:pPr>
    <w:rPr>
      <w:rFonts w:ascii="Times New Roman" w:eastAsia="Times New Roman" w:hAnsi="Times New Roman"/>
      <w:i/>
      <w:sz w:val="24"/>
      <w:szCs w:val="24"/>
    </w:rPr>
  </w:style>
  <w:style w:type="paragraph" w:customStyle="1" w:styleId="ManualHeading4">
    <w:name w:val="Manual Heading 4"/>
    <w:basedOn w:val="Normal"/>
    <w:next w:val="Text1"/>
    <w:uiPriority w:val="99"/>
    <w:pPr>
      <w:keepNext/>
      <w:tabs>
        <w:tab w:val="left" w:pos="850"/>
      </w:tabs>
      <w:spacing w:before="120" w:after="120" w:line="240" w:lineRule="auto"/>
      <w:ind w:left="850" w:hanging="850"/>
      <w:jc w:val="both"/>
      <w:outlineLvl w:val="3"/>
    </w:pPr>
    <w:rPr>
      <w:rFonts w:ascii="Times New Roman" w:eastAsia="Times New Roman" w:hAnsi="Times New Roman"/>
      <w:sz w:val="24"/>
      <w:szCs w:val="24"/>
    </w:rPr>
  </w:style>
  <w:style w:type="paragraph" w:customStyle="1" w:styleId="ChapterTitle">
    <w:name w:val="ChapterTitle"/>
    <w:basedOn w:val="Normal"/>
    <w:next w:val="Normal"/>
    <w:uiPriority w:val="99"/>
    <w:pPr>
      <w:keepNext/>
      <w:spacing w:before="120" w:after="360" w:line="240" w:lineRule="auto"/>
      <w:jc w:val="center"/>
    </w:pPr>
    <w:rPr>
      <w:rFonts w:ascii="Times New Roman" w:eastAsia="Times New Roman" w:hAnsi="Times New Roman"/>
      <w:b/>
      <w:sz w:val="32"/>
      <w:szCs w:val="24"/>
    </w:rPr>
  </w:style>
  <w:style w:type="paragraph" w:customStyle="1" w:styleId="PartTitle">
    <w:name w:val="PartTitle"/>
    <w:basedOn w:val="Normal"/>
    <w:next w:val="ChapterTitle"/>
    <w:uiPriority w:val="99"/>
    <w:pPr>
      <w:keepNext/>
      <w:pageBreakBefore/>
      <w:spacing w:before="120" w:after="360" w:line="240" w:lineRule="auto"/>
      <w:jc w:val="center"/>
    </w:pPr>
    <w:rPr>
      <w:rFonts w:ascii="Times New Roman" w:eastAsia="Times New Roman" w:hAnsi="Times New Roman"/>
      <w:b/>
      <w:sz w:val="36"/>
      <w:szCs w:val="24"/>
    </w:rPr>
  </w:style>
  <w:style w:type="paragraph" w:customStyle="1" w:styleId="SectionTitle">
    <w:name w:val="SectionTitle"/>
    <w:basedOn w:val="Normal"/>
    <w:next w:val="Heading1"/>
    <w:uiPriority w:val="99"/>
    <w:pPr>
      <w:keepNext/>
      <w:spacing w:before="120" w:after="360" w:line="240" w:lineRule="auto"/>
      <w:jc w:val="center"/>
    </w:pPr>
    <w:rPr>
      <w:rFonts w:ascii="Times New Roman" w:eastAsia="Times New Roman" w:hAnsi="Times New Roman"/>
      <w:b/>
      <w:smallCaps/>
      <w:sz w:val="28"/>
      <w:szCs w:val="24"/>
    </w:rPr>
  </w:style>
  <w:style w:type="paragraph" w:customStyle="1" w:styleId="TableTitle">
    <w:name w:val="Table Title"/>
    <w:basedOn w:val="Normal"/>
    <w:next w:val="Normal"/>
    <w:uiPriority w:val="99"/>
    <w:pPr>
      <w:spacing w:before="120" w:after="120" w:line="240" w:lineRule="auto"/>
      <w:jc w:val="center"/>
    </w:pPr>
    <w:rPr>
      <w:rFonts w:ascii="Times New Roman" w:eastAsia="Times New Roman" w:hAnsi="Times New Roman"/>
      <w:b/>
      <w:sz w:val="24"/>
      <w:szCs w:val="24"/>
    </w:rPr>
  </w:style>
  <w:style w:type="character" w:customStyle="1" w:styleId="Marker">
    <w:name w:val="Marker"/>
    <w:uiPriority w:val="99"/>
    <w:rPr>
      <w:rFonts w:cs="Times New Roman"/>
      <w:color w:val="0000FF"/>
      <w:shd w:val="clear" w:color="auto" w:fill="auto"/>
    </w:rPr>
  </w:style>
  <w:style w:type="character" w:customStyle="1" w:styleId="Marker1">
    <w:name w:val="Marker1"/>
    <w:uiPriority w:val="99"/>
    <w:rPr>
      <w:rFonts w:cs="Times New Roman"/>
      <w:color w:val="008000"/>
      <w:shd w:val="clear" w:color="auto" w:fill="auto"/>
    </w:rPr>
  </w:style>
  <w:style w:type="character" w:customStyle="1" w:styleId="Marker2">
    <w:name w:val="Marker2"/>
    <w:uiPriority w:val="99"/>
    <w:rPr>
      <w:rFonts w:cs="Times New Roman"/>
      <w:color w:val="FF0000"/>
      <w:shd w:val="clear" w:color="auto" w:fill="auto"/>
    </w:rPr>
  </w:style>
  <w:style w:type="paragraph" w:customStyle="1" w:styleId="Titolosommario">
    <w:name w:val="Titolo sommario"/>
    <w:basedOn w:val="Normal"/>
    <w:next w:val="Normal"/>
    <w:link w:val="TitolosommarioCarattere"/>
    <w:uiPriority w:val="39"/>
    <w:qFormat/>
    <w:pPr>
      <w:spacing w:before="120" w:after="240" w:line="240" w:lineRule="auto"/>
      <w:jc w:val="center"/>
    </w:pPr>
    <w:rPr>
      <w:rFonts w:ascii="Times New Roman" w:eastAsia="Times New Roman" w:hAnsi="Times New Roman"/>
      <w:b/>
      <w:sz w:val="28"/>
      <w:szCs w:val="24"/>
      <w:lang w:val="x-none"/>
    </w:rPr>
  </w:style>
  <w:style w:type="paragraph" w:customStyle="1" w:styleId="Point0number">
    <w:name w:val="Point 0 (number)"/>
    <w:basedOn w:val="Normal"/>
    <w:pPr>
      <w:numPr>
        <w:numId w:val="25"/>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25"/>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25"/>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25"/>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25"/>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25"/>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25"/>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25"/>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25"/>
      </w:numPr>
      <w:spacing w:before="120" w:after="120" w:line="240" w:lineRule="auto"/>
      <w:jc w:val="both"/>
    </w:pPr>
    <w:rPr>
      <w:rFonts w:ascii="Times New Roman" w:eastAsia="Times New Roman" w:hAnsi="Times New Roman"/>
      <w:sz w:val="24"/>
      <w:szCs w:val="24"/>
    </w:rPr>
  </w:style>
  <w:style w:type="paragraph" w:customStyle="1" w:styleId="Bullet0">
    <w:name w:val="Bullet 0"/>
    <w:basedOn w:val="Normal"/>
    <w:pPr>
      <w:numPr>
        <w:numId w:val="26"/>
      </w:numPr>
      <w:spacing w:before="120" w:after="120" w:line="240" w:lineRule="auto"/>
      <w:jc w:val="both"/>
    </w:pPr>
    <w:rPr>
      <w:rFonts w:ascii="Times New Roman" w:eastAsia="Times New Roman" w:hAnsi="Times New Roman"/>
      <w:sz w:val="24"/>
      <w:szCs w:val="24"/>
    </w:rPr>
  </w:style>
  <w:style w:type="paragraph" w:customStyle="1" w:styleId="Bullet1">
    <w:name w:val="Bullet 1"/>
    <w:basedOn w:val="Normal"/>
    <w:pPr>
      <w:numPr>
        <w:numId w:val="27"/>
      </w:numPr>
      <w:spacing w:before="120" w:after="120" w:line="240" w:lineRule="auto"/>
      <w:jc w:val="both"/>
    </w:pPr>
    <w:rPr>
      <w:rFonts w:ascii="Times New Roman" w:eastAsia="Times New Roman" w:hAnsi="Times New Roman"/>
      <w:sz w:val="24"/>
      <w:szCs w:val="24"/>
    </w:rPr>
  </w:style>
  <w:style w:type="paragraph" w:customStyle="1" w:styleId="Bullet2">
    <w:name w:val="Bullet 2"/>
    <w:basedOn w:val="Normal"/>
    <w:pPr>
      <w:numPr>
        <w:numId w:val="28"/>
      </w:numPr>
      <w:spacing w:before="120" w:after="120" w:line="240" w:lineRule="auto"/>
      <w:jc w:val="both"/>
    </w:pPr>
    <w:rPr>
      <w:rFonts w:ascii="Times New Roman" w:eastAsia="Times New Roman" w:hAnsi="Times New Roman"/>
      <w:sz w:val="24"/>
      <w:szCs w:val="24"/>
    </w:rPr>
  </w:style>
  <w:style w:type="paragraph" w:customStyle="1" w:styleId="Bullet3">
    <w:name w:val="Bullet 3"/>
    <w:basedOn w:val="Normal"/>
    <w:pPr>
      <w:numPr>
        <w:numId w:val="29"/>
      </w:numPr>
      <w:spacing w:before="120" w:after="120" w:line="240" w:lineRule="auto"/>
      <w:jc w:val="both"/>
    </w:pPr>
    <w:rPr>
      <w:rFonts w:ascii="Times New Roman" w:eastAsia="Times New Roman" w:hAnsi="Times New Roman"/>
      <w:sz w:val="24"/>
      <w:szCs w:val="24"/>
    </w:rPr>
  </w:style>
  <w:style w:type="paragraph" w:customStyle="1" w:styleId="Bullet4">
    <w:name w:val="Bullet 4"/>
    <w:basedOn w:val="Normal"/>
    <w:pPr>
      <w:numPr>
        <w:numId w:val="30"/>
      </w:numPr>
      <w:spacing w:before="120" w:after="120" w:line="240" w:lineRule="auto"/>
      <w:jc w:val="both"/>
    </w:pPr>
    <w:rPr>
      <w:rFonts w:ascii="Times New Roman" w:eastAsia="Times New Roman" w:hAnsi="Times New Roman"/>
      <w:sz w:val="24"/>
      <w:szCs w:val="24"/>
    </w:rPr>
  </w:style>
  <w:style w:type="paragraph" w:customStyle="1" w:styleId="Annexetitreexpos">
    <w:name w:val="Annexe titre (exposé)"/>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
    <w:name w:val="Annex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nnexetitrefichefinancire">
    <w:name w:val="Annexe titre (fiche financiè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Applicationdirecte">
    <w:name w:val="Application directe"/>
    <w:basedOn w:val="Normal"/>
    <w:next w:val="Fait"/>
    <w:uiPriority w:val="99"/>
    <w:pPr>
      <w:spacing w:before="480" w:after="120" w:line="240" w:lineRule="auto"/>
      <w:jc w:val="both"/>
    </w:pPr>
    <w:rPr>
      <w:rFonts w:ascii="Times New Roman" w:eastAsia="Times New Roman" w:hAnsi="Times New Roman"/>
      <w:sz w:val="24"/>
      <w:szCs w:val="24"/>
    </w:rPr>
  </w:style>
  <w:style w:type="paragraph" w:customStyle="1" w:styleId="Fait">
    <w:name w:val="Fait à"/>
    <w:basedOn w:val="Normal"/>
    <w:next w:val="Institutionquisigne"/>
    <w:uiPriority w:val="99"/>
    <w:pPr>
      <w:keepNext/>
      <w:spacing w:before="120" w:after="0" w:line="240" w:lineRule="auto"/>
      <w:jc w:val="both"/>
    </w:pPr>
    <w:rPr>
      <w:rFonts w:ascii="Times New Roman" w:eastAsia="Times New Roman" w:hAnsi="Times New Roman"/>
      <w:sz w:val="24"/>
      <w:szCs w:val="24"/>
    </w:rPr>
  </w:style>
  <w:style w:type="paragraph" w:customStyle="1" w:styleId="Institutionquisigne">
    <w:name w:val="Institution qui signe"/>
    <w:basedOn w:val="Normal"/>
    <w:next w:val="Personnequisigne"/>
    <w:uiPriority w:val="99"/>
    <w:pPr>
      <w:keepNext/>
      <w:tabs>
        <w:tab w:val="left" w:pos="4252"/>
      </w:tabs>
      <w:spacing w:before="720" w:after="0" w:line="240" w:lineRule="auto"/>
      <w:jc w:val="both"/>
    </w:pPr>
    <w:rPr>
      <w:rFonts w:ascii="Times New Roman" w:eastAsia="Times New Roman" w:hAnsi="Times New Roman"/>
      <w:i/>
      <w:sz w:val="24"/>
      <w:szCs w:val="24"/>
    </w:rPr>
  </w:style>
  <w:style w:type="paragraph" w:customStyle="1" w:styleId="Personnequisigne">
    <w:name w:val="Personne qui signe"/>
    <w:basedOn w:val="Normal"/>
    <w:next w:val="Institutionquisigne"/>
    <w:uiPriority w:val="99"/>
    <w:pPr>
      <w:tabs>
        <w:tab w:val="left" w:pos="4252"/>
      </w:tabs>
      <w:spacing w:before="40" w:after="0" w:line="240" w:lineRule="auto"/>
      <w:jc w:val="both"/>
    </w:pPr>
    <w:rPr>
      <w:rFonts w:ascii="Times New Roman" w:eastAsia="Times New Roman" w:hAnsi="Times New Roman"/>
      <w:i/>
      <w:sz w:val="24"/>
      <w:szCs w:val="24"/>
    </w:rPr>
  </w:style>
  <w:style w:type="paragraph" w:customStyle="1" w:styleId="Avertissementtitre">
    <w:name w:val="Avertissement titre"/>
    <w:basedOn w:val="Normal"/>
    <w:next w:val="Normal"/>
    <w:uiPriority w:val="99"/>
    <w:pPr>
      <w:keepNext/>
      <w:spacing w:before="480" w:after="120" w:line="240" w:lineRule="auto"/>
      <w:jc w:val="both"/>
    </w:pPr>
    <w:rPr>
      <w:rFonts w:ascii="Times New Roman" w:eastAsia="Times New Roman" w:hAnsi="Times New Roman"/>
      <w:sz w:val="24"/>
      <w:szCs w:val="24"/>
      <w:u w:val="single"/>
    </w:rPr>
  </w:style>
  <w:style w:type="paragraph" w:customStyle="1" w:styleId="Confidence">
    <w:name w:val="Confidence"/>
    <w:basedOn w:val="Normal"/>
    <w:next w:val="Normal"/>
    <w:uiPriority w:val="99"/>
    <w:pPr>
      <w:spacing w:before="360" w:after="120" w:line="240" w:lineRule="auto"/>
      <w:jc w:val="center"/>
    </w:pPr>
    <w:rPr>
      <w:rFonts w:ascii="Times New Roman" w:eastAsia="Times New Roman" w:hAnsi="Times New Roman"/>
      <w:sz w:val="24"/>
      <w:szCs w:val="24"/>
    </w:rPr>
  </w:style>
  <w:style w:type="paragraph" w:customStyle="1" w:styleId="Confidentialit">
    <w:name w:val="Confidentialité"/>
    <w:basedOn w:val="Normal"/>
    <w:next w:val="TypedudocumentPagedecouverture"/>
    <w:uiPriority w:val="99"/>
    <w:pPr>
      <w:spacing w:before="240" w:after="240" w:line="240" w:lineRule="auto"/>
      <w:ind w:left="5103"/>
      <w:jc w:val="both"/>
    </w:pPr>
    <w:rPr>
      <w:rFonts w:ascii="Times New Roman" w:eastAsia="Times New Roman" w:hAnsi="Times New Roman"/>
      <w:i/>
      <w:sz w:val="32"/>
      <w:szCs w:val="24"/>
    </w:rPr>
  </w:style>
  <w:style w:type="paragraph" w:customStyle="1" w:styleId="TypedudocumentPagedecouverture">
    <w:name w:val="Type du document (Page de couverture)"/>
    <w:basedOn w:val="Typedudocument"/>
    <w:next w:val="TitreobjetPagedecouverture"/>
    <w:uiPriority w:val="99"/>
  </w:style>
  <w:style w:type="paragraph" w:customStyle="1" w:styleId="Typedudocument">
    <w:name w:val="Type du document"/>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Titreobjet">
    <w:name w:val="Titre objet"/>
    <w:basedOn w:val="Normal"/>
    <w:next w:val="Sous-titreobjet"/>
    <w:uiPriority w:val="99"/>
    <w:pPr>
      <w:spacing w:before="360" w:after="360" w:line="240" w:lineRule="auto"/>
      <w:jc w:val="center"/>
    </w:pPr>
    <w:rPr>
      <w:rFonts w:ascii="Times New Roman" w:eastAsia="Times New Roman" w:hAnsi="Times New Roman"/>
      <w:b/>
      <w:sz w:val="24"/>
      <w:szCs w:val="24"/>
    </w:rPr>
  </w:style>
  <w:style w:type="paragraph" w:customStyle="1" w:styleId="Sous-titreobjet">
    <w:name w:val="Sous-titre objet"/>
    <w:basedOn w:val="Normal"/>
    <w:uiPriority w:val="99"/>
    <w:pPr>
      <w:spacing w:before="40" w:after="0" w:line="240" w:lineRule="auto"/>
      <w:jc w:val="center"/>
    </w:pPr>
    <w:rPr>
      <w:rFonts w:ascii="Times New Roman" w:eastAsia="Times New Roman" w:hAnsi="Times New Roman"/>
      <w:b/>
      <w:sz w:val="24"/>
      <w:szCs w:val="24"/>
    </w:rPr>
  </w:style>
  <w:style w:type="paragraph" w:customStyle="1" w:styleId="TitreobjetPagedecouverture">
    <w:name w:val="Titre objet (Page de couverture)"/>
    <w:basedOn w:val="Titreobjet"/>
    <w:next w:val="Sous-titreobjetPagedecouverture"/>
    <w:uiPriority w:val="99"/>
  </w:style>
  <w:style w:type="paragraph" w:customStyle="1" w:styleId="Sous-titreobjetPagedecouverture">
    <w:name w:val="Sous-titre objet (Page de couverture)"/>
    <w:basedOn w:val="Sous-titreobjet"/>
    <w:uiPriority w:val="99"/>
  </w:style>
  <w:style w:type="paragraph" w:customStyle="1" w:styleId="Considrant">
    <w:name w:val="Considérant"/>
    <w:basedOn w:val="Normal"/>
    <w:pPr>
      <w:numPr>
        <w:numId w:val="31"/>
      </w:numPr>
      <w:spacing w:before="120" w:after="120" w:line="240" w:lineRule="auto"/>
      <w:jc w:val="both"/>
    </w:pPr>
    <w:rPr>
      <w:rFonts w:ascii="Times New Roman" w:eastAsia="Times New Roman" w:hAnsi="Times New Roman"/>
      <w:sz w:val="24"/>
      <w:szCs w:val="24"/>
    </w:rPr>
  </w:style>
  <w:style w:type="paragraph" w:customStyle="1" w:styleId="Corrigendum">
    <w:name w:val="Corrigendum"/>
    <w:basedOn w:val="Normal"/>
    <w:next w:val="Normal"/>
    <w:uiPriority w:val="99"/>
    <w:pPr>
      <w:spacing w:before="40" w:after="240" w:line="240" w:lineRule="auto"/>
      <w:jc w:val="both"/>
    </w:pPr>
    <w:rPr>
      <w:rFonts w:ascii="Times New Roman" w:eastAsia="Times New Roman" w:hAnsi="Times New Roman"/>
      <w:sz w:val="24"/>
      <w:szCs w:val="24"/>
    </w:rPr>
  </w:style>
  <w:style w:type="paragraph" w:customStyle="1" w:styleId="Datedadoption">
    <w:name w:val="Date d'adoption"/>
    <w:basedOn w:val="Normal"/>
    <w:next w:val="Titreobjet"/>
    <w:uiPriority w:val="99"/>
    <w:pPr>
      <w:spacing w:before="360" w:after="0" w:line="240" w:lineRule="auto"/>
      <w:jc w:val="center"/>
    </w:pPr>
    <w:rPr>
      <w:rFonts w:ascii="Times New Roman" w:eastAsia="Times New Roman" w:hAnsi="Times New Roman"/>
      <w:b/>
      <w:sz w:val="24"/>
      <w:szCs w:val="24"/>
    </w:rPr>
  </w:style>
  <w:style w:type="paragraph" w:customStyle="1" w:styleId="Emission">
    <w:name w:val="Emission"/>
    <w:basedOn w:val="Normal"/>
    <w:next w:val="Rfrence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stitutionnelle">
    <w:name w:val="Référence institutionnell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Exposdesmotifstitre">
    <w:name w:val="Exposé des motifs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Formuledadoption">
    <w:name w:val="Formule d'adoption"/>
    <w:basedOn w:val="Normal"/>
    <w:next w:val="Titrearticle"/>
    <w:uiPriority w:val="99"/>
    <w:pPr>
      <w:keepNext/>
      <w:spacing w:before="120" w:after="120" w:line="240" w:lineRule="auto"/>
      <w:jc w:val="both"/>
    </w:pPr>
    <w:rPr>
      <w:rFonts w:ascii="Times New Roman" w:eastAsia="Times New Roman" w:hAnsi="Times New Roman"/>
      <w:sz w:val="24"/>
      <w:szCs w:val="24"/>
    </w:rPr>
  </w:style>
  <w:style w:type="paragraph" w:customStyle="1" w:styleId="Titrearticle">
    <w:name w:val="Titre article"/>
    <w:basedOn w:val="Normal"/>
    <w:next w:val="Normal"/>
    <w:uiPriority w:val="99"/>
    <w:pPr>
      <w:keepNext/>
      <w:spacing w:before="360" w:after="120" w:line="240" w:lineRule="auto"/>
      <w:jc w:val="center"/>
    </w:pPr>
    <w:rPr>
      <w:rFonts w:ascii="Times New Roman" w:eastAsia="Times New Roman" w:hAnsi="Times New Roman"/>
      <w:i/>
      <w:sz w:val="24"/>
      <w:szCs w:val="24"/>
    </w:rPr>
  </w:style>
  <w:style w:type="paragraph" w:customStyle="1" w:styleId="Institutionquiagit">
    <w:name w:val="Institution qui agit"/>
    <w:basedOn w:val="Normal"/>
    <w:next w:val="Normal"/>
    <w:uiPriority w:val="99"/>
    <w:pPr>
      <w:keepNext/>
      <w:spacing w:before="600" w:after="120" w:line="240" w:lineRule="auto"/>
      <w:jc w:val="both"/>
    </w:pPr>
    <w:rPr>
      <w:rFonts w:ascii="Times New Roman" w:eastAsia="Times New Roman" w:hAnsi="Times New Roman"/>
      <w:sz w:val="24"/>
      <w:szCs w:val="24"/>
    </w:rPr>
  </w:style>
  <w:style w:type="paragraph" w:customStyle="1" w:styleId="Langue">
    <w:name w:val="Langue"/>
    <w:basedOn w:val="Normal"/>
    <w:next w:val="Rfrenceinterne"/>
    <w:pPr>
      <w:framePr w:wrap="around" w:vAnchor="page" w:hAnchor="text" w:xAlign="center" w:y="14741"/>
      <w:spacing w:before="40" w:after="600" w:line="240" w:lineRule="auto"/>
      <w:jc w:val="center"/>
    </w:pPr>
    <w:rPr>
      <w:rFonts w:ascii="Times New Roman" w:eastAsia="Times New Roman" w:hAnsi="Times New Roman"/>
      <w:b/>
      <w:caps/>
      <w:sz w:val="24"/>
      <w:szCs w:val="24"/>
    </w:rPr>
  </w:style>
  <w:style w:type="paragraph" w:customStyle="1" w:styleId="Rfrenceinterne">
    <w:name w:val="Référence interne"/>
    <w:basedOn w:val="Normal"/>
    <w:next w:val="Rfrenceinterinstitutionnelle"/>
    <w:uiPriority w:val="99"/>
    <w:pPr>
      <w:spacing w:before="40" w:after="0" w:line="240" w:lineRule="auto"/>
      <w:ind w:left="5103"/>
      <w:jc w:val="both"/>
    </w:pPr>
    <w:rPr>
      <w:rFonts w:ascii="Times New Roman" w:eastAsia="Times New Roman" w:hAnsi="Times New Roman"/>
      <w:sz w:val="24"/>
      <w:szCs w:val="24"/>
    </w:rPr>
  </w:style>
  <w:style w:type="paragraph" w:customStyle="1" w:styleId="Rfrenceinterinstitutionnelle">
    <w:name w:val="Référence interinstitutionnelle"/>
    <w:basedOn w:val="Normal"/>
    <w:next w:val="Statut"/>
    <w:uiPriority w:val="99"/>
    <w:pPr>
      <w:spacing w:before="40" w:after="0" w:line="240" w:lineRule="auto"/>
      <w:ind w:left="5103"/>
      <w:jc w:val="both"/>
    </w:pPr>
    <w:rPr>
      <w:rFonts w:ascii="Times New Roman" w:eastAsia="Times New Roman" w:hAnsi="Times New Roman"/>
      <w:sz w:val="24"/>
      <w:szCs w:val="24"/>
    </w:rPr>
  </w:style>
  <w:style w:type="paragraph" w:customStyle="1" w:styleId="Statut">
    <w:name w:val="Statut"/>
    <w:basedOn w:val="Normal"/>
    <w:next w:val="Typedudocument"/>
    <w:uiPriority w:val="99"/>
    <w:pPr>
      <w:spacing w:before="360" w:after="0" w:line="240" w:lineRule="auto"/>
      <w:jc w:val="center"/>
    </w:pPr>
    <w:rPr>
      <w:rFonts w:ascii="Times New Roman" w:eastAsia="Times New Roman" w:hAnsi="Times New Roman"/>
      <w:sz w:val="24"/>
      <w:szCs w:val="24"/>
    </w:rPr>
  </w:style>
  <w:style w:type="paragraph" w:customStyle="1" w:styleId="ManualConsidrant">
    <w:name w:val="Manual Considérant"/>
    <w:basedOn w:val="Normal"/>
    <w:uiPriority w:val="99"/>
    <w:pPr>
      <w:spacing w:before="120" w:after="120" w:line="240" w:lineRule="auto"/>
      <w:ind w:left="709" w:hanging="709"/>
      <w:jc w:val="both"/>
    </w:pPr>
    <w:rPr>
      <w:rFonts w:ascii="Times New Roman" w:eastAsia="Times New Roman" w:hAnsi="Times New Roman"/>
      <w:sz w:val="24"/>
      <w:szCs w:val="24"/>
    </w:rPr>
  </w:style>
  <w:style w:type="paragraph" w:customStyle="1" w:styleId="Nomdelinstitution">
    <w:name w:val="Nom de l'institution"/>
    <w:basedOn w:val="Normal"/>
    <w:next w:val="Emission"/>
    <w:uiPriority w:val="99"/>
    <w:pPr>
      <w:spacing w:before="40" w:after="0" w:line="240" w:lineRule="auto"/>
      <w:jc w:val="both"/>
    </w:pPr>
    <w:rPr>
      <w:rFonts w:ascii="Arial" w:eastAsia="Times New Roman" w:hAnsi="Arial" w:cs="Arial"/>
      <w:sz w:val="24"/>
      <w:szCs w:val="24"/>
    </w:rPr>
  </w:style>
  <w:style w:type="character" w:customStyle="1" w:styleId="Added">
    <w:name w:val="Added"/>
    <w:uiPriority w:val="99"/>
    <w:rPr>
      <w:rFonts w:cs="Times New Roman"/>
      <w:b/>
      <w:u w:val="single"/>
      <w:shd w:val="clear" w:color="auto" w:fill="auto"/>
    </w:rPr>
  </w:style>
  <w:style w:type="character" w:customStyle="1" w:styleId="Deleted">
    <w:name w:val="Deleted"/>
    <w:uiPriority w:val="99"/>
    <w:rPr>
      <w:rFonts w:cs="Times New Roman"/>
      <w:strike/>
      <w:shd w:val="clear" w:color="auto" w:fill="auto"/>
    </w:rPr>
  </w:style>
  <w:style w:type="paragraph" w:customStyle="1" w:styleId="Address">
    <w:name w:val="Address"/>
    <w:basedOn w:val="Normal"/>
    <w:next w:val="Normal"/>
    <w:uiPriority w:val="99"/>
    <w:pPr>
      <w:keepLines/>
      <w:spacing w:before="120" w:after="120" w:line="360" w:lineRule="auto"/>
      <w:ind w:left="3402"/>
      <w:jc w:val="both"/>
    </w:pPr>
    <w:rPr>
      <w:rFonts w:ascii="Times New Roman" w:eastAsia="Times New Roman" w:hAnsi="Times New Roman"/>
      <w:sz w:val="24"/>
      <w:szCs w:val="24"/>
    </w:rPr>
  </w:style>
  <w:style w:type="paragraph" w:customStyle="1" w:styleId="Objetexterne">
    <w:name w:val="Objet externe"/>
    <w:basedOn w:val="Normal"/>
    <w:next w:val="Normal"/>
    <w:uiPriority w:val="99"/>
    <w:pPr>
      <w:spacing w:before="120" w:after="120" w:line="240" w:lineRule="auto"/>
      <w:jc w:val="both"/>
    </w:pPr>
    <w:rPr>
      <w:rFonts w:ascii="Times New Roman" w:eastAsia="Times New Roman" w:hAnsi="Times New Roman"/>
      <w:i/>
      <w:caps/>
      <w:sz w:val="24"/>
      <w:szCs w:val="24"/>
    </w:rPr>
  </w:style>
  <w:style w:type="paragraph" w:customStyle="1" w:styleId="Pagedecouverture">
    <w:name w:val="Page de couverture"/>
    <w:basedOn w:val="Normal"/>
    <w:next w:val="Normal"/>
    <w:uiPriority w:val="99"/>
    <w:pPr>
      <w:spacing w:before="120" w:after="120" w:line="240" w:lineRule="auto"/>
      <w:jc w:val="both"/>
    </w:pPr>
    <w:rPr>
      <w:rFonts w:ascii="Times New Roman" w:eastAsia="Times New Roman" w:hAnsi="Times New Roman"/>
      <w:sz w:val="24"/>
      <w:szCs w:val="24"/>
    </w:rPr>
  </w:style>
  <w:style w:type="paragraph" w:customStyle="1" w:styleId="Supertitre">
    <w:name w:val="Supertitre"/>
    <w:basedOn w:val="Normal"/>
    <w:next w:val="Normal"/>
    <w:uiPriority w:val="99"/>
    <w:pPr>
      <w:spacing w:before="40" w:after="600" w:line="240" w:lineRule="auto"/>
      <w:jc w:val="center"/>
    </w:pPr>
    <w:rPr>
      <w:rFonts w:ascii="Times New Roman" w:eastAsia="Times New Roman" w:hAnsi="Times New Roman"/>
      <w:b/>
      <w:sz w:val="24"/>
      <w:szCs w:val="24"/>
    </w:rPr>
  </w:style>
  <w:style w:type="paragraph" w:customStyle="1" w:styleId="Languesfaisantfoi">
    <w:name w:val="Langues faisant foi"/>
    <w:basedOn w:val="Normal"/>
    <w:next w:val="Normal"/>
    <w:uiPriority w:val="99"/>
    <w:pPr>
      <w:spacing w:before="360" w:after="0" w:line="240" w:lineRule="auto"/>
      <w:jc w:val="center"/>
    </w:pPr>
    <w:rPr>
      <w:rFonts w:ascii="Times New Roman" w:eastAsia="Times New Roman" w:hAnsi="Times New Roman"/>
      <w:sz w:val="24"/>
      <w:szCs w:val="24"/>
    </w:rPr>
  </w:style>
  <w:style w:type="paragraph" w:customStyle="1" w:styleId="Rfrencecroise">
    <w:name w:val="Référence croisée"/>
    <w:basedOn w:val="Normal"/>
    <w:uiPriority w:val="99"/>
    <w:pPr>
      <w:spacing w:before="40" w:after="0" w:line="240" w:lineRule="auto"/>
      <w:jc w:val="center"/>
    </w:pPr>
    <w:rPr>
      <w:rFonts w:ascii="Times New Roman" w:eastAsia="Times New Roman" w:hAnsi="Times New Roman"/>
      <w:sz w:val="24"/>
      <w:szCs w:val="24"/>
    </w:rPr>
  </w:style>
  <w:style w:type="paragraph" w:customStyle="1" w:styleId="Fichefinanciretitre">
    <w:name w:val="Fiche financière titre"/>
    <w:basedOn w:val="Normal"/>
    <w:next w:val="Normal"/>
    <w:uiPriority w:val="99"/>
    <w:pPr>
      <w:spacing w:before="120" w:after="120" w:line="240" w:lineRule="auto"/>
      <w:jc w:val="center"/>
    </w:pPr>
    <w:rPr>
      <w:rFonts w:ascii="Times New Roman" w:eastAsia="Times New Roman" w:hAnsi="Times New Roman"/>
      <w:b/>
      <w:sz w:val="24"/>
      <w:szCs w:val="24"/>
      <w:u w:val="single"/>
    </w:rPr>
  </w:style>
  <w:style w:type="paragraph" w:customStyle="1" w:styleId="DatedadoptionPagedecouverture">
    <w:name w:val="Date d'adoption (Page de couverture)"/>
    <w:basedOn w:val="Datedadoption"/>
    <w:next w:val="TitreobjetPagedecouverture"/>
    <w:uiPriority w:val="99"/>
  </w:style>
  <w:style w:type="paragraph" w:customStyle="1" w:styleId="RfrenceinterinstitutionnellePagedecouverture">
    <w:name w:val="Référence interinstitutionnelle (Page de couverture)"/>
    <w:basedOn w:val="Rfrenceinterinstitutionnelle"/>
    <w:next w:val="Confidentialit"/>
    <w:uiPriority w:val="99"/>
  </w:style>
  <w:style w:type="paragraph" w:customStyle="1" w:styleId="StatutPagedecouverture">
    <w:name w:val="Statut (Page de couverture)"/>
    <w:basedOn w:val="Statut"/>
    <w:next w:val="TypedudocumentPagedecouverture"/>
    <w:uiPriority w:val="99"/>
  </w:style>
  <w:style w:type="paragraph" w:customStyle="1" w:styleId="Volume">
    <w:name w:val="Volume"/>
    <w:basedOn w:val="Normal"/>
    <w:next w:val="Confidentialit"/>
    <w:uiPriority w:val="99"/>
    <w:pPr>
      <w:spacing w:before="40" w:after="240" w:line="240" w:lineRule="auto"/>
      <w:ind w:left="5103"/>
      <w:jc w:val="both"/>
    </w:pPr>
    <w:rPr>
      <w:rFonts w:ascii="Times New Roman" w:eastAsia="Times New Roman" w:hAnsi="Times New Roman"/>
      <w:sz w:val="24"/>
      <w:szCs w:val="24"/>
    </w:rPr>
  </w:style>
  <w:style w:type="paragraph" w:customStyle="1" w:styleId="IntrtEEE">
    <w:name w:val="Intérêt EEE"/>
    <w:basedOn w:val="Languesfaisantfoi"/>
    <w:next w:val="Normal"/>
    <w:uiPriority w:val="99"/>
    <w:pPr>
      <w:spacing w:after="240"/>
    </w:pPr>
  </w:style>
  <w:style w:type="paragraph" w:customStyle="1" w:styleId="Accompagnant">
    <w:name w:val="Accompagnant"/>
    <w:basedOn w:val="Normal"/>
    <w:next w:val="Typeacteprincipal"/>
    <w:uiPriority w:val="99"/>
    <w:pPr>
      <w:spacing w:before="40" w:after="240" w:line="240" w:lineRule="auto"/>
      <w:jc w:val="center"/>
    </w:pPr>
    <w:rPr>
      <w:rFonts w:ascii="Times New Roman" w:eastAsia="Times New Roman" w:hAnsi="Times New Roman"/>
      <w:b/>
      <w:i/>
      <w:sz w:val="24"/>
      <w:szCs w:val="24"/>
    </w:rPr>
  </w:style>
  <w:style w:type="paragraph" w:customStyle="1" w:styleId="Typeacteprincipal">
    <w:name w:val="Type acte principal"/>
    <w:basedOn w:val="Normal"/>
    <w:next w:val="Objetacteprincipal"/>
    <w:uiPriority w:val="99"/>
    <w:pPr>
      <w:spacing w:before="40" w:after="240" w:line="240" w:lineRule="auto"/>
      <w:jc w:val="center"/>
    </w:pPr>
    <w:rPr>
      <w:rFonts w:ascii="Times New Roman" w:eastAsia="Times New Roman" w:hAnsi="Times New Roman"/>
      <w:b/>
      <w:sz w:val="24"/>
      <w:szCs w:val="24"/>
    </w:rPr>
  </w:style>
  <w:style w:type="paragraph" w:customStyle="1" w:styleId="Objetacteprincipal">
    <w:name w:val="Objet acte principal"/>
    <w:basedOn w:val="Normal"/>
    <w:next w:val="Titrearticle"/>
    <w:uiPriority w:val="99"/>
    <w:pPr>
      <w:spacing w:before="40" w:after="360" w:line="240" w:lineRule="auto"/>
      <w:jc w:val="center"/>
    </w:pPr>
    <w:rPr>
      <w:rFonts w:ascii="Times New Roman" w:eastAsia="Times New Roman" w:hAnsi="Times New Roman"/>
      <w:b/>
      <w:sz w:val="24"/>
      <w:szCs w:val="24"/>
    </w:rPr>
  </w:style>
  <w:style w:type="paragraph" w:customStyle="1" w:styleId="IntrtEEEPagedecouverture">
    <w:name w:val="Intérêt EEE (Page de couverture)"/>
    <w:basedOn w:val="IntrtEEE"/>
    <w:next w:val="Rfrencecroise"/>
    <w:uiPriority w:val="99"/>
  </w:style>
  <w:style w:type="paragraph" w:customStyle="1" w:styleId="AccompagnantPagedecouverture">
    <w:name w:val="Accompagnant (Page de couverture)"/>
    <w:basedOn w:val="Accompagnant"/>
    <w:next w:val="TypeacteprincipalPagedecouverture"/>
    <w:uiPriority w:val="99"/>
  </w:style>
  <w:style w:type="paragraph" w:customStyle="1" w:styleId="TypeacteprincipalPagedecouverture">
    <w:name w:val="Type acte principal (Page de couverture)"/>
    <w:basedOn w:val="Typeacteprincipal"/>
    <w:next w:val="ObjetacteprincipalPagedecouverture"/>
    <w:uiPriority w:val="99"/>
  </w:style>
  <w:style w:type="paragraph" w:customStyle="1" w:styleId="ObjetacteprincipalPagedecouverture">
    <w:name w:val="Objet acte principal (Page de couverture)"/>
    <w:basedOn w:val="Objetacteprincipal"/>
    <w:next w:val="Rfrencecroise"/>
    <w:uiPriority w:val="99"/>
  </w:style>
  <w:style w:type="paragraph" w:customStyle="1" w:styleId="LanguesfaisantfoiPagedecouverture">
    <w:name w:val="Langues faisant foi (Page de couverture)"/>
    <w:basedOn w:val="Normal"/>
    <w:next w:val="Normal"/>
    <w:uiPriority w:val="99"/>
    <w:pPr>
      <w:spacing w:before="360" w:after="0" w:line="240" w:lineRule="auto"/>
      <w:jc w:val="center"/>
    </w:pPr>
    <w:rPr>
      <w:rFonts w:ascii="Times New Roman" w:eastAsia="Times New Roman" w:hAnsi="Times New Roman"/>
      <w:sz w:val="24"/>
      <w:szCs w:val="24"/>
    </w:rPr>
  </w:style>
  <w:style w:type="paragraph" w:styleId="ListBullet">
    <w:name w:val="List Bullet"/>
    <w:basedOn w:val="Normal"/>
    <w:uiPriority w:val="99"/>
    <w:pPr>
      <w:numPr>
        <w:numId w:val="13"/>
      </w:numPr>
      <w:tabs>
        <w:tab w:val="clear" w:pos="643"/>
        <w:tab w:val="num" w:pos="926"/>
        <w:tab w:val="num" w:pos="1984"/>
      </w:tabs>
      <w:spacing w:before="120" w:after="120" w:line="240" w:lineRule="auto"/>
      <w:ind w:left="360"/>
      <w:jc w:val="both"/>
    </w:pPr>
    <w:rPr>
      <w:rFonts w:ascii="Times New Roman" w:eastAsia="Times New Roman" w:hAnsi="Times New Roman"/>
      <w:sz w:val="24"/>
      <w:szCs w:val="24"/>
    </w:rPr>
  </w:style>
  <w:style w:type="paragraph" w:styleId="ListBullet2">
    <w:name w:val="List Bullet 2"/>
    <w:basedOn w:val="Normal"/>
    <w:uiPriority w:val="99"/>
    <w:pPr>
      <w:numPr>
        <w:numId w:val="14"/>
      </w:numPr>
      <w:tabs>
        <w:tab w:val="clear" w:pos="926"/>
        <w:tab w:val="num" w:pos="643"/>
        <w:tab w:val="num" w:pos="1209"/>
        <w:tab w:val="num" w:pos="2551"/>
      </w:tabs>
      <w:spacing w:before="120" w:after="120" w:line="240" w:lineRule="auto"/>
      <w:ind w:left="643"/>
      <w:jc w:val="both"/>
    </w:pPr>
    <w:rPr>
      <w:rFonts w:ascii="Times New Roman" w:eastAsia="Times New Roman" w:hAnsi="Times New Roman"/>
      <w:sz w:val="24"/>
      <w:szCs w:val="24"/>
    </w:rPr>
  </w:style>
  <w:style w:type="paragraph" w:styleId="ListBullet3">
    <w:name w:val="List Bullet 3"/>
    <w:basedOn w:val="Normal"/>
    <w:uiPriority w:val="99"/>
    <w:pPr>
      <w:numPr>
        <w:numId w:val="8"/>
      </w:numPr>
      <w:tabs>
        <w:tab w:val="clear" w:pos="360"/>
        <w:tab w:val="num" w:pos="926"/>
        <w:tab w:val="num" w:pos="3118"/>
      </w:tabs>
      <w:spacing w:before="120" w:after="120" w:line="240" w:lineRule="auto"/>
      <w:ind w:left="926"/>
      <w:jc w:val="both"/>
    </w:pPr>
    <w:rPr>
      <w:rFonts w:ascii="Times New Roman" w:eastAsia="Times New Roman" w:hAnsi="Times New Roman"/>
      <w:sz w:val="24"/>
      <w:szCs w:val="24"/>
    </w:rPr>
  </w:style>
  <w:style w:type="paragraph" w:styleId="ListBullet4">
    <w:name w:val="List Bullet 4"/>
    <w:basedOn w:val="Normal"/>
    <w:uiPriority w:val="99"/>
    <w:pPr>
      <w:numPr>
        <w:numId w:val="9"/>
      </w:numPr>
      <w:tabs>
        <w:tab w:val="num" w:pos="709"/>
        <w:tab w:val="num" w:pos="1209"/>
      </w:tabs>
      <w:spacing w:before="120" w:after="120" w:line="240" w:lineRule="auto"/>
      <w:ind w:left="1209"/>
      <w:jc w:val="both"/>
    </w:pPr>
    <w:rPr>
      <w:rFonts w:ascii="Times New Roman" w:eastAsia="Times New Roman" w:hAnsi="Times New Roman"/>
      <w:sz w:val="24"/>
      <w:szCs w:val="24"/>
    </w:rPr>
  </w:style>
  <w:style w:type="character" w:styleId="Emphasis">
    <w:name w:val="Emphasis"/>
    <w:uiPriority w:val="20"/>
    <w:qFormat/>
    <w:rPr>
      <w:rFonts w:cs="Times New Roman"/>
      <w:i/>
    </w:rPr>
  </w:style>
  <w:style w:type="paragraph" w:styleId="NormalWeb">
    <w:name w:val="Normal (Web)"/>
    <w:basedOn w:val="Normal"/>
    <w:uiPriority w:val="99"/>
    <w:pPr>
      <w:spacing w:before="100" w:beforeAutospacing="1" w:after="115" w:line="240" w:lineRule="auto"/>
      <w:jc w:val="both"/>
    </w:pPr>
    <w:rPr>
      <w:rFonts w:ascii="Times" w:eastAsia="Times New Roman" w:hAnsi="Times"/>
      <w:sz w:val="20"/>
      <w:szCs w:val="20"/>
      <w:lang w:val="en-US"/>
    </w:rPr>
  </w:style>
  <w:style w:type="paragraph" w:styleId="PlainText">
    <w:name w:val="Plain Text"/>
    <w:basedOn w:val="Normal"/>
    <w:link w:val="PlainTextChar1"/>
    <w:uiPriority w:val="99"/>
    <w:pPr>
      <w:widowControl w:val="0"/>
      <w:suppressAutoHyphens/>
      <w:spacing w:before="40" w:after="0" w:line="240" w:lineRule="auto"/>
      <w:jc w:val="both"/>
    </w:pPr>
    <w:rPr>
      <w:rFonts w:ascii="Arial" w:eastAsia="Arial Unicode MS" w:hAnsi="Arial" w:cs="Arial Unicode MS"/>
      <w:kern w:val="1"/>
      <w:sz w:val="24"/>
      <w:szCs w:val="24"/>
      <w:lang w:eastAsia="hi-IN" w:bidi="hi-IN"/>
    </w:rPr>
  </w:style>
  <w:style w:type="character" w:customStyle="1" w:styleId="PlainTextChar">
    <w:name w:val="Plain Text Char"/>
    <w:rPr>
      <w:rFonts w:ascii="Courier New" w:hAnsi="Courier New" w:cs="Courier New"/>
      <w:lang w:val="en-GB" w:eastAsia="en-US"/>
    </w:rPr>
  </w:style>
  <w:style w:type="character" w:customStyle="1" w:styleId="PlainTextChar1">
    <w:name w:val="Plain Text Char1"/>
    <w:link w:val="PlainText"/>
    <w:uiPriority w:val="99"/>
    <w:rPr>
      <w:rFonts w:ascii="Arial" w:eastAsia="Arial Unicode MS" w:hAnsi="Arial" w:cs="Arial Unicode MS"/>
      <w:kern w:val="1"/>
      <w:sz w:val="24"/>
      <w:szCs w:val="24"/>
      <w:lang w:val="en-GB" w:eastAsia="hi-IN" w:bidi="hi-IN"/>
    </w:rPr>
  </w:style>
  <w:style w:type="paragraph" w:styleId="BodyText">
    <w:name w:val="Body Text"/>
    <w:basedOn w:val="Normal"/>
    <w:link w:val="BodyTextChar1"/>
    <w:uiPriority w:val="99"/>
    <w:pPr>
      <w:widowControl w:val="0"/>
      <w:suppressAutoHyphens/>
      <w:spacing w:before="40" w:after="120" w:line="240" w:lineRule="auto"/>
      <w:jc w:val="both"/>
    </w:pPr>
    <w:rPr>
      <w:rFonts w:ascii="Arial" w:eastAsia="Arial Unicode MS" w:hAnsi="Arial" w:cs="Arial Unicode MS"/>
      <w:kern w:val="1"/>
      <w:sz w:val="24"/>
      <w:szCs w:val="24"/>
      <w:lang w:eastAsia="hi-IN" w:bidi="hi-IN"/>
    </w:rPr>
  </w:style>
  <w:style w:type="character" w:customStyle="1" w:styleId="BodyTextChar">
    <w:name w:val="Body Text Char"/>
    <w:rPr>
      <w:sz w:val="22"/>
      <w:szCs w:val="22"/>
      <w:lang w:val="en-GB" w:eastAsia="en-US"/>
    </w:rPr>
  </w:style>
  <w:style w:type="character" w:customStyle="1" w:styleId="BodyTextChar1">
    <w:name w:val="Body Text Char1"/>
    <w:link w:val="BodyText"/>
    <w:uiPriority w:val="99"/>
    <w:rPr>
      <w:rFonts w:ascii="Arial" w:eastAsia="Arial Unicode MS" w:hAnsi="Arial" w:cs="Arial Unicode MS"/>
      <w:kern w:val="1"/>
      <w:sz w:val="24"/>
      <w:szCs w:val="24"/>
      <w:lang w:val="en-GB" w:eastAsia="hi-IN" w:bidi="hi-IN"/>
    </w:rPr>
  </w:style>
  <w:style w:type="paragraph" w:styleId="ListNumber">
    <w:name w:val="List Number"/>
    <w:basedOn w:val="Normal"/>
    <w:uiPriority w:val="99"/>
    <w:pPr>
      <w:numPr>
        <w:numId w:val="15"/>
      </w:numPr>
      <w:spacing w:before="40"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uiPriority w:val="99"/>
    <w:pPr>
      <w:numPr>
        <w:ilvl w:val="1"/>
        <w:numId w:val="15"/>
      </w:numPr>
      <w:spacing w:before="40"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uiPriority w:val="99"/>
    <w:pPr>
      <w:numPr>
        <w:ilvl w:val="2"/>
        <w:numId w:val="15"/>
      </w:numPr>
      <w:spacing w:before="40"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uiPriority w:val="99"/>
    <w:pPr>
      <w:numPr>
        <w:ilvl w:val="3"/>
        <w:numId w:val="15"/>
      </w:numPr>
      <w:spacing w:before="40" w:after="240" w:line="240" w:lineRule="auto"/>
      <w:jc w:val="both"/>
    </w:pPr>
    <w:rPr>
      <w:rFonts w:ascii="Times New Roman" w:eastAsia="Times New Roman" w:hAnsi="Times New Roman"/>
      <w:sz w:val="24"/>
      <w:szCs w:val="20"/>
    </w:rPr>
  </w:style>
  <w:style w:type="character" w:customStyle="1" w:styleId="CommentTextChar1">
    <w:name w:val="Comment Text Char1"/>
    <w:rPr>
      <w:rFonts w:eastAsia="Times New Roman"/>
      <w:lang w:val="x-none" w:eastAsia="x-none"/>
    </w:rPr>
  </w:style>
  <w:style w:type="paragraph" w:customStyle="1" w:styleId="Not">
    <w:name w:val="Not"/>
    <w:basedOn w:val="FootnoteText"/>
    <w:uiPriority w:val="99"/>
    <w:pPr>
      <w:ind w:left="0" w:firstLine="0"/>
    </w:pPr>
  </w:style>
  <w:style w:type="character" w:customStyle="1" w:styleId="t23">
    <w:name w:val="t23"/>
    <w:uiPriority w:val="99"/>
    <w:rPr>
      <w:rFonts w:cs="Times New Roman"/>
      <w:shd w:val="clear" w:color="auto" w:fill="auto"/>
    </w:rPr>
  </w:style>
  <w:style w:type="character" w:customStyle="1" w:styleId="t25">
    <w:name w:val="t25"/>
    <w:uiPriority w:val="99"/>
    <w:rPr>
      <w:rFonts w:cs="Times New Roman"/>
      <w:shd w:val="clear" w:color="auto" w:fill="auto"/>
    </w:rPr>
  </w:style>
  <w:style w:type="character" w:customStyle="1" w:styleId="Caractresdenotedebasdepage">
    <w:name w:val="Caractères de note de bas de page"/>
    <w:uiPriority w:val="99"/>
    <w:rPr>
      <w:rFonts w:cs="Times New Roman"/>
      <w:shd w:val="clear" w:color="auto" w:fill="auto"/>
      <w:vertAlign w:val="superscript"/>
    </w:rPr>
  </w:style>
  <w:style w:type="character" w:customStyle="1" w:styleId="t9">
    <w:name w:val="t9"/>
    <w:uiPriority w:val="99"/>
    <w:rPr>
      <w:rFonts w:cs="Times New Roman"/>
      <w:shd w:val="clear" w:color="auto" w:fill="auto"/>
    </w:rPr>
  </w:style>
  <w:style w:type="character" w:customStyle="1" w:styleId="t10">
    <w:name w:val="t10"/>
    <w:uiPriority w:val="99"/>
    <w:rPr>
      <w:rFonts w:cs="Times New Roman"/>
      <w:shd w:val="clear" w:color="auto" w:fill="auto"/>
    </w:rPr>
  </w:style>
  <w:style w:type="character" w:customStyle="1" w:styleId="t20">
    <w:name w:val="t20"/>
    <w:uiPriority w:val="99"/>
    <w:rPr>
      <w:rFonts w:cs="Times New Roman"/>
      <w:shd w:val="clear" w:color="auto" w:fill="auto"/>
    </w:rPr>
  </w:style>
  <w:style w:type="character" w:customStyle="1" w:styleId="t21">
    <w:name w:val="t21"/>
    <w:uiPriority w:val="99"/>
    <w:rPr>
      <w:rFonts w:cs="Times New Roman"/>
      <w:shd w:val="clear" w:color="auto" w:fill="auto"/>
    </w:rPr>
  </w:style>
  <w:style w:type="character" w:customStyle="1" w:styleId="t5">
    <w:name w:val="t5"/>
    <w:uiPriority w:val="99"/>
    <w:rPr>
      <w:rFonts w:cs="Times New Roman"/>
      <w:shd w:val="clear" w:color="auto" w:fill="auto"/>
    </w:rPr>
  </w:style>
  <w:style w:type="character" w:customStyle="1" w:styleId="t4">
    <w:name w:val="t4"/>
    <w:uiPriority w:val="99"/>
    <w:rPr>
      <w:rFonts w:cs="Times New Roman"/>
      <w:shd w:val="clear" w:color="auto" w:fill="auto"/>
    </w:rPr>
  </w:style>
  <w:style w:type="character" w:customStyle="1" w:styleId="t11">
    <w:name w:val="t11"/>
    <w:uiPriority w:val="99"/>
    <w:rPr>
      <w:rFonts w:cs="Times New Roman"/>
      <w:shd w:val="clear" w:color="auto" w:fill="auto"/>
    </w:rPr>
  </w:style>
  <w:style w:type="character" w:customStyle="1" w:styleId="CaptionChar1">
    <w:name w:val="Caption Char1"/>
    <w:uiPriority w:val="99"/>
    <w:locked/>
    <w:rPr>
      <w:rFonts w:ascii="Times New Roman" w:eastAsia="Times New Roman" w:hAnsi="Times New Roman" w:cs="Times New Roman"/>
      <w:b/>
      <w:bCs/>
      <w:sz w:val="20"/>
      <w:szCs w:val="20"/>
      <w:lang w:val="en-GB"/>
    </w:rPr>
  </w:style>
  <w:style w:type="paragraph" w:styleId="TableofFigures">
    <w:name w:val="table of figures"/>
    <w:basedOn w:val="Normal"/>
    <w:next w:val="Normal"/>
    <w:uiPriority w:val="99"/>
    <w:pPr>
      <w:spacing w:before="40" w:after="120" w:line="240" w:lineRule="auto"/>
      <w:ind w:left="482" w:hanging="482"/>
      <w:jc w:val="both"/>
    </w:pPr>
    <w:rPr>
      <w:rFonts w:ascii="Times New Roman" w:eastAsia="Times New Roman" w:hAnsi="Times New Roman"/>
      <w:bCs/>
      <w:sz w:val="24"/>
      <w:szCs w:val="20"/>
    </w:rPr>
  </w:style>
  <w:style w:type="paragraph" w:styleId="ListNumber2">
    <w:name w:val="List Number 2"/>
    <w:basedOn w:val="Normal"/>
    <w:uiPriority w:val="99"/>
    <w:pPr>
      <w:numPr>
        <w:numId w:val="10"/>
      </w:numPr>
      <w:tabs>
        <w:tab w:val="clear" w:pos="926"/>
        <w:tab w:val="num" w:pos="643"/>
        <w:tab w:val="num" w:pos="850"/>
        <w:tab w:val="num" w:pos="1209"/>
      </w:tabs>
      <w:spacing w:before="120" w:after="120" w:line="240" w:lineRule="auto"/>
      <w:ind w:left="643"/>
      <w:jc w:val="both"/>
    </w:pPr>
    <w:rPr>
      <w:rFonts w:ascii="Times New Roman" w:eastAsia="Times New Roman" w:hAnsi="Times New Roman"/>
      <w:sz w:val="24"/>
      <w:szCs w:val="24"/>
    </w:rPr>
  </w:style>
  <w:style w:type="paragraph" w:styleId="ListNumber3">
    <w:name w:val="List Number 3"/>
    <w:basedOn w:val="Normal"/>
    <w:uiPriority w:val="99"/>
    <w:pPr>
      <w:numPr>
        <w:numId w:val="11"/>
      </w:numPr>
      <w:tabs>
        <w:tab w:val="clear" w:pos="1209"/>
        <w:tab w:val="num" w:pos="926"/>
        <w:tab w:val="num" w:pos="1417"/>
      </w:tabs>
      <w:spacing w:before="120" w:after="120" w:line="240" w:lineRule="auto"/>
      <w:ind w:left="926"/>
      <w:jc w:val="both"/>
    </w:pPr>
    <w:rPr>
      <w:rFonts w:ascii="Times New Roman" w:eastAsia="Times New Roman" w:hAnsi="Times New Roman"/>
      <w:sz w:val="24"/>
      <w:szCs w:val="24"/>
    </w:rPr>
  </w:style>
  <w:style w:type="paragraph" w:styleId="ListNumber4">
    <w:name w:val="List Number 4"/>
    <w:basedOn w:val="Normal"/>
    <w:uiPriority w:val="99"/>
    <w:pPr>
      <w:numPr>
        <w:numId w:val="12"/>
      </w:numPr>
      <w:tabs>
        <w:tab w:val="clear" w:pos="360"/>
        <w:tab w:val="num" w:pos="643"/>
        <w:tab w:val="num" w:pos="1209"/>
        <w:tab w:val="num" w:pos="1984"/>
      </w:tabs>
      <w:spacing w:before="120" w:after="120" w:line="240" w:lineRule="auto"/>
      <w:ind w:left="1209"/>
      <w:jc w:val="both"/>
    </w:pPr>
    <w:rPr>
      <w:rFonts w:ascii="Times New Roman" w:eastAsia="Times New Roman" w:hAnsi="Times New Roman"/>
      <w:sz w:val="24"/>
      <w:szCs w:val="24"/>
    </w:rPr>
  </w:style>
  <w:style w:type="paragraph" w:customStyle="1" w:styleId="Nomral">
    <w:name w:val="Nomral"/>
    <w:basedOn w:val="Normal"/>
    <w:uiPriority w:val="99"/>
    <w:pPr>
      <w:spacing w:before="120" w:after="120" w:line="240" w:lineRule="auto"/>
      <w:jc w:val="both"/>
    </w:pPr>
    <w:rPr>
      <w:rFonts w:ascii="Times New Roman" w:eastAsia="Times New Roman" w:hAnsi="Times New Roman"/>
      <w:sz w:val="24"/>
      <w:szCs w:val="24"/>
    </w:rPr>
  </w:style>
  <w:style w:type="paragraph" w:customStyle="1" w:styleId="Heading">
    <w:name w:val="Heading"/>
    <w:basedOn w:val="Heading1"/>
    <w:uiPriority w:val="99"/>
    <w:pPr>
      <w:tabs>
        <w:tab w:val="num" w:pos="643"/>
        <w:tab w:val="num" w:pos="850"/>
      </w:tabs>
      <w:spacing w:before="360" w:after="120" w:line="240" w:lineRule="auto"/>
      <w:ind w:left="850" w:hanging="850"/>
      <w:jc w:val="both"/>
    </w:pPr>
    <w:rPr>
      <w:rFonts w:ascii="Times New Roman" w:hAnsi="Times New Roman"/>
      <w:smallCaps/>
      <w:kern w:val="0"/>
      <w:sz w:val="24"/>
      <w:lang w:eastAsia="x-none"/>
    </w:rPr>
  </w:style>
  <w:style w:type="character" w:styleId="FollowedHyperlink">
    <w:name w:val="FollowedHyperlink"/>
    <w:uiPriority w:val="99"/>
    <w:rPr>
      <w:rFonts w:cs="Times New Roman"/>
      <w:color w:val="800080"/>
      <w:u w:val="single"/>
    </w:rPr>
  </w:style>
  <w:style w:type="paragraph" w:customStyle="1" w:styleId="FootnotesText">
    <w:name w:val="Footnotes Text"/>
    <w:basedOn w:val="Normal"/>
    <w:link w:val="FootnotesTextChar"/>
    <w:uiPriority w:val="99"/>
    <w:pPr>
      <w:autoSpaceDE w:val="0"/>
      <w:autoSpaceDN w:val="0"/>
      <w:adjustRightInd w:val="0"/>
      <w:spacing w:before="40" w:after="0" w:line="240" w:lineRule="auto"/>
      <w:jc w:val="both"/>
    </w:pPr>
    <w:rPr>
      <w:rFonts w:ascii="Times New Roman" w:eastAsia="Times New Roman" w:hAnsi="Times New Roman"/>
      <w:b/>
      <w:bCs/>
      <w:sz w:val="24"/>
      <w:szCs w:val="24"/>
      <w:lang w:eastAsia="en-GB"/>
    </w:rPr>
  </w:style>
  <w:style w:type="character" w:customStyle="1" w:styleId="FootnotesTextChar">
    <w:name w:val="Footnotes Text Char"/>
    <w:link w:val="FootnotesText"/>
    <w:uiPriority w:val="99"/>
    <w:locked/>
    <w:rPr>
      <w:rFonts w:ascii="Times New Roman" w:eastAsia="Times New Roman" w:hAnsi="Times New Roman"/>
      <w:b/>
      <w:bCs/>
      <w:sz w:val="24"/>
      <w:szCs w:val="24"/>
      <w:lang w:val="en-GB" w:eastAsia="en-GB"/>
    </w:rPr>
  </w:style>
  <w:style w:type="character" w:customStyle="1" w:styleId="hps">
    <w:name w:val="hps"/>
    <w:uiPriority w:val="99"/>
    <w:rPr>
      <w:rFonts w:cs="Times New Roman"/>
    </w:rPr>
  </w:style>
  <w:style w:type="paragraph" w:customStyle="1" w:styleId="Default">
    <w:name w:val="Default"/>
    <w:uiPriority w:val="99"/>
    <w:pPr>
      <w:autoSpaceDE w:val="0"/>
      <w:autoSpaceDN w:val="0"/>
      <w:adjustRightInd w:val="0"/>
    </w:pPr>
    <w:rPr>
      <w:rFonts w:ascii="EUAlbertina" w:eastAsia="Times New Roman" w:hAnsi="EUAlbertina" w:cs="EUAlbertina"/>
      <w:color w:val="000000"/>
      <w:sz w:val="24"/>
      <w:szCs w:val="24"/>
    </w:rPr>
  </w:style>
  <w:style w:type="paragraph" w:customStyle="1" w:styleId="CM4">
    <w:name w:val="CM4"/>
    <w:basedOn w:val="Default"/>
    <w:next w:val="Default"/>
    <w:uiPriority w:val="99"/>
    <w:rPr>
      <w:rFonts w:cs="Times New Roman"/>
      <w:color w:val="auto"/>
    </w:rPr>
  </w:style>
  <w:style w:type="character" w:customStyle="1" w:styleId="spiritsinfol">
    <w:name w:val="spirit s_info_l"/>
    <w:uiPriority w:val="99"/>
    <w:rPr>
      <w:rFonts w:cs="Times New Roman"/>
      <w:sz w:val="24"/>
      <w:szCs w:val="24"/>
    </w:rPr>
  </w:style>
  <w:style w:type="character" w:styleId="HTMLCite">
    <w:name w:val="HTML Cite"/>
    <w:uiPriority w:val="99"/>
    <w:rPr>
      <w:rFonts w:cs="Times New Roman"/>
      <w:i/>
      <w:iCs/>
    </w:rPr>
  </w:style>
  <w:style w:type="paragraph" w:customStyle="1" w:styleId="NormalBorderSinglesolidline">
    <w:name w:val="Normal + Border: : (Single solid line"/>
    <w:aliases w:val="Auto,0.5 pt Line width)"/>
    <w:basedOn w:val="Normal"/>
    <w:uiPriority w:val="99"/>
    <w:pPr>
      <w:spacing w:before="120" w:after="120" w:line="240" w:lineRule="auto"/>
      <w:jc w:val="both"/>
    </w:pPr>
    <w:rPr>
      <w:rFonts w:ascii="Times New Roman" w:eastAsia="Times New Roman" w:hAnsi="Times New Roman"/>
      <w:sz w:val="24"/>
      <w:szCs w:val="24"/>
      <w:bdr w:val="single" w:sz="4" w:space="0" w:color="auto"/>
    </w:rPr>
  </w:style>
  <w:style w:type="paragraph" w:customStyle="1" w:styleId="a3520normal">
    <w:name w:val="a___35__20_normal"/>
    <w:basedOn w:val="Normal"/>
    <w:uiPriority w:val="99"/>
    <w:pPr>
      <w:spacing w:before="100" w:beforeAutospacing="1" w:after="100" w:afterAutospacing="1" w:line="240" w:lineRule="auto"/>
      <w:jc w:val="both"/>
    </w:pPr>
    <w:rPr>
      <w:rFonts w:ascii="Times New Roman" w:eastAsia="Times New Roman" w:hAnsi="Times New Roman"/>
      <w:sz w:val="24"/>
      <w:szCs w:val="24"/>
      <w:lang w:eastAsia="en-GB"/>
    </w:rPr>
  </w:style>
  <w:style w:type="paragraph" w:customStyle="1" w:styleId="Noral">
    <w:name w:val="Noral"/>
    <w:basedOn w:val="Normal"/>
    <w:uiPriority w:val="99"/>
    <w:pPr>
      <w:spacing w:before="120" w:after="120" w:line="240" w:lineRule="auto"/>
      <w:jc w:val="both"/>
    </w:pPr>
    <w:rPr>
      <w:rFonts w:ascii="Times New Roman" w:eastAsia="Times New Roman" w:hAnsi="Times New Roman"/>
      <w:color w:val="0000FF"/>
      <w:sz w:val="24"/>
      <w:szCs w:val="24"/>
    </w:rPr>
  </w:style>
  <w:style w:type="character" w:customStyle="1" w:styleId="CharChar3">
    <w:name w:val="Char Char3"/>
    <w:uiPriority w:val="99"/>
    <w:semiHidden/>
    <w:locked/>
    <w:rPr>
      <w:lang w:val="en-GB" w:eastAsia="en-US"/>
    </w:rPr>
  </w:style>
  <w:style w:type="character" w:customStyle="1" w:styleId="CharChar2">
    <w:name w:val="Char Char2"/>
    <w:semiHidden/>
    <w:locked/>
    <w:rPr>
      <w:rFonts w:cs="Times New Roman"/>
      <w:sz w:val="20"/>
      <w:szCs w:val="20"/>
      <w:lang w:eastAsia="en-US"/>
    </w:rPr>
  </w:style>
  <w:style w:type="character" w:customStyle="1" w:styleId="CharChar5">
    <w:name w:val="Char Char5"/>
    <w:semiHidden/>
    <w:locked/>
    <w:rPr>
      <w:rFonts w:cs="Times New Roman"/>
      <w:lang w:val="en-GB" w:eastAsia="en-US" w:bidi="ar-SA"/>
    </w:rPr>
  </w:style>
  <w:style w:type="character" w:customStyle="1" w:styleId="CharChar7">
    <w:name w:val="Char Char7"/>
    <w:semiHidden/>
    <w:locked/>
    <w:rPr>
      <w:rFonts w:cs="Times New Roman"/>
      <w:lang w:val="en-GB" w:eastAsia="en-US" w:bidi="ar-SA"/>
    </w:rPr>
  </w:style>
  <w:style w:type="paragraph" w:styleId="Title">
    <w:name w:val="Title"/>
    <w:basedOn w:val="Normal"/>
    <w:link w:val="TitleChar"/>
    <w:qFormat/>
    <w:pPr>
      <w:spacing w:before="240" w:after="60" w:line="240" w:lineRule="auto"/>
      <w:jc w:val="center"/>
      <w:outlineLvl w:val="0"/>
    </w:pPr>
    <w:rPr>
      <w:rFonts w:ascii="Arial" w:hAnsi="Arial"/>
      <w:b/>
      <w:bCs/>
      <w:kern w:val="28"/>
      <w:sz w:val="32"/>
      <w:szCs w:val="32"/>
      <w:lang w:eastAsia="x-none"/>
    </w:rPr>
  </w:style>
  <w:style w:type="character" w:customStyle="1" w:styleId="TitleChar">
    <w:name w:val="Title Char"/>
    <w:link w:val="Title"/>
    <w:rPr>
      <w:rFonts w:ascii="Arial" w:hAnsi="Arial"/>
      <w:b/>
      <w:bCs/>
      <w:kern w:val="28"/>
      <w:sz w:val="32"/>
      <w:szCs w:val="32"/>
      <w:lang w:val="en-GB" w:eastAsia="x-none"/>
    </w:rPr>
  </w:style>
  <w:style w:type="paragraph" w:customStyle="1" w:styleId="entetepair">
    <w:name w:val="entete_pair"/>
    <w:pPr>
      <w:pBdr>
        <w:bottom w:val="single" w:sz="4" w:space="5" w:color="C00000"/>
      </w:pBdr>
      <w:spacing w:after="300"/>
    </w:pPr>
    <w:rPr>
      <w:rFonts w:ascii="Arial Narrow" w:hAnsi="Arial Narrow" w:cs="Arial"/>
      <w:color w:val="000000"/>
      <w:spacing w:val="20"/>
      <w:sz w:val="18"/>
      <w:lang w:eastAsia="en-US"/>
    </w:rPr>
  </w:style>
  <w:style w:type="paragraph" w:customStyle="1" w:styleId="enteteimpair">
    <w:name w:val="entete_impair"/>
    <w:basedOn w:val="entetepair"/>
    <w:pPr>
      <w:jc w:val="right"/>
    </w:pPr>
    <w:rPr>
      <w:lang w:val="en-US"/>
    </w:rPr>
  </w:style>
  <w:style w:type="paragraph" w:customStyle="1" w:styleId="exemple">
    <w:name w:val="exemple"/>
    <w:pPr>
      <w:spacing w:before="120" w:line="300" w:lineRule="auto"/>
      <w:ind w:left="369"/>
      <w:jc w:val="both"/>
    </w:pPr>
    <w:rPr>
      <w:rFonts w:ascii="Arial Narrow" w:hAnsi="Arial Narrow"/>
      <w:lang w:eastAsia="en-US"/>
    </w:rPr>
  </w:style>
  <w:style w:type="paragraph" w:customStyle="1" w:styleId="H1etiket">
    <w:name w:val="H1_etiket"/>
    <w:basedOn w:val="Heading1"/>
    <w:pPr>
      <w:spacing w:before="0" w:after="600" w:line="300" w:lineRule="auto"/>
      <w:jc w:val="right"/>
    </w:pPr>
    <w:rPr>
      <w:rFonts w:ascii="Verdana" w:eastAsia="Calibri" w:hAnsi="Verdana" w:cs="Arial"/>
      <w:bCs w:val="0"/>
      <w:caps/>
      <w:noProof/>
      <w:color w:val="943634"/>
      <w:kern w:val="0"/>
      <w:sz w:val="52"/>
      <w:szCs w:val="52"/>
      <w:lang w:eastAsia="x-none"/>
    </w:rPr>
  </w:style>
  <w:style w:type="paragraph" w:customStyle="1" w:styleId="H1prelim">
    <w:name w:val="H1_prelim"/>
    <w:pPr>
      <w:pBdr>
        <w:bottom w:val="single" w:sz="8" w:space="31" w:color="auto"/>
      </w:pBdr>
      <w:tabs>
        <w:tab w:val="left" w:pos="2268"/>
      </w:tabs>
      <w:spacing w:before="800" w:after="180"/>
      <w:jc w:val="center"/>
    </w:pPr>
    <w:rPr>
      <w:rFonts w:ascii="Arial" w:hAnsi="Arial" w:cs="Arial"/>
      <w:b/>
      <w:caps/>
      <w:color w:val="000000"/>
      <w:spacing w:val="60"/>
      <w:sz w:val="36"/>
      <w:lang w:val="fr-FR" w:eastAsia="en-US"/>
    </w:rPr>
  </w:style>
  <w:style w:type="paragraph" w:customStyle="1" w:styleId="H1subtitle">
    <w:name w:val="H1_subtitle"/>
    <w:basedOn w:val="Heading1"/>
    <w:pPr>
      <w:widowControl w:val="0"/>
      <w:shd w:val="clear" w:color="auto" w:fill="FFCC99"/>
      <w:spacing w:after="0" w:line="360" w:lineRule="auto"/>
      <w:jc w:val="center"/>
    </w:pPr>
    <w:rPr>
      <w:rFonts w:ascii="Verdana" w:eastAsia="Calibri" w:hAnsi="Verdana" w:cs="Arial"/>
      <w:bCs w:val="0"/>
      <w:caps/>
      <w:noProof/>
      <w:spacing w:val="20"/>
      <w:kern w:val="28"/>
      <w:lang w:eastAsia="x-none"/>
    </w:rPr>
  </w:style>
  <w:style w:type="paragraph" w:customStyle="1" w:styleId="noteexplicative">
    <w:name w:val="note explicative"/>
    <w:pPr>
      <w:spacing w:before="100" w:after="60"/>
    </w:pPr>
    <w:rPr>
      <w:rFonts w:ascii="Arial" w:hAnsi="Arial" w:cs="Arial"/>
      <w:b/>
      <w:bCs/>
      <w:color w:val="C00000"/>
      <w:sz w:val="18"/>
      <w:u w:val="single"/>
      <w:lang w:eastAsia="en-US"/>
    </w:rPr>
  </w:style>
  <w:style w:type="paragraph" w:customStyle="1" w:styleId="pays">
    <w:name w:val="pays"/>
    <w:pPr>
      <w:spacing w:before="200" w:after="100"/>
    </w:pPr>
    <w:rPr>
      <w:rFonts w:ascii="Myriad Pro" w:hAnsi="Myriad Pro"/>
      <w:b/>
      <w:color w:val="993300"/>
      <w:sz w:val="21"/>
      <w:lang w:eastAsia="en-US"/>
    </w:rPr>
  </w:style>
  <w:style w:type="paragraph" w:customStyle="1" w:styleId="tableauougraphique">
    <w:name w:val="tableau ou graphique"/>
    <w:pPr>
      <w:keepNext/>
      <w:numPr>
        <w:numId w:val="18"/>
      </w:numPr>
      <w:spacing w:before="200" w:after="200" w:line="276" w:lineRule="auto"/>
      <w:ind w:hanging="720"/>
    </w:pPr>
    <w:rPr>
      <w:rFonts w:ascii="Arial Narrow" w:eastAsia="Times New Roman" w:hAnsi="Arial Narrow" w:cs="Arial"/>
      <w:b/>
      <w:bCs/>
      <w:noProof/>
      <w:color w:val="943634"/>
      <w:lang w:eastAsia="en-US"/>
    </w:rPr>
  </w:style>
  <w:style w:type="paragraph" w:customStyle="1" w:styleId="texteparbullet">
    <w:name w:val="texte+par+bullet"/>
    <w:basedOn w:val="Normal"/>
    <w:pPr>
      <w:numPr>
        <w:numId w:val="17"/>
      </w:numPr>
      <w:spacing w:before="160" w:after="0" w:line="300" w:lineRule="auto"/>
      <w:jc w:val="both"/>
    </w:pPr>
    <w:rPr>
      <w:rFonts w:ascii="Arial" w:hAnsi="Arial" w:cs="Arial"/>
      <w:noProof/>
      <w:sz w:val="20"/>
      <w:szCs w:val="20"/>
      <w:lang w:eastAsia="de-DE"/>
    </w:rPr>
  </w:style>
  <w:style w:type="paragraph" w:customStyle="1" w:styleId="texteparbulletretrait">
    <w:name w:val="texte+par+bullet+retrait"/>
    <w:basedOn w:val="texteparbullet"/>
    <w:pPr>
      <w:numPr>
        <w:numId w:val="0"/>
      </w:numPr>
      <w:spacing w:before="80"/>
    </w:pPr>
  </w:style>
  <w:style w:type="paragraph" w:customStyle="1" w:styleId="texte1">
    <w:name w:val="texte1"/>
    <w:basedOn w:val="Normal"/>
    <w:pPr>
      <w:spacing w:before="40" w:after="0" w:line="240" w:lineRule="auto"/>
      <w:jc w:val="both"/>
    </w:pPr>
    <w:rPr>
      <w:rFonts w:ascii="Arial" w:hAnsi="Arial" w:cs="Arial"/>
      <w:sz w:val="2"/>
      <w:szCs w:val="17"/>
      <w:lang w:eastAsia="en-GB"/>
    </w:rPr>
  </w:style>
  <w:style w:type="paragraph" w:customStyle="1" w:styleId="texte83ap">
    <w:name w:val="texte8_3ap"/>
    <w:basedOn w:val="Normal"/>
    <w:pPr>
      <w:widowControl w:val="0"/>
      <w:spacing w:before="40" w:after="60" w:line="240" w:lineRule="auto"/>
      <w:jc w:val="both"/>
    </w:pPr>
    <w:rPr>
      <w:rFonts w:ascii="Arial" w:hAnsi="Arial" w:cs="Arial"/>
      <w:sz w:val="16"/>
      <w:szCs w:val="16"/>
    </w:rPr>
  </w:style>
  <w:style w:type="paragraph" w:customStyle="1" w:styleId="texte">
    <w:name w:val="texte"/>
    <w:basedOn w:val="textepar"/>
    <w:pPr>
      <w:spacing w:before="0"/>
      <w:jc w:val="left"/>
    </w:pPr>
    <w:rPr>
      <w:rFonts w:eastAsia="Calibri" w:cs="Arial"/>
      <w:sz w:val="20"/>
      <w:szCs w:val="20"/>
      <w:lang w:eastAsia="en-GB"/>
    </w:rPr>
  </w:style>
  <w:style w:type="character" w:customStyle="1" w:styleId="Caracteresdenotaderodap">
    <w:name w:val="Caracteres de nota de rodapé"/>
    <w:rPr>
      <w:rFonts w:cs="Times New Roman"/>
      <w:vertAlign w:val="superscript"/>
    </w:rPr>
  </w:style>
  <w:style w:type="character" w:customStyle="1" w:styleId="rightside">
    <w:name w:val="right_side"/>
    <w:rPr>
      <w:rFonts w:cs="Times New Roman"/>
    </w:rPr>
  </w:style>
  <w:style w:type="paragraph" w:customStyle="1" w:styleId="CM1">
    <w:name w:val="CM1"/>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Headin2">
    <w:name w:val="Headin 2"/>
    <w:basedOn w:val="Normal"/>
    <w:pPr>
      <w:keepNext/>
      <w:tabs>
        <w:tab w:val="left" w:pos="540"/>
      </w:tabs>
      <w:spacing w:before="320" w:after="360" w:line="240" w:lineRule="auto"/>
      <w:jc w:val="both"/>
      <w:outlineLvl w:val="1"/>
    </w:pPr>
    <w:rPr>
      <w:rFonts w:ascii="Arial" w:eastAsia="Times New Roman" w:hAnsi="Arial" w:cs="Arial"/>
      <w:b/>
      <w:bCs/>
      <w:color w:val="943634"/>
      <w:spacing w:val="10"/>
      <w:sz w:val="28"/>
      <w:szCs w:val="28"/>
    </w:rPr>
  </w:style>
  <w:style w:type="paragraph" w:customStyle="1" w:styleId="HwSINF">
    <w:name w:val="HwSINF §"/>
    <w:basedOn w:val="Normal"/>
    <w:pPr>
      <w:keepNext/>
      <w:spacing w:before="270" w:after="160" w:line="240" w:lineRule="auto"/>
      <w:jc w:val="both"/>
      <w:outlineLvl w:val="2"/>
    </w:pPr>
    <w:rPr>
      <w:rFonts w:ascii="Verdana" w:eastAsia="Times New Roman" w:hAnsi="Verdana"/>
      <w:b/>
      <w:color w:val="943634"/>
      <w:sz w:val="24"/>
    </w:rPr>
  </w:style>
  <w:style w:type="paragraph" w:styleId="DocumentMap">
    <w:name w:val="Document Map"/>
    <w:basedOn w:val="Normal"/>
    <w:link w:val="DocumentMapChar"/>
    <w:semiHidden/>
    <w:pPr>
      <w:shd w:val="clear" w:color="auto" w:fill="000080"/>
      <w:spacing w:before="120" w:after="120" w:line="240" w:lineRule="auto"/>
      <w:jc w:val="both"/>
    </w:pPr>
    <w:rPr>
      <w:rFonts w:ascii="Tahoma" w:eastAsia="Times New Roman" w:hAnsi="Tahoma"/>
      <w:sz w:val="20"/>
      <w:szCs w:val="20"/>
      <w:lang w:eastAsia="x-none"/>
    </w:rPr>
  </w:style>
  <w:style w:type="character" w:customStyle="1" w:styleId="DocumentMapChar">
    <w:name w:val="Document Map Char"/>
    <w:link w:val="DocumentMap"/>
    <w:semiHidden/>
    <w:rPr>
      <w:rFonts w:ascii="Tahoma" w:eastAsia="Times New Roman" w:hAnsi="Tahoma"/>
      <w:shd w:val="clear" w:color="auto" w:fill="000080"/>
      <w:lang w:val="en-GB" w:eastAsia="x-none"/>
    </w:rPr>
  </w:style>
  <w:style w:type="paragraph" w:customStyle="1" w:styleId="PartTit">
    <w:name w:val="PartTit#"/>
    <w:basedOn w:val="Heading1"/>
    <w:pPr>
      <w:tabs>
        <w:tab w:val="num" w:pos="850"/>
      </w:tabs>
      <w:spacing w:before="360" w:after="120" w:line="240" w:lineRule="auto"/>
      <w:ind w:left="850" w:hanging="850"/>
      <w:jc w:val="both"/>
    </w:pPr>
    <w:rPr>
      <w:rFonts w:ascii="Times New Roman" w:hAnsi="Times New Roman"/>
      <w:smallCaps/>
      <w:kern w:val="0"/>
      <w:sz w:val="24"/>
      <w:lang w:eastAsia="x-none"/>
    </w:rPr>
  </w:style>
  <w:style w:type="paragraph" w:customStyle="1" w:styleId="ManualHeading10">
    <w:name w:val="ManualHeading 1"/>
    <w:basedOn w:val="Normal"/>
    <w:qFormat/>
    <w:pPr>
      <w:spacing w:before="120" w:after="120" w:line="240" w:lineRule="auto"/>
      <w:jc w:val="both"/>
    </w:pPr>
    <w:rPr>
      <w:rFonts w:ascii="Times New Roman" w:eastAsia="Times New Roman" w:hAnsi="Times New Roman"/>
      <w:sz w:val="24"/>
      <w:szCs w:val="24"/>
    </w:rPr>
  </w:style>
  <w:style w:type="paragraph" w:customStyle="1" w:styleId="PartTitel">
    <w:name w:val="PartTitel"/>
    <w:basedOn w:val="Normal"/>
    <w:pPr>
      <w:spacing w:before="120" w:after="120" w:line="240" w:lineRule="auto"/>
      <w:jc w:val="both"/>
    </w:pPr>
    <w:rPr>
      <w:rFonts w:ascii="Times New Roman" w:eastAsia="Times New Roman" w:hAnsi="Times New Roman"/>
      <w:sz w:val="24"/>
      <w:szCs w:val="24"/>
    </w:rPr>
  </w:style>
  <w:style w:type="paragraph" w:customStyle="1" w:styleId="Heading20">
    <w:name w:val="Heading 2#"/>
    <w:basedOn w:val="Normal"/>
    <w:qFormat/>
    <w:pPr>
      <w:spacing w:before="160" w:after="0" w:line="300" w:lineRule="auto"/>
      <w:jc w:val="both"/>
    </w:pPr>
    <w:rPr>
      <w:rFonts w:ascii="Verdana" w:eastAsia="Times New Roman" w:hAnsi="Verdana" w:cs="Arial"/>
      <w:color w:val="632423"/>
      <w:sz w:val="20"/>
      <w:szCs w:val="20"/>
    </w:rPr>
  </w:style>
  <w:style w:type="paragraph" w:customStyle="1" w:styleId="Point00">
    <w:name w:val="Point0"/>
    <w:basedOn w:val="Point1"/>
    <w:pPr>
      <w:tabs>
        <w:tab w:val="left" w:pos="567"/>
      </w:tabs>
      <w:ind w:left="719" w:hanging="435"/>
    </w:pPr>
  </w:style>
  <w:style w:type="paragraph" w:customStyle="1" w:styleId="ManualHeading20">
    <w:name w:val="ManualHeading 2"/>
    <w:basedOn w:val="Normal"/>
    <w:pPr>
      <w:spacing w:before="120" w:after="120" w:line="240" w:lineRule="auto"/>
      <w:jc w:val="both"/>
    </w:pPr>
    <w:rPr>
      <w:rFonts w:ascii="Times New Roman" w:eastAsia="Times New Roman" w:hAnsi="Times New Roman"/>
      <w:sz w:val="24"/>
      <w:szCs w:val="24"/>
    </w:rPr>
  </w:style>
  <w:style w:type="character" w:customStyle="1" w:styleId="at1">
    <w:name w:val="a__t1"/>
  </w:style>
  <w:style w:type="paragraph" w:customStyle="1" w:styleId="Caption0">
    <w:name w:val="Caption#"/>
    <w:basedOn w:val="Normal"/>
    <w:qFormat/>
    <w:pPr>
      <w:spacing w:before="40" w:after="180" w:line="240" w:lineRule="auto"/>
      <w:jc w:val="both"/>
    </w:pPr>
    <w:rPr>
      <w:rFonts w:ascii="Times New Roman" w:eastAsia="Times New Roman" w:hAnsi="Times New Roman"/>
      <w:sz w:val="24"/>
      <w:lang w:val="en-US"/>
    </w:rPr>
  </w:style>
  <w:style w:type="character" w:customStyle="1" w:styleId="Titolodellibro">
    <w:name w:val="Titolo del libro"/>
    <w:uiPriority w:val="33"/>
    <w:qFormat/>
    <w:rPr>
      <w:b/>
      <w:bCs/>
      <w:smallCaps/>
      <w:spacing w:val="5"/>
    </w:rPr>
  </w:style>
  <w:style w:type="paragraph" w:customStyle="1" w:styleId="Reference">
    <w:name w:val="Reference"/>
    <w:basedOn w:val="Normal"/>
    <w:link w:val="ReferenceChar"/>
    <w:qFormat/>
    <w:pPr>
      <w:keepLines/>
      <w:spacing w:before="40" w:after="120" w:line="240" w:lineRule="auto"/>
      <w:ind w:left="720" w:hanging="720"/>
    </w:pPr>
    <w:rPr>
      <w:rFonts w:ascii="Times New Roman" w:eastAsia="Times New Roman" w:hAnsi="Times New Roman"/>
      <w:noProof/>
      <w:lang w:val="en-US"/>
    </w:rPr>
  </w:style>
  <w:style w:type="character" w:customStyle="1" w:styleId="st1">
    <w:name w:val="st1"/>
  </w:style>
  <w:style w:type="character" w:customStyle="1" w:styleId="ReferenceChar">
    <w:name w:val="Reference Char"/>
    <w:link w:val="Reference"/>
    <w:rPr>
      <w:rFonts w:ascii="Times New Roman" w:eastAsia="Times New Roman" w:hAnsi="Times New Roman"/>
      <w:noProof/>
      <w:sz w:val="22"/>
      <w:szCs w:val="22"/>
      <w:lang w:val="en-US"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TitolosommarioCarattere">
    <w:name w:val="Titolo sommario Carattere"/>
    <w:link w:val="Titolosommario"/>
    <w:uiPriority w:val="39"/>
    <w:rPr>
      <w:rFonts w:ascii="Times New Roman" w:eastAsia="Times New Roman" w:hAnsi="Times New Roman"/>
      <w:b/>
      <w:sz w:val="28"/>
      <w:szCs w:val="24"/>
      <w:lang w:val="x-none" w:eastAsia="en-US"/>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top">
    <w:name w:val="top"/>
    <w:basedOn w:val="Normal"/>
    <w:link w:val="topChar"/>
    <w:qFormat/>
    <w:pPr>
      <w:spacing w:after="0" w:line="240" w:lineRule="auto"/>
      <w:jc w:val="both"/>
    </w:pPr>
    <w:rPr>
      <w:rFonts w:ascii="Times New Roman" w:eastAsia="Times New Roman" w:hAnsi="Times New Roman"/>
      <w:sz w:val="2"/>
      <w:szCs w:val="2"/>
      <w:lang w:val="en-US"/>
    </w:rPr>
  </w:style>
  <w:style w:type="paragraph" w:customStyle="1" w:styleId="Tiop">
    <w:name w:val="Tiop"/>
    <w:basedOn w:val="Normal"/>
    <w:qFormat/>
    <w:pPr>
      <w:spacing w:before="40" w:after="180" w:line="240" w:lineRule="auto"/>
      <w:jc w:val="both"/>
    </w:pPr>
    <w:rPr>
      <w:rFonts w:ascii="Times New Roman" w:eastAsia="Times New Roman" w:hAnsi="Times New Roman"/>
      <w:sz w:val="24"/>
      <w:lang w:val="en-US"/>
    </w:rPr>
  </w:style>
  <w:style w:type="character" w:customStyle="1" w:styleId="topChar">
    <w:name w:val="top Char"/>
    <w:link w:val="top"/>
    <w:rPr>
      <w:rFonts w:ascii="Times New Roman" w:eastAsia="Times New Roman" w:hAnsi="Times New Roman"/>
      <w:sz w:val="2"/>
      <w:szCs w:val="2"/>
      <w:lang w:val="en-US" w:eastAsia="en-US"/>
    </w:rPr>
  </w:style>
  <w:style w:type="paragraph" w:customStyle="1" w:styleId="a75TextbaseTable">
    <w:name w:val="_a7_5_Text_base_Table"/>
    <w:qFormat/>
    <w:pPr>
      <w:tabs>
        <w:tab w:val="left" w:pos="1985"/>
      </w:tabs>
    </w:pPr>
    <w:rPr>
      <w:rFonts w:ascii="Arial" w:eastAsia="Times New Roman" w:hAnsi="Arial" w:cs="Arial"/>
      <w:snapToGrid w:val="0"/>
      <w:color w:val="1F497D"/>
      <w:sz w:val="16"/>
      <w:szCs w:val="16"/>
      <w:lang w:val="en-US" w:eastAsia="en-US"/>
    </w:r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styleId="Revision">
    <w:name w:val="Revision"/>
    <w:hidden/>
    <w:uiPriority w:val="99"/>
    <w:semiHidden/>
    <w:rPr>
      <w:sz w:val="22"/>
      <w:szCs w:val="22"/>
      <w:lang w:eastAsia="en-US"/>
    </w:rPr>
  </w:style>
  <w:style w:type="paragraph" w:customStyle="1" w:styleId="a71Textpara">
    <w:name w:val="_a7_1_Text_para"/>
    <w:link w:val="a71TextparaChar"/>
    <w:pPr>
      <w:tabs>
        <w:tab w:val="left" w:pos="4253"/>
      </w:tabs>
      <w:spacing w:before="160" w:line="300" w:lineRule="auto"/>
      <w:jc w:val="both"/>
    </w:pPr>
    <w:rPr>
      <w:rFonts w:ascii="Arial" w:hAnsi="Arial" w:cs="Arial"/>
      <w:color w:val="1F497D"/>
      <w:lang w:eastAsia="en-US"/>
    </w:rPr>
  </w:style>
  <w:style w:type="character" w:customStyle="1" w:styleId="a71TextparaChar">
    <w:name w:val="_a7_1_Text_para Char"/>
    <w:link w:val="a71Textpara"/>
    <w:rPr>
      <w:rFonts w:ascii="Arial" w:hAnsi="Arial" w:cs="Arial"/>
      <w:color w:val="1F497D"/>
      <w:lang w:val="en-GB" w:eastAsia="en-US" w:bidi="ar-SA"/>
    </w:rPr>
  </w:style>
  <w:style w:type="paragraph" w:customStyle="1" w:styleId="Yo13YouthIndicator">
    <w:name w:val="_Yo_13_Youth_Indicator"/>
    <w:qFormat/>
    <w:pPr>
      <w:spacing w:line="300" w:lineRule="auto"/>
      <w:ind w:left="113" w:right="113"/>
    </w:pPr>
    <w:rPr>
      <w:b/>
      <w:color w:val="FFFFFF"/>
      <w:sz w:val="16"/>
      <w:szCs w:val="22"/>
      <w:lang w:eastAsia="en-US"/>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Yo0H1Char">
    <w:name w:val="_Yo_0_H1 Char"/>
    <w:link w:val="Yo0H1"/>
    <w:rPr>
      <w:rFonts w:ascii="Verdana" w:eastAsia="Times New Roman" w:hAnsi="Verdana" w:cs="MyriadPro-Bold"/>
      <w:b/>
      <w:bCs w:val="0"/>
      <w:color w:val="DB1E48"/>
      <w:kern w:val="32"/>
      <w:sz w:val="44"/>
      <w:szCs w:val="44"/>
      <w:lang w:val="en-US" w:eastAsia="fr-BE"/>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 w:type="paragraph" w:styleId="TOCHeading">
    <w:name w:val="TOC Heading"/>
    <w:basedOn w:val="Heading1"/>
    <w:next w:val="Normal"/>
    <w:uiPriority w:val="39"/>
    <w:unhideWhenUsed/>
    <w:qFormat/>
    <w:pPr>
      <w:keepLines/>
      <w:spacing w:after="0" w:line="259" w:lineRule="auto"/>
      <w:outlineLvl w:val="9"/>
    </w:pPr>
    <w:rPr>
      <w:rFonts w:ascii="Calibri Light" w:hAnsi="Calibri Light"/>
      <w:b w:val="0"/>
      <w:bCs w:val="0"/>
      <w:color w:val="2E74B5"/>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04869">
      <w:bodyDiv w:val="1"/>
      <w:marLeft w:val="0"/>
      <w:marRight w:val="0"/>
      <w:marTop w:val="0"/>
      <w:marBottom w:val="0"/>
      <w:divBdr>
        <w:top w:val="none" w:sz="0" w:space="0" w:color="auto"/>
        <w:left w:val="none" w:sz="0" w:space="0" w:color="auto"/>
        <w:bottom w:val="none" w:sz="0" w:space="0" w:color="auto"/>
        <w:right w:val="none" w:sz="0" w:space="0" w:color="auto"/>
      </w:divBdr>
    </w:div>
    <w:div w:id="366491573">
      <w:bodyDiv w:val="1"/>
      <w:marLeft w:val="0"/>
      <w:marRight w:val="0"/>
      <w:marTop w:val="0"/>
      <w:marBottom w:val="0"/>
      <w:divBdr>
        <w:top w:val="none" w:sz="0" w:space="0" w:color="auto"/>
        <w:left w:val="none" w:sz="0" w:space="0" w:color="auto"/>
        <w:bottom w:val="none" w:sz="0" w:space="0" w:color="auto"/>
        <w:right w:val="none" w:sz="0" w:space="0" w:color="auto"/>
      </w:divBdr>
    </w:div>
    <w:div w:id="822114102">
      <w:bodyDiv w:val="1"/>
      <w:marLeft w:val="0"/>
      <w:marRight w:val="0"/>
      <w:marTop w:val="0"/>
      <w:marBottom w:val="0"/>
      <w:divBdr>
        <w:top w:val="none" w:sz="0" w:space="0" w:color="auto"/>
        <w:left w:val="none" w:sz="0" w:space="0" w:color="auto"/>
        <w:bottom w:val="none" w:sz="0" w:space="0" w:color="auto"/>
        <w:right w:val="none" w:sz="0" w:space="0" w:color="auto"/>
      </w:divBdr>
    </w:div>
    <w:div w:id="1184512386">
      <w:bodyDiv w:val="1"/>
      <w:marLeft w:val="0"/>
      <w:marRight w:val="0"/>
      <w:marTop w:val="0"/>
      <w:marBottom w:val="0"/>
      <w:divBdr>
        <w:top w:val="none" w:sz="0" w:space="0" w:color="auto"/>
        <w:left w:val="none" w:sz="0" w:space="0" w:color="auto"/>
        <w:bottom w:val="none" w:sz="0" w:space="0" w:color="auto"/>
        <w:right w:val="none" w:sz="0" w:space="0" w:color="auto"/>
      </w:divBdr>
    </w:div>
    <w:div w:id="1373576010">
      <w:bodyDiv w:val="1"/>
      <w:marLeft w:val="0"/>
      <w:marRight w:val="0"/>
      <w:marTop w:val="0"/>
      <w:marBottom w:val="0"/>
      <w:divBdr>
        <w:top w:val="none" w:sz="0" w:space="0" w:color="auto"/>
        <w:left w:val="none" w:sz="0" w:space="0" w:color="auto"/>
        <w:bottom w:val="none" w:sz="0" w:space="0" w:color="auto"/>
        <w:right w:val="none" w:sz="0" w:space="0" w:color="auto"/>
      </w:divBdr>
    </w:div>
    <w:div w:id="1925064165">
      <w:bodyDiv w:val="1"/>
      <w:marLeft w:val="0"/>
      <w:marRight w:val="0"/>
      <w:marTop w:val="0"/>
      <w:marBottom w:val="0"/>
      <w:divBdr>
        <w:top w:val="none" w:sz="0" w:space="0" w:color="auto"/>
        <w:left w:val="none" w:sz="0" w:space="0" w:color="auto"/>
        <w:bottom w:val="none" w:sz="0" w:space="0" w:color="auto"/>
        <w:right w:val="none" w:sz="0" w:space="0" w:color="auto"/>
      </w:divBdr>
    </w:div>
    <w:div w:id="19677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file:///\\s-eacea-fs03-p\EACEA.A7\Youth\04_Reports\a_EU_Youth_Reports\2018\03_graph\4_B_obesity_gender_EU28.jpg" TargetMode="Externa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image" Target="file:///\\s-eacea-fs03-p\EACEA.A7\Youth\04_Reports\a_EU_Youth_Reports\2018\03_graph\4_I_b_accidents.jpg" TargetMode="External"/><Relationship Id="rId63" Type="http://schemas.openxmlformats.org/officeDocument/2006/relationships/image" Target="media/image32.png"/><Relationship Id="rId68" Type="http://schemas.openxmlformats.org/officeDocument/2006/relationships/image" Target="media/image36.jpeg"/><Relationship Id="rId76" Type="http://schemas.openxmlformats.org/officeDocument/2006/relationships/image" Target="media/image41.jpeg"/><Relationship Id="rId84"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3.jpeg"/><Relationship Id="rId37" Type="http://schemas.openxmlformats.org/officeDocument/2006/relationships/image" Target="file:///\\s-eacea-fs03-p\EACEA.A7\Youth\04_Reports\a_EU_Youth_Reports\2018\03_graph\4_D_smoking_gender_MAP.jpg" TargetMode="External"/><Relationship Id="rId40" Type="http://schemas.openxmlformats.org/officeDocument/2006/relationships/image" Target="media/image18.jpeg"/><Relationship Id="rId45" Type="http://schemas.openxmlformats.org/officeDocument/2006/relationships/image" Target="media/image21.png"/><Relationship Id="rId53" Type="http://schemas.openxmlformats.org/officeDocument/2006/relationships/image" Target="file:///C:\Users\paredcr\AppData\Local\Temp\03_graph\4_I_accidents.jpg" TargetMode="External"/><Relationship Id="rId58" Type="http://schemas.openxmlformats.org/officeDocument/2006/relationships/image" Target="media/image29.jpeg"/><Relationship Id="rId66" Type="http://schemas.openxmlformats.org/officeDocument/2006/relationships/image" Target="media/image35.jpeg"/><Relationship Id="rId74" Type="http://schemas.openxmlformats.org/officeDocument/2006/relationships/image" Target="media/image40.jpeg"/><Relationship Id="rId79" Type="http://schemas.openxmlformats.org/officeDocument/2006/relationships/image" Target="file:///\\s-eacea-fs03-p\EACEA.A7\Youth\04_Reports\a_EU_Youth_Reports\2018\03_graph\4_N_suicide_gender_MAP.jpg"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footer" Target="footer4.xml"/><Relationship Id="rId19" Type="http://schemas.openxmlformats.org/officeDocument/2006/relationships/image" Target="file:///\\s-eacea-fs03-p\EACEA.A7\Youth\04_Reports\a_EU_Youth_Reports\2018\03_graph\4_A_b_obesity.jp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file:///\\s-eacea-fs03-p\EACEA.A7\Youth\04_Reports\a_EU_Youth_Reports\2018\03_graph\4_D_smoking_gender_EU28.jpg" TargetMode="External"/><Relationship Id="rId43" Type="http://schemas.openxmlformats.org/officeDocument/2006/relationships/image" Target="file:///\\s-eacea-fs03-p\EACEA.A7\Youth\04_Reports\a_EU_Youth_Reports\2018\03_graph\4_F_drunkenness_gender.jpg" TargetMode="External"/><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3.png"/><Relationship Id="rId69" Type="http://schemas.openxmlformats.org/officeDocument/2006/relationships/image" Target="file:///\\s-eacea-fs03-p\EACEA.A7\Youth\04_Reports\a_EU_Youth_Reports\2018\03_graph\4_L_depression_gender_MAP.jpg" TargetMode="External"/><Relationship Id="rId77" Type="http://schemas.openxmlformats.org/officeDocument/2006/relationships/image" Target="file:///\\s-eacea-fs03-p\EACEA.A7\Youth\04_Reports\a_EU_Youth_Reports\2018\03_graph\4_N_suicide_gender_EU28.jpg" TargetMode="External"/><Relationship Id="rId8" Type="http://schemas.openxmlformats.org/officeDocument/2006/relationships/endnotes" Target="endnotes.xml"/><Relationship Id="rId51" Type="http://schemas.openxmlformats.org/officeDocument/2006/relationships/image" Target="file:///\\s-eacea-fs03-p\EACEA.A7\Youth\04_Reports\a_EU_Youth_Reports\2018\03_graph\4_H_cannabis_gender.jpg" TargetMode="External"/><Relationship Id="rId72" Type="http://schemas.openxmlformats.org/officeDocument/2006/relationships/image" Target="media/image39.jpeg"/><Relationship Id="rId80" Type="http://schemas.openxmlformats.org/officeDocument/2006/relationships/header" Target="header4.xml"/><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file:///\\s-eacea-fs03-p\EACEA.A7\Youth\04_Reports\a_EU_Youth_Reports\2018\03_graph\4_A_obesity.jpg" TargetMode="External"/><Relationship Id="rId25" Type="http://schemas.openxmlformats.org/officeDocument/2006/relationships/image" Target="media/image7.png"/><Relationship Id="rId33" Type="http://schemas.openxmlformats.org/officeDocument/2006/relationships/image" Target="file:///\\s-eacea-fs03-p\EACEA.A7\Youth\04_Reports\a_EU_Youth_Reports\2018\03_graph\4_C_b_smoking.jpg" TargetMode="External"/><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file:///\\s-eacea-fs03-p\EACEA.A7\Youth\04_Reports\a_EU_Youth_Reports\2018\03_graph\4_J_accidents_gender_MAP.jpg" TargetMode="External"/><Relationship Id="rId67" Type="http://schemas.openxmlformats.org/officeDocument/2006/relationships/image" Target="file:///\\s-eacea-fs03-p\EACEA.A7\Youth\04_Reports\a_EU_Youth_Reports\2018\03_graph\4_L_depression_gender_EU28.jpg" TargetMode="External"/><Relationship Id="rId20" Type="http://schemas.openxmlformats.org/officeDocument/2006/relationships/image" Target="media/image4.jpeg"/><Relationship Id="rId41" Type="http://schemas.openxmlformats.org/officeDocument/2006/relationships/image" Target="file:///C:\Users\paredcr\AppData\Local\Temp\03_graph\4_E_drunkenness.jpg" TargetMode="External"/><Relationship Id="rId54" Type="http://schemas.openxmlformats.org/officeDocument/2006/relationships/image" Target="media/image27.jpeg"/><Relationship Id="rId62" Type="http://schemas.openxmlformats.org/officeDocument/2006/relationships/image" Target="file:///\\s-eacea-fs03-p\EACEA.A7\Youth\04_Reports\a_EU_Youth_Reports\2018\03_graph\4_K_depression.jpg" TargetMode="External"/><Relationship Id="rId70" Type="http://schemas.openxmlformats.org/officeDocument/2006/relationships/image" Target="media/image37.png"/><Relationship Id="rId75" Type="http://schemas.openxmlformats.org/officeDocument/2006/relationships/image" Target="file:///\\s-eacea-fs03-p\EACEA.A7\Youth\04_Reports\a_EU_Youth_Reports\2018\03_graph\4_M_b_suicide.jpg"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file:///\\s-eacea-fs03-p\EACEA.A7\Youth\04_Reports\a_EU_Youth_Reports\2018\03_graph\4_B_obesity_gender_MAP.jpg" TargetMode="External"/><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image" Target="file:///\\s-eacea-fs03-p\EACEA.A7\Youth\04_Reports\a_EU_Youth_Reports\2018\03_graph\4_G_cannabis.jpg" TargetMode="External"/><Relationship Id="rId57" Type="http://schemas.openxmlformats.org/officeDocument/2006/relationships/image" Target="file:///\\s-eacea-fs03-p\EACEA.A7\Youth\04_Reports\a_EU_Youth_Reports\2018\03_graph\4_J_accidents_gender_EU28.jpg" TargetMode="External"/><Relationship Id="rId10" Type="http://schemas.openxmlformats.org/officeDocument/2006/relationships/header" Target="header1.xml"/><Relationship Id="rId31" Type="http://schemas.openxmlformats.org/officeDocument/2006/relationships/image" Target="file:///\\s-eacea-fs03-p\EACEA.A7\Youth\04_Reports\a_EU_Youth_Reports\2018\03_graph\4_C_smoking.jpg" TargetMode="External"/><Relationship Id="rId44" Type="http://schemas.openxmlformats.org/officeDocument/2006/relationships/image" Target="media/image20.png"/><Relationship Id="rId52" Type="http://schemas.openxmlformats.org/officeDocument/2006/relationships/image" Target="media/image26.jpeg"/><Relationship Id="rId60" Type="http://schemas.openxmlformats.org/officeDocument/2006/relationships/image" Target="media/image30.png"/><Relationship Id="rId65" Type="http://schemas.openxmlformats.org/officeDocument/2006/relationships/image" Target="media/image34.jpeg"/><Relationship Id="rId73" Type="http://schemas.openxmlformats.org/officeDocument/2006/relationships/image" Target="file:///C:\Users\paredcr\AppData\Local\Temp\03_graph\4_M_suicide.jpg" TargetMode="External"/><Relationship Id="rId78" Type="http://schemas.openxmlformats.org/officeDocument/2006/relationships/image" Target="media/image42.jpeg"/><Relationship Id="rId81" Type="http://schemas.openxmlformats.org/officeDocument/2006/relationships/header" Target="header5.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91C4D-E81B-4E51-AC93-3B88DEE2B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7654</Words>
  <Characters>39726</Characters>
  <Application>Microsoft Office Word</Application>
  <DocSecurity>0</DocSecurity>
  <Lines>882</Lines>
  <Paragraphs>264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47116</CharactersWithSpaces>
  <SharedDoc>false</SharedDoc>
  <HLinks>
    <vt:vector size="138" baseType="variant">
      <vt:variant>
        <vt:i4>8192049</vt:i4>
      </vt:variant>
      <vt:variant>
        <vt:i4>8135</vt:i4>
      </vt:variant>
      <vt:variant>
        <vt:i4>1026</vt:i4>
      </vt:variant>
      <vt:variant>
        <vt:i4>1</vt:i4>
      </vt:variant>
      <vt:variant>
        <vt:lpwstr>\\s-eacea-fs03-p\EACEA.A7\Youth\04_Reports\a_EU_Youth_Reports\2018\03_graph\4_A_obesity.jpg</vt:lpwstr>
      </vt:variant>
      <vt:variant>
        <vt:lpwstr/>
      </vt:variant>
      <vt:variant>
        <vt:i4>2228307</vt:i4>
      </vt:variant>
      <vt:variant>
        <vt:i4>8273</vt:i4>
      </vt:variant>
      <vt:variant>
        <vt:i4>1027</vt:i4>
      </vt:variant>
      <vt:variant>
        <vt:i4>1</vt:i4>
      </vt:variant>
      <vt:variant>
        <vt:lpwstr>\\s-eacea-fs03-p\EACEA.A7\Youth\04_Reports\a_EU_Youth_Reports\2018\03_graph\4_A_b_obesity.jpg</vt:lpwstr>
      </vt:variant>
      <vt:variant>
        <vt:lpwstr/>
      </vt:variant>
      <vt:variant>
        <vt:i4>2031700</vt:i4>
      </vt:variant>
      <vt:variant>
        <vt:i4>11985</vt:i4>
      </vt:variant>
      <vt:variant>
        <vt:i4>1028</vt:i4>
      </vt:variant>
      <vt:variant>
        <vt:i4>1</vt:i4>
      </vt:variant>
      <vt:variant>
        <vt:lpwstr>\\s-eacea-fs03-p\EACEA.A7\Youth\04_Reports\a_EU_Youth_Reports\2018\03_graph\4_B_obesity_gender_MAP.jpg</vt:lpwstr>
      </vt:variant>
      <vt:variant>
        <vt:lpwstr/>
      </vt:variant>
      <vt:variant>
        <vt:i4>7340091</vt:i4>
      </vt:variant>
      <vt:variant>
        <vt:i4>16741</vt:i4>
      </vt:variant>
      <vt:variant>
        <vt:i4>1035</vt:i4>
      </vt:variant>
      <vt:variant>
        <vt:i4>1</vt:i4>
      </vt:variant>
      <vt:variant>
        <vt:lpwstr>\\s-eacea-fs03-p\EACEA.A7\Youth\04_Reports\a_EU_Youth_Reports\2018\03_graph\4_C_smoking.jpg</vt:lpwstr>
      </vt:variant>
      <vt:variant>
        <vt:lpwstr/>
      </vt:variant>
      <vt:variant>
        <vt:i4>3080281</vt:i4>
      </vt:variant>
      <vt:variant>
        <vt:i4>16885</vt:i4>
      </vt:variant>
      <vt:variant>
        <vt:i4>1036</vt:i4>
      </vt:variant>
      <vt:variant>
        <vt:i4>1</vt:i4>
      </vt:variant>
      <vt:variant>
        <vt:lpwstr>\\s-eacea-fs03-p\EACEA.A7\Youth\04_Reports\a_EU_Youth_Reports\2018\03_graph\4_C_b_smoking.jpg</vt:lpwstr>
      </vt:variant>
      <vt:variant>
        <vt:lpwstr/>
      </vt:variant>
      <vt:variant>
        <vt:i4>1179738</vt:i4>
      </vt:variant>
      <vt:variant>
        <vt:i4>19377</vt:i4>
      </vt:variant>
      <vt:variant>
        <vt:i4>1037</vt:i4>
      </vt:variant>
      <vt:variant>
        <vt:i4>1</vt:i4>
      </vt:variant>
      <vt:variant>
        <vt:lpwstr>\\s-eacea-fs03-p\EACEA.A7\Youth\04_Reports\a_EU_Youth_Reports\2018\03_graph\4_D_smoking_gender_MAP.jpg</vt:lpwstr>
      </vt:variant>
      <vt:variant>
        <vt:lpwstr/>
      </vt:variant>
      <vt:variant>
        <vt:i4>8126509</vt:i4>
      </vt:variant>
      <vt:variant>
        <vt:i4>22474</vt:i4>
      </vt:variant>
      <vt:variant>
        <vt:i4>1045</vt:i4>
      </vt:variant>
      <vt:variant>
        <vt:i4>1</vt:i4>
      </vt:variant>
      <vt:variant>
        <vt:lpwstr>\\s-eacea-fs03-p\EACEA.A7\Youth\04_Reports\a_EU_Youth_Reports\2018\03_graph\4_E_drunkenness.jpg</vt:lpwstr>
      </vt:variant>
      <vt:variant>
        <vt:lpwstr/>
      </vt:variant>
      <vt:variant>
        <vt:i4>196726</vt:i4>
      </vt:variant>
      <vt:variant>
        <vt:i4>25305</vt:i4>
      </vt:variant>
      <vt:variant>
        <vt:i4>1046</vt:i4>
      </vt:variant>
      <vt:variant>
        <vt:i4>1</vt:i4>
      </vt:variant>
      <vt:variant>
        <vt:lpwstr>\\s-eacea-fs03-p\EACEA.A7\Youth\04_Reports\a_EU_Youth_Reports\2018\03_graph\4_F_drunkenness_gender.jpg</vt:lpwstr>
      </vt:variant>
      <vt:variant>
        <vt:lpwstr/>
      </vt:variant>
      <vt:variant>
        <vt:i4>5570588</vt:i4>
      </vt:variant>
      <vt:variant>
        <vt:i4>28647</vt:i4>
      </vt:variant>
      <vt:variant>
        <vt:i4>1052</vt:i4>
      </vt:variant>
      <vt:variant>
        <vt:i4>1</vt:i4>
      </vt:variant>
      <vt:variant>
        <vt:lpwstr>\\s-eacea-fs03-p\EACEA.A7\Youth\04_Reports\a_EU_Youth_Reports\2018\03_graph\4_G_cannabis.jpg</vt:lpwstr>
      </vt:variant>
      <vt:variant>
        <vt:lpwstr/>
      </vt:variant>
      <vt:variant>
        <vt:i4>6946827</vt:i4>
      </vt:variant>
      <vt:variant>
        <vt:i4>30771</vt:i4>
      </vt:variant>
      <vt:variant>
        <vt:i4>1053</vt:i4>
      </vt:variant>
      <vt:variant>
        <vt:i4>1</vt:i4>
      </vt:variant>
      <vt:variant>
        <vt:lpwstr>\\s-eacea-fs03-p\EACEA.A7\Youth\04_Reports\a_EU_Youth_Reports\2018\03_graph\4_H_cannabis_gender.jpg</vt:lpwstr>
      </vt:variant>
      <vt:variant>
        <vt:lpwstr/>
      </vt:variant>
      <vt:variant>
        <vt:i4>196696</vt:i4>
      </vt:variant>
      <vt:variant>
        <vt:i4>33360</vt:i4>
      </vt:variant>
      <vt:variant>
        <vt:i4>1059</vt:i4>
      </vt:variant>
      <vt:variant>
        <vt:i4>1</vt:i4>
      </vt:variant>
      <vt:variant>
        <vt:lpwstr>\\s-eacea-fs03-p\EACEA.A7\Youth\04_Reports\a_EU_Youth_Reports\2018\03_graph\4_I_accidents.jpg</vt:lpwstr>
      </vt:variant>
      <vt:variant>
        <vt:lpwstr/>
      </vt:variant>
      <vt:variant>
        <vt:i4>6029370</vt:i4>
      </vt:variant>
      <vt:variant>
        <vt:i4>33525</vt:i4>
      </vt:variant>
      <vt:variant>
        <vt:i4>1060</vt:i4>
      </vt:variant>
      <vt:variant>
        <vt:i4>1</vt:i4>
      </vt:variant>
      <vt:variant>
        <vt:lpwstr>\\s-eacea-fs03-p\EACEA.A7\Youth\04_Reports\a_EU_Youth_Reports\2018\03_graph\4_I_b_accidents.jpg</vt:lpwstr>
      </vt:variant>
      <vt:variant>
        <vt:lpwstr/>
      </vt:variant>
      <vt:variant>
        <vt:i4>6357053</vt:i4>
      </vt:variant>
      <vt:variant>
        <vt:i4>36094</vt:i4>
      </vt:variant>
      <vt:variant>
        <vt:i4>1061</vt:i4>
      </vt:variant>
      <vt:variant>
        <vt:i4>1</vt:i4>
      </vt:variant>
      <vt:variant>
        <vt:lpwstr>\\s-eacea-fs03-p\EACEA.A7\Youth\04_Reports\a_EU_Youth_Reports\2018\03_graph\4_J_accidents_gender_MAP.jpg</vt:lpwstr>
      </vt:variant>
      <vt:variant>
        <vt:lpwstr/>
      </vt:variant>
      <vt:variant>
        <vt:i4>2621560</vt:i4>
      </vt:variant>
      <vt:variant>
        <vt:i4>39630</vt:i4>
      </vt:variant>
      <vt:variant>
        <vt:i4>1068</vt:i4>
      </vt:variant>
      <vt:variant>
        <vt:i4>1</vt:i4>
      </vt:variant>
      <vt:variant>
        <vt:lpwstr>\\s-eacea-fs03-p\EACEA.A7\Youth\04_Reports\a_EU_Youth_Reports\2018\03_graph\4_K_depression.jpg</vt:lpwstr>
      </vt:variant>
      <vt:variant>
        <vt:lpwstr/>
      </vt:variant>
      <vt:variant>
        <vt:i4>2687098</vt:i4>
      </vt:variant>
      <vt:variant>
        <vt:i4>41970</vt:i4>
      </vt:variant>
      <vt:variant>
        <vt:i4>1072</vt:i4>
      </vt:variant>
      <vt:variant>
        <vt:i4>1</vt:i4>
      </vt:variant>
      <vt:variant>
        <vt:lpwstr>\\s-eacea-fs03-p\EACEA.A7\Youth\04_Reports\a_EU_Youth_Reports\2018\03_graph\4_L_depression_gender_MAP.jpg</vt:lpwstr>
      </vt:variant>
      <vt:variant>
        <vt:lpwstr/>
      </vt:variant>
      <vt:variant>
        <vt:i4>6946865</vt:i4>
      </vt:variant>
      <vt:variant>
        <vt:i4>44417</vt:i4>
      </vt:variant>
      <vt:variant>
        <vt:i4>1079</vt:i4>
      </vt:variant>
      <vt:variant>
        <vt:i4>1</vt:i4>
      </vt:variant>
      <vt:variant>
        <vt:lpwstr>\\s-eacea-fs03-p\EACEA.A7\Youth\04_Reports\a_EU_Youth_Reports\2018\03_graph\4_M_suicide.jpg</vt:lpwstr>
      </vt:variant>
      <vt:variant>
        <vt:lpwstr/>
      </vt:variant>
      <vt:variant>
        <vt:i4>3473491</vt:i4>
      </vt:variant>
      <vt:variant>
        <vt:i4>44599</vt:i4>
      </vt:variant>
      <vt:variant>
        <vt:i4>1080</vt:i4>
      </vt:variant>
      <vt:variant>
        <vt:i4>1</vt:i4>
      </vt:variant>
      <vt:variant>
        <vt:lpwstr>\\s-eacea-fs03-p\EACEA.A7\Youth\04_Reports\a_EU_Youth_Reports\2018\03_graph\4_M_b_suicide.jpg</vt:lpwstr>
      </vt:variant>
      <vt:variant>
        <vt:lpwstr/>
      </vt:variant>
      <vt:variant>
        <vt:i4>524372</vt:i4>
      </vt:variant>
      <vt:variant>
        <vt:i4>46494</vt:i4>
      </vt:variant>
      <vt:variant>
        <vt:i4>1081</vt:i4>
      </vt:variant>
      <vt:variant>
        <vt:i4>1</vt:i4>
      </vt:variant>
      <vt:variant>
        <vt:lpwstr>\\s-eacea-fs03-p\EACEA.A7\Youth\04_Reports\a_EU_Youth_Reports\2018\03_graph\4_N_suicide_gender_MAP.jpg</vt:lpwstr>
      </vt:variant>
      <vt:variant>
        <vt:lpwstr/>
      </vt:variant>
      <vt:variant>
        <vt:i4>393292</vt:i4>
      </vt:variant>
      <vt:variant>
        <vt:i4>54863</vt:i4>
      </vt:variant>
      <vt:variant>
        <vt:i4>1087</vt:i4>
      </vt:variant>
      <vt:variant>
        <vt:i4>1</vt:i4>
      </vt:variant>
      <vt:variant>
        <vt:lpwstr>\\s-eacea-fs03-p\EACEA.A7\Youth\04_Reports\a_EU_Youth_Reports\2018\03_graph\4_B_obesity_gender_EU28.jpg</vt:lpwstr>
      </vt:variant>
      <vt:variant>
        <vt:lpwstr/>
      </vt:variant>
      <vt:variant>
        <vt:i4>720962</vt:i4>
      </vt:variant>
      <vt:variant>
        <vt:i4>54944</vt:i4>
      </vt:variant>
      <vt:variant>
        <vt:i4>1088</vt:i4>
      </vt:variant>
      <vt:variant>
        <vt:i4>1</vt:i4>
      </vt:variant>
      <vt:variant>
        <vt:lpwstr>\\s-eacea-fs03-p\EACEA.A7\Youth\04_Reports\a_EU_Youth_Reports\2018\03_graph\4_D_smoking_gender_EU28.jpg</vt:lpwstr>
      </vt:variant>
      <vt:variant>
        <vt:lpwstr/>
      </vt:variant>
      <vt:variant>
        <vt:i4>7864357</vt:i4>
      </vt:variant>
      <vt:variant>
        <vt:i4>55069</vt:i4>
      </vt:variant>
      <vt:variant>
        <vt:i4>1092</vt:i4>
      </vt:variant>
      <vt:variant>
        <vt:i4>1</vt:i4>
      </vt:variant>
      <vt:variant>
        <vt:lpwstr>\\s-eacea-fs03-p\EACEA.A7\Youth\04_Reports\a_EU_Youth_Reports\2018\03_graph\4_J_accidents_gender_EU28.jpg</vt:lpwstr>
      </vt:variant>
      <vt:variant>
        <vt:lpwstr/>
      </vt:variant>
      <vt:variant>
        <vt:i4>5636100</vt:i4>
      </vt:variant>
      <vt:variant>
        <vt:i4>55153</vt:i4>
      </vt:variant>
      <vt:variant>
        <vt:i4>1093</vt:i4>
      </vt:variant>
      <vt:variant>
        <vt:i4>1</vt:i4>
      </vt:variant>
      <vt:variant>
        <vt:lpwstr>\\s-eacea-fs03-p\EACEA.A7\Youth\04_Reports\a_EU_Youth_Reports\2018\03_graph\4_L_depression_gender_EU28.jpg</vt:lpwstr>
      </vt:variant>
      <vt:variant>
        <vt:lpwstr/>
      </vt:variant>
      <vt:variant>
        <vt:i4>1114188</vt:i4>
      </vt:variant>
      <vt:variant>
        <vt:i4>55244</vt:i4>
      </vt:variant>
      <vt:variant>
        <vt:i4>1094</vt:i4>
      </vt:variant>
      <vt:variant>
        <vt:i4>1</vt:i4>
      </vt:variant>
      <vt:variant>
        <vt:lpwstr>\\s-eacea-fs03-p\EACEA.A7\Youth\04_Reports\a_EU_Youth_Reports\2018\03_graph\4_N_suicide_gender_EU28.jpg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cp:lastPrinted>2017-11-14T09:24:00Z</cp:lastPrinted>
  <dcterms:created xsi:type="dcterms:W3CDTF">2018-04-27T12:38:00Z</dcterms:created>
  <dcterms:modified xsi:type="dcterms:W3CDTF">2018-05-18T07:27:00Z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4</vt:lpwstr>
  </property>
  <property fmtid="{D5CDD505-2E9C-101B-9397-08002B2CF9AE}" pid="4" name="Total parts">
    <vt:lpwstr>7</vt:lpwstr>
  </property>
  <property fmtid="{D5CDD505-2E9C-101B-9397-08002B2CF9AE}" pid="5" name="DocStatus">
    <vt:lpwstr>Green</vt:lpwstr>
  </property>
</Properties>
</file>