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alt="27C016D1-0E29-4C9C-BCC0-F249A30E6066" style="width:450.75pt;height:470.2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85"/>
          <w:cols w:space="720"/>
          <w:docGrid w:linePitch="360"/>
        </w:sectPr>
      </w:pPr>
    </w:p>
    <w:p>
      <w:pPr>
        <w:pStyle w:val="Yo0H1"/>
        <w:jc w:val="left"/>
        <w:rPr>
          <w:noProof/>
          <w:lang w:val="en-GB"/>
        </w:rPr>
      </w:pPr>
      <w:bookmarkStart w:id="1" w:name="_Toc508379770"/>
      <w:bookmarkStart w:id="2" w:name="_GoBack"/>
      <w:bookmarkEnd w:id="2"/>
      <w:r>
        <w:rPr>
          <w:noProof/>
          <w:lang w:val="en-GB"/>
        </w:rPr>
        <w:lastRenderedPageBreak/>
        <w:t>7. Social Inclusion</w:t>
      </w:r>
      <w:bookmarkEnd w:id="1"/>
    </w:p>
    <w:tbl>
      <w:tblPr>
        <w:tblpPr w:leftFromText="180" w:rightFromText="180" w:vertAnchor="text" w:horzAnchor="margin" w:tblpX="108" w:tblpY="100"/>
        <w:tblW w:w="5000" w:type="pct"/>
        <w:shd w:val="clear" w:color="auto" w:fill="FBD4B4"/>
        <w:tblLayout w:type="fixed"/>
        <w:tblCellMar>
          <w:top w:w="113" w:type="dxa"/>
          <w:bottom w:w="113" w:type="dxa"/>
        </w:tblCellMar>
        <w:tblLook w:val="04A0" w:firstRow="1" w:lastRow="0" w:firstColumn="1" w:lastColumn="0" w:noHBand="0" w:noVBand="1"/>
      </w:tblPr>
      <w:tblGrid>
        <w:gridCol w:w="7906"/>
        <w:gridCol w:w="2232"/>
      </w:tblGrid>
      <w:tr>
        <w:tc>
          <w:tcPr>
            <w:tcW w:w="3899" w:type="pct"/>
            <w:shd w:val="clear" w:color="auto" w:fill="FBD4B4"/>
            <w:vAlign w:val="center"/>
          </w:tcPr>
          <w:p>
            <w:pPr>
              <w:pStyle w:val="Yo5TextEUYouth"/>
              <w:framePr w:hSpace="0" w:wrap="auto" w:vAnchor="margin" w:hAnchor="text" w:xAlign="left" w:yAlign="inline"/>
              <w:rPr>
                <w:noProof/>
                <w:lang w:val="en-GB"/>
              </w:rPr>
            </w:pPr>
            <w:r>
              <w:rPr>
                <w:noProof/>
                <w:lang w:val="en-GB"/>
              </w:rPr>
              <w:t>EU youth indicators</w:t>
            </w:r>
          </w:p>
        </w:tc>
        <w:tc>
          <w:tcPr>
            <w:tcW w:w="1101" w:type="pct"/>
            <w:shd w:val="clear" w:color="auto" w:fill="FBD4B4"/>
            <w:vAlign w:val="center"/>
          </w:tcPr>
          <w:p>
            <w:pPr>
              <w:pStyle w:val="p90H2"/>
              <w:spacing w:before="0" w:after="0"/>
              <w:ind w:left="0" w:firstLine="0"/>
              <w:rPr>
                <w:noProof/>
                <w:sz w:val="20"/>
              </w:rPr>
            </w:pPr>
          </w:p>
        </w:tc>
      </w:tr>
      <w:tr>
        <w:trPr>
          <w:trHeight w:val="400"/>
        </w:trPr>
        <w:tc>
          <w:tcPr>
            <w:tcW w:w="3899" w:type="pct"/>
            <w:shd w:val="clear" w:color="auto" w:fill="FBD4B4"/>
          </w:tcPr>
          <w:p>
            <w:pPr>
              <w:pStyle w:val="Yo5TextEUYouthTOC"/>
              <w:framePr w:hSpace="0" w:wrap="auto" w:vAnchor="margin" w:hAnchor="text" w:xAlign="left" w:yAlign="inline"/>
            </w:pPr>
            <w:r>
              <w:t>Average age of young people when leaving the parental household</w:t>
            </w:r>
          </w:p>
        </w:tc>
        <w:tc>
          <w:tcPr>
            <w:tcW w:w="1101" w:type="pct"/>
            <w:shd w:val="clear" w:color="auto" w:fill="FBD4B4"/>
          </w:tcPr>
          <w:p>
            <w:pPr>
              <w:pStyle w:val="Yo5TextEUYouthTOC"/>
              <w:framePr w:hSpace="0" w:wrap="auto" w:vAnchor="margin" w:hAnchor="text" w:xAlign="left" w:yAlign="inline"/>
            </w:pPr>
            <w:r>
              <w:t>Figure 7-A</w:t>
            </w:r>
          </w:p>
        </w:tc>
      </w:tr>
      <w:tr>
        <w:trPr>
          <w:trHeight w:val="398"/>
        </w:trPr>
        <w:tc>
          <w:tcPr>
            <w:tcW w:w="3899" w:type="pct"/>
            <w:shd w:val="clear" w:color="auto" w:fill="FBD4B4"/>
          </w:tcPr>
          <w:p>
            <w:pPr>
              <w:pStyle w:val="Yo5TextEUYouthTOC"/>
              <w:framePr w:hSpace="0" w:wrap="auto" w:vAnchor="margin" w:hAnchor="text" w:xAlign="left" w:yAlign="inline"/>
            </w:pPr>
            <w:r>
              <w:t xml:space="preserve">At-risk-of-poverty or social exclusion rate for children and young people </w:t>
            </w:r>
          </w:p>
        </w:tc>
        <w:tc>
          <w:tcPr>
            <w:tcW w:w="1101" w:type="pct"/>
            <w:shd w:val="clear" w:color="auto" w:fill="FBD4B4"/>
          </w:tcPr>
          <w:p>
            <w:pPr>
              <w:pStyle w:val="Yo5TextEUYouthTOC"/>
              <w:framePr w:hSpace="0" w:wrap="auto" w:vAnchor="margin" w:hAnchor="text" w:xAlign="left" w:yAlign="inline"/>
            </w:pPr>
            <w:r>
              <w:t>Figures 7-B and 7-C</w:t>
            </w:r>
          </w:p>
        </w:tc>
      </w:tr>
      <w:tr>
        <w:trPr>
          <w:trHeight w:val="398"/>
        </w:trPr>
        <w:tc>
          <w:tcPr>
            <w:tcW w:w="3899" w:type="pct"/>
            <w:shd w:val="clear" w:color="auto" w:fill="FBD4B4"/>
          </w:tcPr>
          <w:p>
            <w:pPr>
              <w:pStyle w:val="Yo5TextEUYouthTOC"/>
              <w:framePr w:hSpace="0" w:wrap="auto" w:vAnchor="margin" w:hAnchor="text" w:xAlign="left" w:yAlign="inline"/>
            </w:pPr>
            <w:r>
              <w:t>At-risk-of-poverty rate for children</w:t>
            </w:r>
          </w:p>
        </w:tc>
        <w:tc>
          <w:tcPr>
            <w:tcW w:w="1101" w:type="pct"/>
            <w:shd w:val="clear" w:color="auto" w:fill="FBD4B4"/>
          </w:tcPr>
          <w:p>
            <w:pPr>
              <w:pStyle w:val="Yo5TextEUYouthTOC"/>
              <w:framePr w:hSpace="0" w:wrap="auto" w:vAnchor="margin" w:hAnchor="text" w:xAlign="left" w:yAlign="inline"/>
            </w:pPr>
            <w:r>
              <w:t>Figure 7-D</w:t>
            </w:r>
          </w:p>
        </w:tc>
      </w:tr>
      <w:tr>
        <w:trPr>
          <w:trHeight w:val="398"/>
        </w:trPr>
        <w:tc>
          <w:tcPr>
            <w:tcW w:w="3899" w:type="pct"/>
            <w:shd w:val="clear" w:color="auto" w:fill="FBD4B4"/>
          </w:tcPr>
          <w:p>
            <w:pPr>
              <w:pStyle w:val="Yo5TextEUYouthTOC"/>
              <w:framePr w:hSpace="0" w:wrap="auto" w:vAnchor="margin" w:hAnchor="text" w:xAlign="left" w:yAlign="inline"/>
            </w:pPr>
            <w:r>
              <w:t xml:space="preserve">Severe material deprivation rate for children and young people </w:t>
            </w:r>
          </w:p>
        </w:tc>
        <w:tc>
          <w:tcPr>
            <w:tcW w:w="1101" w:type="pct"/>
            <w:shd w:val="clear" w:color="auto" w:fill="FBD4B4"/>
          </w:tcPr>
          <w:p>
            <w:pPr>
              <w:pStyle w:val="Yo5TextEUYouthTOC"/>
              <w:framePr w:hSpace="0" w:wrap="auto" w:vAnchor="margin" w:hAnchor="text" w:xAlign="left" w:yAlign="inline"/>
            </w:pPr>
            <w:r>
              <w:t>Figure 7-F</w:t>
            </w:r>
          </w:p>
        </w:tc>
      </w:tr>
      <w:tr>
        <w:trPr>
          <w:trHeight w:val="398"/>
        </w:trPr>
        <w:tc>
          <w:tcPr>
            <w:tcW w:w="3899" w:type="pct"/>
            <w:shd w:val="clear" w:color="auto" w:fill="FBD4B4"/>
          </w:tcPr>
          <w:p>
            <w:pPr>
              <w:pStyle w:val="Yo5TextEUYouthTOC"/>
              <w:framePr w:hSpace="0" w:wrap="auto" w:vAnchor="margin" w:hAnchor="text" w:xAlign="left" w:yAlign="inline"/>
            </w:pPr>
            <w:r>
              <w:t xml:space="preserve">Children and young people living in households with very low work intensity </w:t>
            </w:r>
          </w:p>
        </w:tc>
        <w:tc>
          <w:tcPr>
            <w:tcW w:w="1101" w:type="pct"/>
            <w:shd w:val="clear" w:color="auto" w:fill="FBD4B4"/>
          </w:tcPr>
          <w:p>
            <w:pPr>
              <w:pStyle w:val="Yo5TextEUYouthTOC"/>
              <w:framePr w:hSpace="0" w:wrap="auto" w:vAnchor="margin" w:hAnchor="text" w:xAlign="left" w:yAlign="inline"/>
            </w:pPr>
            <w:r>
              <w:t>Figure 7-G</w:t>
            </w:r>
          </w:p>
        </w:tc>
      </w:tr>
      <w:tr>
        <w:trPr>
          <w:trHeight w:val="398"/>
        </w:trPr>
        <w:tc>
          <w:tcPr>
            <w:tcW w:w="3899" w:type="pct"/>
            <w:shd w:val="clear" w:color="auto" w:fill="FBD4B4"/>
          </w:tcPr>
          <w:p>
            <w:pPr>
              <w:pStyle w:val="Yo5TextEUYouthTOC"/>
              <w:framePr w:hSpace="0" w:wrap="auto" w:vAnchor="margin" w:hAnchor="text" w:xAlign="left" w:yAlign="inline"/>
            </w:pPr>
            <w:r>
              <w:t xml:space="preserve">Self-reported unmet needs for medical care </w:t>
            </w:r>
          </w:p>
        </w:tc>
        <w:tc>
          <w:tcPr>
            <w:tcW w:w="1101" w:type="pct"/>
            <w:shd w:val="clear" w:color="auto" w:fill="FBD4B4"/>
          </w:tcPr>
          <w:p>
            <w:pPr>
              <w:pStyle w:val="Yo5TextEUYouthTOC"/>
              <w:framePr w:hSpace="0" w:wrap="auto" w:vAnchor="margin" w:hAnchor="text" w:xAlign="left" w:yAlign="inline"/>
            </w:pPr>
            <w:r>
              <w:t>Figure 7-K</w:t>
            </w:r>
          </w:p>
        </w:tc>
      </w:tr>
      <w:tr>
        <w:trPr>
          <w:trHeight w:val="398"/>
        </w:trPr>
        <w:tc>
          <w:tcPr>
            <w:tcW w:w="3899" w:type="pct"/>
            <w:shd w:val="clear" w:color="auto" w:fill="FBD4B4"/>
          </w:tcPr>
          <w:p>
            <w:pPr>
              <w:pStyle w:val="Yo5TextEUYouthTOC"/>
              <w:framePr w:hSpace="0" w:wrap="auto" w:vAnchor="margin" w:hAnchor="text" w:xAlign="left" w:yAlign="inline"/>
            </w:pPr>
            <w:r>
              <w:t xml:space="preserve">Share of young people not in employment, education or training (NEET rate) </w:t>
            </w:r>
          </w:p>
        </w:tc>
        <w:tc>
          <w:tcPr>
            <w:tcW w:w="1101" w:type="pct"/>
            <w:shd w:val="clear" w:color="auto" w:fill="FBD4B4"/>
          </w:tcPr>
          <w:p>
            <w:pPr>
              <w:pStyle w:val="Yo5TextEUYouthTOC"/>
              <w:framePr w:hSpace="0" w:wrap="auto" w:vAnchor="margin" w:hAnchor="text" w:xAlign="left" w:yAlign="inline"/>
            </w:pPr>
            <w:r>
              <w:t>Figures 7-M and 7-N</w:t>
            </w:r>
          </w:p>
        </w:tc>
      </w:tr>
    </w:tbl>
    <w:p>
      <w:pPr>
        <w:pStyle w:val="Yo5TextNotes"/>
        <w:rPr>
          <w:noProof/>
          <w:lang w:val="en-GB"/>
        </w:rPr>
      </w:pPr>
    </w:p>
    <w:p>
      <w:pPr>
        <w:pStyle w:val="Yo5TextNotes"/>
        <w:rPr>
          <w:noProof/>
          <w:lang w:val="en-GB"/>
        </w:rPr>
      </w:pPr>
    </w:p>
    <w:p>
      <w:pPr>
        <w:pStyle w:val="Yo5TextNotes"/>
        <w:rPr>
          <w:noProof/>
          <w:lang w:val="en-GB"/>
        </w:rPr>
      </w:pPr>
    </w:p>
    <w:p>
      <w:pPr>
        <w:rPr>
          <w:noProof/>
        </w:rPr>
      </w:pPr>
    </w:p>
    <w:p>
      <w:pPr>
        <w:rPr>
          <w:noProof/>
        </w:rPr>
      </w:pPr>
    </w:p>
    <w:p>
      <w:pPr>
        <w:pStyle w:val="Yo0H2"/>
        <w:rPr>
          <w:noProof/>
          <w:lang w:val="en-GB"/>
        </w:rPr>
      </w:pPr>
      <w:r>
        <w:rPr>
          <w:noProof/>
          <w:lang w:val="en-GB"/>
        </w:rPr>
        <w:br w:type="page"/>
      </w:r>
      <w:bookmarkStart w:id="3" w:name="_Toc508379771"/>
      <w:r>
        <w:rPr>
          <w:noProof/>
          <w:lang w:val="en-GB"/>
        </w:rPr>
        <w:lastRenderedPageBreak/>
        <w:t>7.1. Introduction</w:t>
      </w:r>
    </w:p>
    <w:p>
      <w:pPr>
        <w:pStyle w:val="Yo1Textpara"/>
        <w:rPr>
          <w:noProof/>
        </w:rPr>
      </w:pPr>
      <w:r>
        <w:rPr>
          <w:noProof/>
        </w:rPr>
        <w:t xml:space="preserve">The cyclical changes or booms and busts in the economic cycle lead to rises and falls in youth unemployment rates, influencing job prospects and opportunities for young entrepreneurs (Chapter 3). In turn, these cycles impact upon young people's levels of poverty and deprivation, affect their living conditions, their health and well-being (Chapter 4), and even their levels of political and cultural participation (Chapters 5 and 9). </w:t>
      </w:r>
    </w:p>
    <w:p>
      <w:pPr>
        <w:pStyle w:val="Yo1Textpara"/>
        <w:rPr>
          <w:noProof/>
        </w:rPr>
      </w:pPr>
      <w:r>
        <w:rPr>
          <w:noProof/>
        </w:rPr>
        <w:t xml:space="preserve">This chapter explores the issues of poverty and social exclusion. Given the importance of living arrangements in determining poverty levels, the chapter looks first at the average age when young people leave the parental home. Subsequently, where possible, a distinction is made between young people living independently and those living with their parents. Among indicators on poverty and social exclusion, the chapter examines first the at-risk-of-poverty or social exclusion rate and its three sub-indicators: the at-risk-of poverty rate, the severe material deprivation rate and the proportion of people living in households with low work intensity. It then turns to some of the key dimensions of poverty and social exclusion, including housing conditions, access to health care and the growing phenomenon of in-work poverty. Finally, the last section focuses on the groups most at risk of poverty and social exclusion: young people not in employment, education or training (NEETs), and young people from a migrant background. </w:t>
      </w:r>
    </w:p>
    <w:p>
      <w:pPr>
        <w:pStyle w:val="Yo1Textpara"/>
        <w:rPr>
          <w:noProof/>
        </w:rPr>
      </w:pPr>
      <w:r>
        <w:rPr>
          <w:noProof/>
        </w:rPr>
        <w:t xml:space="preserve">Given that childhood poverty is a key determining factor for the likelihood of poverty later in life, for several indicators, the EU Dashboard covers both children and young people. The age breakdown used in the chapter for each of these groups reflects the available data provided by Eurostat. In most cases, the reference age groups are 0-16 for children and 16-29 for young people, although for a few indicators, slightly different age ranges are covered. </w:t>
      </w:r>
    </w:p>
    <w:p>
      <w:pPr>
        <w:pStyle w:val="Yo0H2"/>
        <w:jc w:val="left"/>
        <w:rPr>
          <w:noProof/>
          <w:lang w:val="en-GB"/>
        </w:rPr>
      </w:pPr>
      <w:r>
        <w:rPr>
          <w:noProof/>
          <w:lang w:val="en-GB"/>
        </w:rPr>
        <w:t>7.2. Moving towards independence: young people leaving the parental home</w:t>
      </w:r>
    </w:p>
    <w:p>
      <w:pPr>
        <w:pStyle w:val="Yo1Textpara"/>
        <w:rPr>
          <w:noProof/>
        </w:rPr>
      </w:pPr>
      <w:r>
        <w:rPr>
          <w:noProof/>
        </w:rPr>
        <w:t>Young people's lives are characterised by phases and episodes of transition towards independence: they move from education into work, and from living with and being supported by their parents towards establishing their own household. As this report also describes, this road towards independence is often bumpy, and usually takes many turns before leading to complete financial independence. As a result, young people are particularly vulnerable to social exclusion and poverty.</w:t>
      </w:r>
    </w:p>
    <w:p>
      <w:pPr>
        <w:pStyle w:val="Yo1Textpara"/>
        <w:rPr>
          <w:noProof/>
        </w:rPr>
      </w:pPr>
      <w:r>
        <w:rPr>
          <w:noProof/>
        </w:rPr>
        <w:t>The risk of becoming poor is closely linked to a crucial move: leaving the parental home. In fact, moving out of the parental household is found to be the 'strongest predictor behind youth poverty' (</w:t>
      </w:r>
      <w:r>
        <w:rPr>
          <w:rStyle w:val="FootnoteReference"/>
          <w:rFonts w:ascii="Arial" w:hAnsi="Arial" w:cs="Arial"/>
          <w:noProof/>
          <w:sz w:val="20"/>
        </w:rPr>
        <w:footnoteReference w:id="1"/>
      </w:r>
      <w:r>
        <w:rPr>
          <w:noProof/>
        </w:rPr>
        <w:t>). Though moving out of the parental home might not be definitive for many (young people often 'boomerang' back to the parental household if they cannot afford to live independently), the timing of this move differs widely in European countries, influencing poverty levels among young people.</w:t>
      </w:r>
    </w:p>
    <w:p>
      <w:pPr>
        <w:pStyle w:val="Yo1Textpara"/>
        <w:rPr>
          <w:noProof/>
        </w:rPr>
      </w:pPr>
    </w:p>
    <w:p>
      <w:pPr>
        <w:pStyle w:val="Yo1Textpara"/>
        <w:rPr>
          <w:noProof/>
        </w:rPr>
      </w:pPr>
      <w:r>
        <w:rPr>
          <w:noProof/>
        </w:rPr>
        <w:br w:type="page"/>
        <w:t>On average, young Europeans leave the parental home around the age of 26 (</w:t>
      </w:r>
      <w:r>
        <w:rPr>
          <w:rStyle w:val="FootnoteReference"/>
          <w:rFonts w:ascii="Arial" w:hAnsi="Arial" w:cs="Arial"/>
          <w:noProof/>
          <w:sz w:val="20"/>
        </w:rPr>
        <w:footnoteReference w:id="2"/>
      </w:r>
      <w:r>
        <w:rPr>
          <w:noProof/>
        </w:rPr>
        <w:t>), and this has stayed remarkably stable since 2010 (</w:t>
      </w:r>
      <w:r>
        <w:rPr>
          <w:rStyle w:val="FootnoteReference"/>
          <w:noProof/>
        </w:rPr>
        <w:footnoteReference w:id="3"/>
      </w:r>
      <w:r>
        <w:rPr>
          <w:noProof/>
        </w:rPr>
        <w:t>). However, as Figure 7-A depicts, there are substantial differences across European countries, as well as between young men and women. Regarding country differences, there is a clear north-west vs. south-east divide in Europe: young people in northern and western Europe generally leave the parental household earlier than their peers from southern and eastern European countries. The average age of leaving the parental home ranges from 20.7 years in Sweden to 31.8 years in Malta (</w:t>
      </w:r>
      <w:r>
        <w:rPr>
          <w:rStyle w:val="FootnoteReference"/>
          <w:rFonts w:ascii="Arial" w:hAnsi="Arial" w:cs="Arial"/>
          <w:noProof/>
          <w:sz w:val="20"/>
        </w:rPr>
        <w:footnoteReference w:id="4"/>
      </w:r>
      <w:r>
        <w:rPr>
          <w:noProof/>
        </w:rPr>
        <w:t>). Such differences are partly cultural and partly linked to the political and economic environment (</w:t>
      </w:r>
      <w:r>
        <w:rPr>
          <w:rStyle w:val="FootnoteReference"/>
          <w:rFonts w:ascii="Arial" w:hAnsi="Arial" w:cs="Arial"/>
          <w:noProof/>
          <w:sz w:val="20"/>
        </w:rPr>
        <w:footnoteReference w:id="5"/>
      </w:r>
      <w:r>
        <w:rPr>
          <w:noProof/>
        </w:rPr>
        <w:t xml:space="preserve">). Whatever the cause, national circumstances can influence young people either to start an independent life early (e.g. through generous grants for higher education students) or to stay longer in the family home. </w:t>
      </w:r>
    </w:p>
    <w:p>
      <w:pPr>
        <w:pStyle w:val="Yo5TitleFigure"/>
        <w:jc w:val="both"/>
      </w:pPr>
      <w:r>
        <w:rPr>
          <w:b/>
        </w:rPr>
        <w:t>Figure 7-A:</w:t>
      </w:r>
      <w:r>
        <w:t xml:space="preserve"> Average age of young people when leaving the parental household, by country and by sex, 2016</w:t>
      </w:r>
    </w:p>
    <w:tbl>
      <w:tblPr>
        <w:tblW w:w="10456" w:type="dxa"/>
        <w:tblInd w:w="-4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5"/>
        <w:gridCol w:w="1699"/>
        <w:gridCol w:w="3262"/>
        <w:gridCol w:w="4960"/>
      </w:tblGrid>
      <w:tr>
        <w:trPr>
          <w:cantSplit/>
          <w:trHeight w:val="1134"/>
        </w:trPr>
        <w:tc>
          <w:tcPr>
            <w:tcW w:w="535" w:type="dxa"/>
            <w:vMerge w:val="restart"/>
            <w:tcBorders>
              <w:top w:val="single" w:sz="4" w:space="0" w:color="auto"/>
              <w:right w:val="single" w:sz="4" w:space="0" w:color="auto"/>
            </w:tcBorders>
            <w:shd w:val="clear" w:color="auto" w:fill="FB5F5F"/>
            <w:textDirection w:val="btLr"/>
            <w:vAlign w:val="bottom"/>
          </w:tcPr>
          <w:p>
            <w:pPr>
              <w:pStyle w:val="Yo13YouthIndicator"/>
              <w:jc w:val="center"/>
              <w:rPr>
                <w:rFonts w:cs="Arial"/>
                <w:noProof/>
                <w:szCs w:val="18"/>
              </w:rPr>
            </w:pPr>
            <w:r>
              <w:rPr>
                <w:noProof/>
              </w:rPr>
              <w:t>EU youth indicator</w:t>
            </w:r>
          </w:p>
        </w:tc>
        <w:tc>
          <w:tcPr>
            <w:tcW w:w="4961" w:type="dxa"/>
            <w:gridSpan w:val="2"/>
            <w:tcBorders>
              <w:left w:val="single" w:sz="4" w:space="0" w:color="auto"/>
            </w:tcBorders>
            <w:shd w:val="clear" w:color="auto" w:fill="auto"/>
          </w:tcPr>
          <w:p>
            <w:pPr>
              <w:pStyle w:val="Yo5TextNotesbeforeafter"/>
              <w:jc w:val="center"/>
              <w:rPr>
                <w:b/>
                <w:noProof/>
                <w:sz w:val="18"/>
                <w:lang w:val="en-GB"/>
              </w:rPr>
            </w:pPr>
            <w:r>
              <w:rPr>
                <w:b/>
                <w:noProof/>
                <w:sz w:val="18"/>
                <w:lang w:val="en-GB"/>
              </w:rPr>
              <w:t>Men</w:t>
            </w:r>
          </w:p>
          <w:p>
            <w:pPr>
              <w:spacing w:before="160" w:after="0" w:line="300" w:lineRule="auto"/>
              <w:jc w:val="both"/>
              <w:rPr>
                <w:rFonts w:ascii="Arial" w:hAnsi="Arial" w:cs="Arial"/>
                <w:noProof/>
                <w:sz w:val="20"/>
                <w:szCs w:val="20"/>
              </w:rPr>
            </w:pPr>
            <w:r>
              <w:rPr>
                <w:rFonts w:ascii="Arial" w:hAnsi="Arial" w:cs="Arial"/>
                <w:noProof/>
                <w:sz w:val="20"/>
                <w:szCs w:val="20"/>
                <w:lang w:val="en-US"/>
              </w:rPr>
              <w:drawing>
                <wp:inline distT="0" distB="0" distL="0" distR="0">
                  <wp:extent cx="2997835" cy="2250440"/>
                  <wp:effectExtent l="0" t="0" r="0" b="0"/>
                  <wp:docPr id="4" name="Picture 4" descr="\\s-eacea-fs03-p\EACEA.A7\Youth\04_Reports\a_EU_Youth_Reports\2018\03_graph\7_A_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cea-fs03-p\EACEA.A7\Youth\04_Reports\a_EU_Youth_Reports\2018\03_graph\7_A_men.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p>
        </w:tc>
        <w:tc>
          <w:tcPr>
            <w:tcW w:w="4960" w:type="dxa"/>
            <w:shd w:val="clear" w:color="auto" w:fill="auto"/>
          </w:tcPr>
          <w:p>
            <w:pPr>
              <w:pStyle w:val="Yo5TextNotesbeforeafter"/>
              <w:jc w:val="center"/>
              <w:rPr>
                <w:b/>
                <w:noProof/>
                <w:sz w:val="18"/>
                <w:lang w:val="en-GB"/>
              </w:rPr>
            </w:pPr>
            <w:r>
              <w:rPr>
                <w:b/>
                <w:noProof/>
                <w:sz w:val="18"/>
                <w:lang w:val="en-GB"/>
              </w:rPr>
              <w:t>Women</w:t>
            </w:r>
          </w:p>
          <w:p>
            <w:pPr>
              <w:spacing w:before="160" w:after="0" w:line="300" w:lineRule="auto"/>
              <w:jc w:val="both"/>
              <w:rPr>
                <w:rFonts w:ascii="Arial" w:hAnsi="Arial" w:cs="Arial"/>
                <w:noProof/>
                <w:sz w:val="20"/>
                <w:szCs w:val="20"/>
              </w:rPr>
            </w:pPr>
            <w:r>
              <w:rPr>
                <w:rFonts w:ascii="Arial" w:hAnsi="Arial" w:cs="Arial"/>
                <w:noProof/>
                <w:sz w:val="20"/>
                <w:szCs w:val="20"/>
                <w:lang w:val="en-US"/>
              </w:rPr>
              <w:drawing>
                <wp:inline distT="0" distB="0" distL="0" distR="0">
                  <wp:extent cx="2997835" cy="2250440"/>
                  <wp:effectExtent l="0" t="0" r="0" b="0"/>
                  <wp:docPr id="5" name="Picture 5" descr="\\s-eacea-fs03-p\EACEA.A7\Youth\04_Reports\a_EU_Youth_Reports\2018\03_graph\7_A_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cea-fs03-p\EACEA.A7\Youth\04_Reports\a_EU_Youth_Reports\2018\03_graph\7_A_women.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p>
        </w:tc>
      </w:tr>
      <w:tr>
        <w:trPr>
          <w:trHeight w:val="604"/>
        </w:trPr>
        <w:tc>
          <w:tcPr>
            <w:tcW w:w="535" w:type="dxa"/>
            <w:vMerge/>
            <w:tcBorders>
              <w:right w:val="single" w:sz="4" w:space="0" w:color="auto"/>
            </w:tcBorders>
            <w:shd w:val="clear" w:color="auto" w:fill="FB5F5F"/>
          </w:tcPr>
          <w:p>
            <w:pPr>
              <w:spacing w:before="60" w:after="60" w:line="240" w:lineRule="auto"/>
              <w:rPr>
                <w:rFonts w:ascii="Arial" w:hAnsi="Arial" w:cs="Arial"/>
                <w:noProof/>
                <w:sz w:val="20"/>
                <w:szCs w:val="20"/>
              </w:rPr>
            </w:pPr>
          </w:p>
        </w:tc>
        <w:tc>
          <w:tcPr>
            <w:tcW w:w="1699" w:type="dxa"/>
            <w:tcBorders>
              <w:left w:val="single" w:sz="4" w:space="0" w:color="auto"/>
              <w:bottom w:val="single" w:sz="4" w:space="0" w:color="auto"/>
            </w:tcBorders>
          </w:tcPr>
          <w:p>
            <w:pPr>
              <w:spacing w:before="60" w:after="60" w:line="240" w:lineRule="auto"/>
              <w:rPr>
                <w:rFonts w:ascii="Arial" w:hAnsi="Arial" w:cs="Arial"/>
                <w:noProof/>
                <w:sz w:val="16"/>
                <w:szCs w:val="16"/>
              </w:rPr>
            </w:pPr>
          </w:p>
        </w:tc>
        <w:tc>
          <w:tcPr>
            <w:tcW w:w="8222" w:type="dxa"/>
            <w:gridSpan w:val="2"/>
            <w:vMerge w:val="restart"/>
            <w:shd w:val="clear" w:color="auto" w:fill="auto"/>
          </w:tcPr>
          <w:tbl>
            <w:tblPr>
              <w:tblW w:w="6804" w:type="dxa"/>
              <w:tblLayout w:type="fixed"/>
              <w:tblLook w:val="04A0" w:firstRow="1" w:lastRow="0" w:firstColumn="1" w:lastColumn="0" w:noHBand="0" w:noVBand="1"/>
            </w:tblPr>
            <w:tblGrid>
              <w:gridCol w:w="459"/>
              <w:gridCol w:w="1134"/>
              <w:gridCol w:w="567"/>
              <w:gridCol w:w="1134"/>
              <w:gridCol w:w="567"/>
              <w:gridCol w:w="1276"/>
              <w:gridCol w:w="567"/>
              <w:gridCol w:w="1100"/>
            </w:tblGrid>
            <w:tr>
              <w:trPr>
                <w:trHeight w:val="634"/>
              </w:trPr>
              <w:tc>
                <w:tcPr>
                  <w:tcW w:w="459" w:type="dxa"/>
                  <w:shd w:val="clear" w:color="auto" w:fill="auto"/>
                  <w:vAlign w:val="center"/>
                </w:tcPr>
                <w:p>
                  <w:pPr>
                    <w:pStyle w:val="Yo5TextNotes"/>
                    <w:tabs>
                      <w:tab w:val="clear" w:pos="1985"/>
                      <w:tab w:val="right" w:pos="8722"/>
                    </w:tabs>
                    <w:spacing w:before="40" w:after="40"/>
                    <w:jc w:val="center"/>
                    <w:rPr>
                      <w:noProof/>
                      <w:lang w:val="en-GB" w:eastAsia="en-GB"/>
                    </w:rPr>
                  </w:pPr>
                  <w:r>
                    <w:rPr>
                      <w:rFonts w:ascii="Arial" w:hAnsi="Arial"/>
                      <w:noProof/>
                      <w:snapToGrid/>
                      <w:sz w:val="20"/>
                      <w:szCs w:val="20"/>
                      <w:lang w:val="en-US"/>
                    </w:rPr>
                    <w:drawing>
                      <wp:inline distT="0" distB="0" distL="0" distR="0">
                        <wp:extent cx="142875" cy="142875"/>
                        <wp:effectExtent l="0" t="0" r="9525" b="9525"/>
                        <wp:docPr id="6" name="Picture 5" desc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134" w:type="dxa"/>
                  <w:shd w:val="clear" w:color="auto" w:fill="auto"/>
                  <w:vAlign w:val="center"/>
                </w:tcPr>
                <w:p>
                  <w:pPr>
                    <w:pStyle w:val="Yo5TextNotes"/>
                    <w:tabs>
                      <w:tab w:val="clear" w:pos="1985"/>
                      <w:tab w:val="right" w:pos="8722"/>
                    </w:tabs>
                    <w:spacing w:before="40" w:after="40"/>
                    <w:jc w:val="left"/>
                    <w:rPr>
                      <w:noProof/>
                      <w:lang w:val="en-GB" w:eastAsia="en-GB"/>
                    </w:rPr>
                  </w:pPr>
                  <w:r>
                    <w:rPr>
                      <w:rFonts w:ascii="Arial" w:hAnsi="Arial"/>
                      <w:noProof/>
                      <w:sz w:val="16"/>
                    </w:rPr>
                    <w:t>Age 20-24.9</w:t>
                  </w:r>
                </w:p>
              </w:tc>
              <w:tc>
                <w:tcPr>
                  <w:tcW w:w="567" w:type="dxa"/>
                  <w:shd w:val="clear" w:color="auto" w:fill="auto"/>
                  <w:vAlign w:val="center"/>
                </w:tcPr>
                <w:p>
                  <w:pPr>
                    <w:pStyle w:val="Yo5TextNotes"/>
                    <w:tabs>
                      <w:tab w:val="clear" w:pos="1985"/>
                      <w:tab w:val="right" w:pos="8722"/>
                    </w:tabs>
                    <w:spacing w:before="40" w:after="40"/>
                    <w:jc w:val="center"/>
                    <w:rPr>
                      <w:noProof/>
                      <w:lang w:val="en-GB" w:eastAsia="en-GB"/>
                    </w:rPr>
                  </w:pPr>
                  <w:r>
                    <w:rPr>
                      <w:noProof/>
                      <w:snapToGrid/>
                      <w:lang w:val="en-US"/>
                    </w:rPr>
                    <w:drawing>
                      <wp:inline distT="0" distB="0" distL="0" distR="0">
                        <wp:extent cx="142875" cy="142875"/>
                        <wp:effectExtent l="0" t="0" r="9525" b="9525"/>
                        <wp:docPr id="7" name="Picture 4"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134" w:type="dxa"/>
                  <w:shd w:val="clear" w:color="auto" w:fill="auto"/>
                  <w:vAlign w:val="center"/>
                </w:tcPr>
                <w:p>
                  <w:pPr>
                    <w:pStyle w:val="Yo5TextNotes"/>
                    <w:tabs>
                      <w:tab w:val="clear" w:pos="1985"/>
                      <w:tab w:val="right" w:pos="8722"/>
                    </w:tabs>
                    <w:spacing w:before="40" w:after="40"/>
                    <w:jc w:val="center"/>
                    <w:rPr>
                      <w:noProof/>
                      <w:lang w:val="en-GB" w:eastAsia="en-GB"/>
                    </w:rPr>
                  </w:pPr>
                  <w:r>
                    <w:rPr>
                      <w:rFonts w:ascii="Arial" w:hAnsi="Arial"/>
                      <w:noProof/>
                      <w:sz w:val="16"/>
                    </w:rPr>
                    <w:t>Age 25-27.5</w:t>
                  </w:r>
                </w:p>
              </w:tc>
              <w:tc>
                <w:tcPr>
                  <w:tcW w:w="567" w:type="dxa"/>
                  <w:shd w:val="clear" w:color="auto" w:fill="auto"/>
                  <w:vAlign w:val="center"/>
                </w:tcPr>
                <w:p>
                  <w:pPr>
                    <w:pStyle w:val="Yo5TextNotes"/>
                    <w:tabs>
                      <w:tab w:val="clear" w:pos="1985"/>
                      <w:tab w:val="right" w:pos="8722"/>
                    </w:tabs>
                    <w:spacing w:before="40" w:after="40"/>
                    <w:jc w:val="center"/>
                    <w:rPr>
                      <w:noProof/>
                      <w:lang w:val="en-GB" w:eastAsia="en-GB"/>
                    </w:rPr>
                  </w:pPr>
                  <w:r>
                    <w:rPr>
                      <w:rFonts w:ascii="Arial" w:hAnsi="Arial"/>
                      <w:noProof/>
                      <w:snapToGrid/>
                      <w:sz w:val="16"/>
                      <w:lang w:val="en-US"/>
                    </w:rPr>
                    <w:drawing>
                      <wp:inline distT="0" distB="0" distL="0" distR="0">
                        <wp:extent cx="142875" cy="142875"/>
                        <wp:effectExtent l="0" t="0" r="9525" b="9525"/>
                        <wp:docPr id="8" name="Picture 3" descr="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276" w:type="dxa"/>
                  <w:shd w:val="clear" w:color="auto" w:fill="auto"/>
                  <w:vAlign w:val="center"/>
                </w:tcPr>
                <w:p>
                  <w:pPr>
                    <w:pStyle w:val="Yo5TextNotes"/>
                    <w:tabs>
                      <w:tab w:val="clear" w:pos="1985"/>
                      <w:tab w:val="right" w:pos="8722"/>
                    </w:tabs>
                    <w:spacing w:before="40" w:after="40"/>
                    <w:jc w:val="center"/>
                    <w:rPr>
                      <w:noProof/>
                      <w:lang w:val="en-GB" w:eastAsia="en-GB"/>
                    </w:rPr>
                  </w:pPr>
                  <w:r>
                    <w:rPr>
                      <w:rFonts w:ascii="Arial" w:hAnsi="Arial"/>
                      <w:noProof/>
                      <w:sz w:val="16"/>
                    </w:rPr>
                    <w:t>Age 27.6-29.9</w:t>
                  </w:r>
                </w:p>
              </w:tc>
              <w:tc>
                <w:tcPr>
                  <w:tcW w:w="567" w:type="dxa"/>
                  <w:shd w:val="clear" w:color="auto" w:fill="auto"/>
                  <w:vAlign w:val="center"/>
                </w:tcPr>
                <w:p>
                  <w:pPr>
                    <w:pStyle w:val="Yo5TextNotes"/>
                    <w:tabs>
                      <w:tab w:val="clear" w:pos="1985"/>
                      <w:tab w:val="right" w:pos="8722"/>
                    </w:tabs>
                    <w:spacing w:before="40" w:after="40"/>
                    <w:jc w:val="center"/>
                    <w:rPr>
                      <w:noProof/>
                      <w:lang w:val="en-GB" w:eastAsia="en-GB"/>
                    </w:rPr>
                  </w:pPr>
                  <w:r>
                    <w:rPr>
                      <w:rFonts w:ascii="Arial" w:hAnsi="Arial"/>
                      <w:noProof/>
                      <w:snapToGrid/>
                      <w:sz w:val="16"/>
                      <w:lang w:val="en-US"/>
                    </w:rPr>
                    <w:drawing>
                      <wp:inline distT="0" distB="0" distL="0" distR="0">
                        <wp:extent cx="182880" cy="142875"/>
                        <wp:effectExtent l="0" t="0" r="7620" b="9525"/>
                        <wp:docPr id="9" name="Picture 2" descr="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5"/>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p>
              </w:tc>
              <w:tc>
                <w:tcPr>
                  <w:tcW w:w="1100" w:type="dxa"/>
                  <w:vAlign w:val="center"/>
                </w:tcPr>
                <w:p>
                  <w:pPr>
                    <w:pStyle w:val="Yo5TextNotes"/>
                    <w:tabs>
                      <w:tab w:val="clear" w:pos="1985"/>
                      <w:tab w:val="right" w:pos="8722"/>
                    </w:tabs>
                    <w:spacing w:after="40"/>
                    <w:jc w:val="left"/>
                    <w:rPr>
                      <w:noProof/>
                      <w:lang w:val="en-GB" w:eastAsia="en-GB"/>
                    </w:rPr>
                  </w:pPr>
                  <w:r>
                    <w:rPr>
                      <w:rFonts w:ascii="Arial" w:hAnsi="Arial"/>
                      <w:noProof/>
                      <w:sz w:val="16"/>
                      <w:lang w:val="en-GB"/>
                    </w:rPr>
                    <w:t>Age 30+</w:t>
                  </w:r>
                </w:p>
              </w:tc>
            </w:tr>
          </w:tbl>
          <w:p>
            <w:pPr>
              <w:pStyle w:val="Yo5TextNotesbeforeafter"/>
              <w:spacing w:before="120"/>
              <w:jc w:val="left"/>
              <w:rPr>
                <w:i/>
                <w:noProof/>
                <w:lang w:val="en-GB"/>
              </w:rPr>
            </w:pPr>
          </w:p>
          <w:p>
            <w:pPr>
              <w:pStyle w:val="Yo5TextNotesbeforeafter"/>
              <w:spacing w:before="120"/>
              <w:jc w:val="left"/>
              <w:rPr>
                <w:i/>
                <w:noProof/>
                <w:lang w:val="en-GB"/>
              </w:rPr>
            </w:pPr>
          </w:p>
          <w:p>
            <w:pPr>
              <w:pStyle w:val="Yo5TextNotesbeforeafter"/>
              <w:spacing w:before="120"/>
              <w:ind w:left="176"/>
              <w:jc w:val="left"/>
              <w:rPr>
                <w:rFonts w:ascii="Arial" w:hAnsi="Arial"/>
                <w:noProof/>
                <w:sz w:val="16"/>
                <w:lang w:val="en-GB"/>
              </w:rPr>
            </w:pPr>
            <w:r>
              <w:rPr>
                <w:i/>
                <w:noProof/>
                <w:lang w:val="en-GB"/>
              </w:rPr>
              <w:t>Source</w:t>
            </w:r>
            <w:r>
              <w:rPr>
                <w:noProof/>
                <w:lang w:val="en-GB"/>
              </w:rPr>
              <w:t>: Eurostat [yth_demo_030]. Data extracted on 08.01.2018.</w:t>
            </w:r>
          </w:p>
        </w:tc>
      </w:tr>
      <w:tr>
        <w:trPr>
          <w:trHeight w:val="1188"/>
        </w:trPr>
        <w:tc>
          <w:tcPr>
            <w:tcW w:w="535" w:type="dxa"/>
            <w:vMerge/>
            <w:tcBorders>
              <w:bottom w:val="single" w:sz="4" w:space="0" w:color="auto"/>
              <w:right w:val="single" w:sz="4" w:space="0" w:color="auto"/>
            </w:tcBorders>
            <w:shd w:val="clear" w:color="auto" w:fill="FB5F5F"/>
          </w:tcPr>
          <w:p>
            <w:pPr>
              <w:spacing w:before="60" w:after="60" w:line="240" w:lineRule="auto"/>
              <w:rPr>
                <w:rFonts w:ascii="Arial" w:hAnsi="Arial" w:cs="Arial"/>
                <w:noProof/>
                <w:sz w:val="20"/>
                <w:szCs w:val="20"/>
              </w:rPr>
            </w:pPr>
          </w:p>
        </w:tc>
        <w:tc>
          <w:tcPr>
            <w:tcW w:w="1699" w:type="dxa"/>
            <w:tcBorders>
              <w:top w:val="single" w:sz="4" w:space="0" w:color="auto"/>
              <w:left w:val="single" w:sz="4" w:space="0" w:color="auto"/>
              <w:bottom w:val="single" w:sz="4" w:space="0" w:color="auto"/>
              <w:right w:val="single" w:sz="4" w:space="0" w:color="auto"/>
            </w:tcBorders>
          </w:tcPr>
          <w:p>
            <w:pPr>
              <w:pStyle w:val="Yo5TitleFigure"/>
              <w:spacing w:before="60" w:after="0"/>
              <w:ind w:left="-110"/>
              <w:jc w:val="center"/>
              <w:rPr>
                <w:sz w:val="14"/>
                <w:szCs w:val="14"/>
              </w:rPr>
            </w:pPr>
            <w:r>
              <w:rPr>
                <w:sz w:val="14"/>
                <w:szCs w:val="14"/>
              </w:rPr>
              <w:t>EU-28 average</w:t>
            </w:r>
          </w:p>
          <w:p>
            <w:pPr>
              <w:pStyle w:val="Yo5TitleFigure"/>
              <w:tabs>
                <w:tab w:val="left" w:pos="1388"/>
              </w:tabs>
              <w:spacing w:before="0" w:after="0" w:line="240" w:lineRule="auto"/>
              <w:ind w:left="32"/>
              <w:rPr>
                <w:b/>
                <w:color w:val="auto"/>
                <w:sz w:val="14"/>
                <w:szCs w:val="14"/>
              </w:rPr>
            </w:pPr>
            <w:r>
              <w:rPr>
                <w:color w:val="auto"/>
                <w:sz w:val="14"/>
                <w:szCs w:val="14"/>
              </w:rPr>
              <w:t xml:space="preserve">%                           </w:t>
            </w:r>
            <w:r>
              <w:rPr>
                <w:color w:val="auto"/>
                <w:sz w:val="14"/>
                <w:szCs w:val="14"/>
                <w:lang w:eastAsia="en-GB"/>
              </w:rPr>
              <w:t>%</w:t>
            </w:r>
          </w:p>
          <w:p>
            <w:pPr>
              <w:pStyle w:val="Yo5TitleFigure"/>
              <w:spacing w:before="60"/>
              <w:ind w:left="-110"/>
              <w:jc w:val="center"/>
              <w:rPr>
                <w:sz w:val="14"/>
                <w:szCs w:val="14"/>
              </w:rPr>
            </w:pPr>
            <w:r>
              <w:rPr>
                <w:rFonts w:ascii="Arial" w:hAnsi="Arial" w:cs="Arial"/>
                <w:sz w:val="16"/>
                <w:szCs w:val="16"/>
                <w:lang w:val="en-US"/>
              </w:rPr>
              <w:drawing>
                <wp:inline distT="0" distB="0" distL="0" distR="0">
                  <wp:extent cx="954405" cy="1009650"/>
                  <wp:effectExtent l="0" t="0" r="0" b="0"/>
                  <wp:docPr id="10" name="Picture 10" descr="\\s-eacea-fs03-p\EACEA.A7\Youth\04_Reports\a_EU_Youth_Reports\2018\03_graph\7_A_EU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cea-fs03-p\EACEA.A7\Youth\04_Reports\a_EU_Youth_Reports\2018\03_graph\7_A_EU28.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954405" cy="1009650"/>
                          </a:xfrm>
                          <a:prstGeom prst="rect">
                            <a:avLst/>
                          </a:prstGeom>
                          <a:noFill/>
                          <a:ln>
                            <a:noFill/>
                          </a:ln>
                        </pic:spPr>
                      </pic:pic>
                    </a:graphicData>
                  </a:graphic>
                </wp:inline>
              </w:drawing>
            </w:r>
          </w:p>
        </w:tc>
        <w:tc>
          <w:tcPr>
            <w:tcW w:w="8222" w:type="dxa"/>
            <w:gridSpan w:val="2"/>
            <w:vMerge/>
            <w:tcBorders>
              <w:left w:val="single" w:sz="4" w:space="0" w:color="auto"/>
            </w:tcBorders>
            <w:shd w:val="clear" w:color="auto" w:fill="auto"/>
          </w:tcPr>
          <w:p>
            <w:pPr>
              <w:pStyle w:val="Yo5TextNotes"/>
              <w:tabs>
                <w:tab w:val="clear" w:pos="1985"/>
                <w:tab w:val="right" w:pos="8722"/>
              </w:tabs>
              <w:spacing w:before="40" w:after="40"/>
              <w:jc w:val="center"/>
              <w:rPr>
                <w:rFonts w:ascii="Arial" w:hAnsi="Arial"/>
                <w:noProof/>
                <w:snapToGrid/>
                <w:sz w:val="20"/>
                <w:szCs w:val="20"/>
                <w:lang w:val="en-GB" w:eastAsia="en-GB"/>
              </w:rPr>
            </w:pPr>
          </w:p>
        </w:tc>
      </w:tr>
    </w:tbl>
    <w:p>
      <w:pPr>
        <w:pStyle w:val="Yo5TextNotesbeforeafter"/>
        <w:rPr>
          <w:noProof/>
          <w:lang w:val="en-GB"/>
        </w:rPr>
      </w:pPr>
    </w:p>
    <w:p>
      <w:pPr>
        <w:pStyle w:val="Yo1Textpara"/>
        <w:rPr>
          <w:noProof/>
        </w:rPr>
      </w:pPr>
      <w:r>
        <w:rPr>
          <w:noProof/>
        </w:rPr>
        <w:t>Common to all European countries, however, is the tendency for young women to leave their parents earlier than young men, partly due to women starting to cohabit with their partners at an earlier age than men (</w:t>
      </w:r>
      <w:r>
        <w:rPr>
          <w:rStyle w:val="FootnoteReference"/>
          <w:rFonts w:ascii="Arial" w:hAnsi="Arial" w:cs="Arial"/>
          <w:noProof/>
          <w:sz w:val="20"/>
        </w:rPr>
        <w:footnoteReference w:id="6"/>
      </w:r>
      <w:r>
        <w:rPr>
          <w:noProof/>
        </w:rPr>
        <w:t>). The gender difference was two years on average in the EU-28 in 2016. Differences between men and women are generally smaller in countries where young people tend to establish their own household earlier (there is almost no difference between men and women in Sweden, and also just over half a year in Denmark and Luxembourg), in part because leaving home is not necessarily connected to moving in with a partner. Conversely, gender differences are greater in countries where young people arrive at the critical point of establishing their own household later in their lives or where leaving the parental home coincides more with moving in with a partner (</w:t>
      </w:r>
      <w:r>
        <w:rPr>
          <w:rStyle w:val="FootnoteReference"/>
          <w:rFonts w:ascii="Arial" w:hAnsi="Arial" w:cs="Arial"/>
          <w:noProof/>
          <w:sz w:val="20"/>
        </w:rPr>
        <w:footnoteReference w:id="7"/>
      </w:r>
      <w:r>
        <w:rPr>
          <w:noProof/>
        </w:rPr>
        <w:t>): the gender gap is four-and-a-half years in Romania, close to five years in Bulgaria and Turkey, and nearly seven-and-a-half-years in the former Yugoslav Republic of Macedonia (</w:t>
      </w:r>
      <w:r>
        <w:rPr>
          <w:rStyle w:val="FootnoteReference"/>
          <w:rFonts w:ascii="Arial" w:hAnsi="Arial" w:cs="Arial"/>
          <w:noProof/>
          <w:sz w:val="20"/>
        </w:rPr>
        <w:footnoteReference w:id="8"/>
      </w:r>
      <w:r>
        <w:rPr>
          <w:noProof/>
        </w:rPr>
        <w:t>). Moreover, in some of the countries with a large gender gap, young couples often start life together in one of the parental homes (</w:t>
      </w:r>
      <w:r>
        <w:rPr>
          <w:rStyle w:val="FootnoteReference"/>
          <w:rFonts w:ascii="Arial" w:hAnsi="Arial" w:cs="Arial"/>
          <w:noProof/>
          <w:sz w:val="20"/>
        </w:rPr>
        <w:footnoteReference w:id="9"/>
      </w:r>
      <w:r>
        <w:rPr>
          <w:noProof/>
        </w:rPr>
        <w:t>).</w:t>
      </w:r>
    </w:p>
    <w:tbl>
      <w:tblPr>
        <w:tblpPr w:leftFromText="180" w:rightFromText="180" w:vertAnchor="text" w:horzAnchor="margin" w:tblpXSpec="right" w:tblpY="848"/>
        <w:tblOverlap w:val="never"/>
        <w:tblW w:w="0" w:type="auto"/>
        <w:shd w:val="clear" w:color="auto" w:fill="FFA3A4"/>
        <w:tblLook w:val="04A0" w:firstRow="1" w:lastRow="0" w:firstColumn="1" w:lastColumn="0" w:noHBand="0" w:noVBand="1"/>
      </w:tblPr>
      <w:tblGrid>
        <w:gridCol w:w="2977"/>
      </w:tblGrid>
      <w:tr>
        <w:tc>
          <w:tcPr>
            <w:tcW w:w="2977" w:type="dxa"/>
            <w:shd w:val="clear" w:color="auto" w:fill="FFA3A4"/>
            <w:hideMark/>
          </w:tcPr>
          <w:p>
            <w:pPr>
              <w:pStyle w:val="Yo12Encart"/>
              <w:framePr w:hSpace="0" w:wrap="auto" w:vAnchor="margin" w:hAnchor="text" w:xAlign="left" w:yAlign="inline"/>
              <w:suppressOverlap w:val="0"/>
              <w:rPr>
                <w:noProof/>
                <w:sz w:val="22"/>
                <w:szCs w:val="22"/>
              </w:rPr>
            </w:pPr>
            <w:r>
              <w:rPr>
                <w:noProof/>
                <w:sz w:val="22"/>
                <w:szCs w:val="22"/>
              </w:rPr>
              <w:t>The average ages of leaving the parental household have remained remarkably stable in the EU-28 since 2010.</w:t>
            </w:r>
          </w:p>
        </w:tc>
      </w:tr>
    </w:tbl>
    <w:p>
      <w:pPr>
        <w:pStyle w:val="Yo1Textpara"/>
        <w:rPr>
          <w:noProof/>
        </w:rPr>
      </w:pPr>
      <w:r>
        <w:rPr>
          <w:noProof/>
        </w:rPr>
        <w:t>This picture is very similar to the one shown in previous Youth Reports. Since 2010, the biggest change has been registered in Luxembourg, where the average age of leaving the parental household has fallen by almost two years (by 2.3 years for men and nearly 1.5 years for women) (</w:t>
      </w:r>
      <w:r>
        <w:rPr>
          <w:rStyle w:val="FootnoteReference"/>
          <w:noProof/>
        </w:rPr>
        <w:footnoteReference w:id="10"/>
      </w:r>
      <w:r>
        <w:rPr>
          <w:noProof/>
        </w:rPr>
        <w:t>). Significant falls have also occurred in Lithuania (1.4 years for young women, and 1.9 years for young men) and Slovenia (1.3 years, with little difference between women and men). In addition, in Estonia, men left their parents’ home considerably earlier (1.6 years on average) in 2016 than in 2010. In contrast, the average age of young people leaving the parental household has increased by 1.3 years in Ireland and Cyprus, with larger increases among women than among men (</w:t>
      </w:r>
      <w:r>
        <w:rPr>
          <w:rStyle w:val="FootnoteReference"/>
          <w:noProof/>
        </w:rPr>
        <w:footnoteReference w:id="11"/>
      </w:r>
      <w:r>
        <w:rPr>
          <w:noProof/>
        </w:rPr>
        <w:t>). These tendencies suggest a slow narrowing of the gap between men and women, at least in some countries.</w:t>
      </w:r>
    </w:p>
    <w:p>
      <w:pPr>
        <w:pStyle w:val="Yo1Textpara"/>
        <w:rPr>
          <w:noProof/>
        </w:rPr>
      </w:pPr>
      <w:r>
        <w:rPr>
          <w:noProof/>
        </w:rPr>
        <w:t xml:space="preserve">Differences between countries in the average age of leaving the parental home also influences the poverty rates shown in the indicators, as they usually combine the data for both independent young people and those living with their parents. Since moving out of the family home increases the risk of poverty for young people, where possible, the next section will make distinctions between these two groups when comparing levels of poverty and social exclusion. </w:t>
      </w:r>
    </w:p>
    <w:p>
      <w:pPr>
        <w:pStyle w:val="Yo0H2"/>
        <w:rPr>
          <w:noProof/>
          <w:lang w:val="en-GB"/>
        </w:rPr>
      </w:pPr>
      <w:r>
        <w:rPr>
          <w:noProof/>
          <w:lang w:val="en-GB"/>
        </w:rPr>
        <w:t>7.3. Levels of poverty and social exclusion</w:t>
      </w:r>
    </w:p>
    <w:p>
      <w:pPr>
        <w:pStyle w:val="Yo1Textpara"/>
        <w:rPr>
          <w:noProof/>
        </w:rPr>
      </w:pPr>
      <w:r>
        <w:rPr>
          <w:noProof/>
        </w:rPr>
        <w:t>The main indicator of poverty and social exclusion is the composite indicator of 'at-risk-of-poverty or social exclusion', which is based on three sub-indicators: the at-risk-of-poverty rate; the severe material deprivation rate; and the proportion of people living in households with very low work intensity. People defined as being at risk of poverty or social exclusion are therefore those who fall into at least one of these categories. While each of these sub-indicators will be defined and illustrated in the following sections, the analysis focuses first on the composite indicator.</w:t>
      </w:r>
    </w:p>
    <w:p>
      <w:pPr>
        <w:pStyle w:val="Yo1Textpara"/>
        <w:rPr>
          <w:noProof/>
        </w:rPr>
      </w:pPr>
      <w:r>
        <w:rPr>
          <w:noProof/>
        </w:rPr>
        <w:t>Figure 7-B shows the percentage of the population at risk of poverty or social exclusion in European countries by age. As the figure illustrates, in the majority of countries, children and young people are at risk of poverty or social exclusion in greater proportions than the population as a whole. Young people are especially vulnerable: in most countries, the proportion of young people at risk of poverty or social exclusion exceeds that of children and the total population. In Denmark and Norway, the at-risk-of-poverty or social exclusion rate of young people is double the rate within the total population, mostly due to high at-risk-of-poverty rates (see next section). The countries with the highest proportions of young people (aged 16 to 29) at risk of poverty or social exclusion are Greece (47.6 %), Romania (43.7 %), Serbia (43.2 %) and Bulgaria (41.9 %); and those with the lowest are Czech Republic (13 %) and Malta (16.6 %).</w:t>
      </w:r>
    </w:p>
    <w:p>
      <w:pPr>
        <w:pStyle w:val="Yo5TitleFigure"/>
        <w:jc w:val="both"/>
      </w:pPr>
      <w:r>
        <w:rPr>
          <w:b/>
        </w:rPr>
        <w:t>Figure 7-B:</w:t>
      </w:r>
      <w:r>
        <w:t xml:space="preserve"> Proportion of children and young people at risk of poverty or social exclusion compared to the total population, by country, 2016</w:t>
      </w:r>
    </w:p>
    <w:tbl>
      <w:tblPr>
        <w:tblW w:w="10395"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477"/>
        <w:gridCol w:w="3175"/>
        <w:gridCol w:w="3319"/>
        <w:gridCol w:w="3424"/>
      </w:tblGrid>
      <w:tr>
        <w:trPr>
          <w:trHeight w:val="2949"/>
        </w:trPr>
        <w:tc>
          <w:tcPr>
            <w:tcW w:w="477" w:type="dxa"/>
            <w:vMerge w:val="restart"/>
            <w:tcBorders>
              <w:top w:val="single" w:sz="4" w:space="0" w:color="auto"/>
              <w:left w:val="single" w:sz="4" w:space="0" w:color="auto"/>
              <w:bottom w:val="single" w:sz="4" w:space="0" w:color="auto"/>
              <w:right w:val="single" w:sz="4" w:space="0" w:color="auto"/>
            </w:tcBorders>
            <w:shd w:val="clear" w:color="auto" w:fill="FB5F5F"/>
            <w:textDirection w:val="btLr"/>
            <w:vAlign w:val="bottom"/>
            <w:hideMark/>
          </w:tcPr>
          <w:p>
            <w:pPr>
              <w:pStyle w:val="Yo13YouthIndicator"/>
              <w:jc w:val="center"/>
              <w:rPr>
                <w:noProof/>
                <w:lang w:eastAsia="fr-BE"/>
              </w:rPr>
            </w:pPr>
            <w:r>
              <w:rPr>
                <w:noProof/>
              </w:rPr>
              <w:t>EU youth indicator</w:t>
            </w:r>
          </w:p>
        </w:tc>
        <w:tc>
          <w:tcPr>
            <w:tcW w:w="9918" w:type="dxa"/>
            <w:gridSpan w:val="3"/>
            <w:tcBorders>
              <w:top w:val="single" w:sz="4" w:space="0" w:color="auto"/>
              <w:left w:val="single" w:sz="4" w:space="0" w:color="auto"/>
              <w:bottom w:val="nil"/>
              <w:right w:val="single" w:sz="4" w:space="0" w:color="auto"/>
            </w:tcBorders>
            <w:hideMark/>
          </w:tcPr>
          <w:p>
            <w:pPr>
              <w:pStyle w:val="Yo5TextNotes"/>
              <w:tabs>
                <w:tab w:val="clear" w:pos="1985"/>
                <w:tab w:val="left" w:pos="9075"/>
              </w:tabs>
              <w:ind w:left="438"/>
              <w:rPr>
                <w:noProof/>
                <w:lang w:eastAsia="en-GB"/>
              </w:rPr>
            </w:pPr>
            <w:r>
              <w:rPr>
                <w:noProof/>
                <w:lang w:eastAsia="en-GB"/>
              </w:rPr>
              <w:t xml:space="preserve">  %</w:t>
            </w:r>
            <w:r>
              <w:rPr>
                <w:noProof/>
                <w:lang w:eastAsia="en-GB"/>
              </w:rPr>
              <w:tab/>
              <w:t>%</w:t>
            </w:r>
          </w:p>
          <w:p>
            <w:pPr>
              <w:pStyle w:val="Yo5TextNotesafter"/>
              <w:jc w:val="center"/>
              <w:rPr>
                <w:noProof/>
                <w:sz w:val="16"/>
              </w:rPr>
            </w:pPr>
            <w:r>
              <w:rPr>
                <w:noProof/>
                <w:snapToGrid/>
              </w:rPr>
              <w:drawing>
                <wp:inline distT="0" distB="0" distL="0" distR="0">
                  <wp:extent cx="5923915" cy="2019935"/>
                  <wp:effectExtent l="0" t="0" r="635" b="0"/>
                  <wp:docPr id="11" name="Picture 11" descr="\\s-eacea-fs03-p\EACEA.A7\Youth\04_Reports\a_EU_Youth_Reports\2018\03_graph\7_B_poverty_or_social_exc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cea-fs03-p\EACEA.A7\Youth\04_Reports\a_EU_Youth_Reports\2018\03_graph\7_B_poverty_or_social_exclusion.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923915" cy="2019935"/>
                          </a:xfrm>
                          <a:prstGeom prst="rect">
                            <a:avLst/>
                          </a:prstGeom>
                          <a:noFill/>
                          <a:ln>
                            <a:noFill/>
                          </a:ln>
                        </pic:spPr>
                      </pic:pic>
                    </a:graphicData>
                  </a:graphic>
                </wp:inline>
              </w:drawing>
            </w:r>
          </w:p>
        </w:tc>
      </w:tr>
      <w:tr>
        <w:trPr>
          <w:trHeight w:val="20"/>
        </w:trPr>
        <w:tc>
          <w:tcPr>
            <w:tcW w:w="477" w:type="dxa"/>
            <w:vMerge/>
            <w:tcBorders>
              <w:top w:val="single" w:sz="4" w:space="0" w:color="auto"/>
              <w:left w:val="single" w:sz="4" w:space="0" w:color="auto"/>
              <w:bottom w:val="nil"/>
              <w:right w:val="single" w:sz="4" w:space="0" w:color="auto"/>
            </w:tcBorders>
            <w:vAlign w:val="center"/>
          </w:tcPr>
          <w:p>
            <w:pPr>
              <w:spacing w:after="0" w:line="240" w:lineRule="auto"/>
              <w:rPr>
                <w:b/>
                <w:noProof/>
                <w:color w:val="FFFFFF"/>
                <w:sz w:val="16"/>
                <w:lang w:eastAsia="fr-BE"/>
              </w:rPr>
            </w:pPr>
          </w:p>
        </w:tc>
        <w:tc>
          <w:tcPr>
            <w:tcW w:w="9918" w:type="dxa"/>
            <w:gridSpan w:val="3"/>
            <w:tcBorders>
              <w:top w:val="nil"/>
              <w:left w:val="single" w:sz="4" w:space="0" w:color="auto"/>
              <w:bottom w:val="nil"/>
              <w:right w:val="single" w:sz="4" w:space="0" w:color="auto"/>
            </w:tcBorders>
            <w:tcMar>
              <w:top w:w="57" w:type="dxa"/>
              <w:left w:w="255" w:type="dxa"/>
              <w:bottom w:w="0" w:type="dxa"/>
              <w:right w:w="108" w:type="dxa"/>
            </w:tcMar>
          </w:tcPr>
          <w:tbl>
            <w:tblPr>
              <w:tblW w:w="0" w:type="auto"/>
              <w:jc w:val="center"/>
              <w:tblBorders>
                <w:insideH w:val="single" w:sz="4" w:space="0" w:color="auto"/>
              </w:tblBorders>
              <w:tblLook w:val="04A0" w:firstRow="1" w:lastRow="0" w:firstColumn="1" w:lastColumn="0" w:noHBand="0" w:noVBand="1"/>
            </w:tblPr>
            <w:tblGrid>
              <w:gridCol w:w="456"/>
              <w:gridCol w:w="1254"/>
              <w:gridCol w:w="456"/>
              <w:gridCol w:w="1039"/>
              <w:gridCol w:w="499"/>
              <w:gridCol w:w="1352"/>
            </w:tblGrid>
            <w:tr>
              <w:trPr>
                <w:jc w:val="center"/>
              </w:trPr>
              <w:tc>
                <w:tcPr>
                  <w:tcW w:w="0" w:type="auto"/>
                  <w:shd w:val="clear" w:color="auto" w:fill="auto"/>
                  <w:vAlign w:val="center"/>
                </w:tcPr>
                <w:p>
                  <w:pPr>
                    <w:pStyle w:val="Yo5TextNotes"/>
                    <w:tabs>
                      <w:tab w:val="clear" w:pos="1985"/>
                      <w:tab w:val="right" w:pos="8722"/>
                    </w:tabs>
                    <w:spacing w:before="40" w:after="40"/>
                    <w:jc w:val="center"/>
                    <w:rPr>
                      <w:noProof/>
                      <w:lang w:val="en-GB" w:eastAsia="en-GB"/>
                    </w:rPr>
                  </w:pPr>
                  <w:r>
                    <w:rPr>
                      <w:noProof/>
                      <w:snapToGrid/>
                      <w:lang w:val="en-US"/>
                    </w:rPr>
                    <w:drawing>
                      <wp:inline distT="0" distB="0" distL="0" distR="0">
                        <wp:extent cx="142875" cy="142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shd w:val="clear" w:color="auto" w:fill="auto"/>
                  <w:vAlign w:val="center"/>
                </w:tcPr>
                <w:p>
                  <w:pPr>
                    <w:pStyle w:val="Yo5TextNotes"/>
                    <w:tabs>
                      <w:tab w:val="clear" w:pos="1985"/>
                      <w:tab w:val="right" w:pos="8722"/>
                    </w:tabs>
                    <w:spacing w:before="40" w:after="40"/>
                    <w:jc w:val="center"/>
                    <w:rPr>
                      <w:noProof/>
                      <w:lang w:val="en-GB" w:eastAsia="en-GB"/>
                    </w:rPr>
                  </w:pPr>
                  <w:r>
                    <w:rPr>
                      <w:noProof/>
                      <w:lang w:val="en-GB" w:eastAsia="en-GB"/>
                    </w:rPr>
                    <w:t xml:space="preserve">Aged under 16 </w:t>
                  </w:r>
                </w:p>
              </w:tc>
              <w:tc>
                <w:tcPr>
                  <w:tcW w:w="0" w:type="auto"/>
                  <w:shd w:val="clear" w:color="auto" w:fill="auto"/>
                  <w:vAlign w:val="center"/>
                </w:tcPr>
                <w:p>
                  <w:pPr>
                    <w:pStyle w:val="Yo5TextNotes"/>
                    <w:tabs>
                      <w:tab w:val="clear" w:pos="1985"/>
                      <w:tab w:val="right" w:pos="8722"/>
                    </w:tabs>
                    <w:spacing w:before="40" w:after="40"/>
                    <w:jc w:val="center"/>
                    <w:rPr>
                      <w:noProof/>
                      <w:lang w:val="en-GB" w:eastAsia="en-GB"/>
                    </w:rPr>
                  </w:pPr>
                  <w:r>
                    <w:rPr>
                      <w:noProof/>
                      <w:snapToGrid/>
                      <w:lang w:val="en-US"/>
                    </w:rPr>
                    <w:drawing>
                      <wp:inline distT="0" distB="0" distL="0" distR="0">
                        <wp:extent cx="142875" cy="142875"/>
                        <wp:effectExtent l="0" t="0" r="9525" b="952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shd w:val="clear" w:color="auto" w:fill="auto"/>
                  <w:vAlign w:val="center"/>
                </w:tcPr>
                <w:p>
                  <w:pPr>
                    <w:pStyle w:val="Yo5TextNotes"/>
                    <w:tabs>
                      <w:tab w:val="clear" w:pos="1985"/>
                      <w:tab w:val="right" w:pos="8722"/>
                    </w:tabs>
                    <w:spacing w:before="40" w:after="40"/>
                    <w:jc w:val="center"/>
                    <w:rPr>
                      <w:noProof/>
                      <w:lang w:val="en-GB" w:eastAsia="en-GB"/>
                    </w:rPr>
                  </w:pPr>
                  <w:r>
                    <w:rPr>
                      <w:noProof/>
                      <w:lang w:val="en-GB" w:eastAsia="en-GB"/>
                    </w:rPr>
                    <w:t>Aged 16-29</w:t>
                  </w:r>
                </w:p>
              </w:tc>
              <w:tc>
                <w:tcPr>
                  <w:tcW w:w="0" w:type="auto"/>
                  <w:shd w:val="clear" w:color="auto" w:fill="auto"/>
                </w:tcPr>
                <w:p>
                  <w:pPr>
                    <w:pStyle w:val="Yo5TextNotes"/>
                    <w:tabs>
                      <w:tab w:val="clear" w:pos="1985"/>
                      <w:tab w:val="right" w:pos="8722"/>
                    </w:tabs>
                    <w:spacing w:before="40" w:after="40"/>
                    <w:jc w:val="center"/>
                    <w:rPr>
                      <w:noProof/>
                      <w:lang w:val="en-GB" w:eastAsia="en-GB"/>
                    </w:rPr>
                  </w:pPr>
                  <w:r>
                    <w:rPr>
                      <w:noProof/>
                      <w:snapToGrid/>
                      <w:lang w:val="en-US"/>
                    </w:rPr>
                    <w:drawing>
                      <wp:inline distT="0" distB="0" distL="0" distR="0">
                        <wp:extent cx="179705" cy="35560"/>
                        <wp:effectExtent l="0" t="0" r="0" b="2540"/>
                        <wp:docPr id="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705" cy="35560"/>
                                </a:xfrm>
                                <a:prstGeom prst="rect">
                                  <a:avLst/>
                                </a:prstGeom>
                                <a:noFill/>
                              </pic:spPr>
                            </pic:pic>
                          </a:graphicData>
                        </a:graphic>
                      </wp:inline>
                    </w:drawing>
                  </w:r>
                </w:p>
              </w:tc>
              <w:tc>
                <w:tcPr>
                  <w:tcW w:w="0" w:type="auto"/>
                  <w:shd w:val="clear" w:color="auto" w:fill="auto"/>
                  <w:vAlign w:val="center"/>
                </w:tcPr>
                <w:p>
                  <w:pPr>
                    <w:pStyle w:val="Yo5TextNotes"/>
                    <w:tabs>
                      <w:tab w:val="clear" w:pos="1985"/>
                      <w:tab w:val="right" w:pos="8722"/>
                    </w:tabs>
                    <w:spacing w:before="40" w:after="40"/>
                    <w:jc w:val="center"/>
                    <w:rPr>
                      <w:noProof/>
                      <w:lang w:val="en-GB" w:eastAsia="en-GB"/>
                    </w:rPr>
                  </w:pPr>
                  <w:r>
                    <w:rPr>
                      <w:noProof/>
                      <w:lang w:val="en-GB" w:eastAsia="en-GB"/>
                    </w:rPr>
                    <w:t>Total population</w:t>
                  </w:r>
                </w:p>
              </w:tc>
            </w:tr>
          </w:tbl>
          <w:p>
            <w:pPr>
              <w:pStyle w:val="Yo5TextNotes"/>
              <w:tabs>
                <w:tab w:val="clear" w:pos="1985"/>
                <w:tab w:val="right" w:pos="8722"/>
              </w:tabs>
              <w:ind w:left="175"/>
              <w:rPr>
                <w:noProof/>
                <w:lang w:val="en-GB" w:eastAsia="en-GB"/>
              </w:rPr>
            </w:pPr>
          </w:p>
        </w:tc>
      </w:tr>
      <w:tr>
        <w:trPr>
          <w:trHeight w:val="20"/>
        </w:trPr>
        <w:tc>
          <w:tcPr>
            <w:tcW w:w="477" w:type="dxa"/>
            <w:vMerge/>
            <w:tcBorders>
              <w:top w:val="nil"/>
              <w:left w:val="single" w:sz="4" w:space="0" w:color="auto"/>
              <w:bottom w:val="single" w:sz="4" w:space="0" w:color="auto"/>
              <w:right w:val="single" w:sz="4" w:space="0" w:color="auto"/>
            </w:tcBorders>
            <w:vAlign w:val="center"/>
            <w:hideMark/>
          </w:tcPr>
          <w:p>
            <w:pPr>
              <w:spacing w:after="0" w:line="240" w:lineRule="auto"/>
              <w:rPr>
                <w:b/>
                <w:noProof/>
                <w:color w:val="FFFFFF"/>
                <w:sz w:val="16"/>
                <w:lang w:eastAsia="fr-BE"/>
              </w:rPr>
            </w:pPr>
          </w:p>
        </w:tc>
        <w:tc>
          <w:tcPr>
            <w:tcW w:w="3175" w:type="dxa"/>
            <w:tcBorders>
              <w:top w:val="nil"/>
              <w:left w:val="single" w:sz="4" w:space="0" w:color="auto"/>
              <w:bottom w:val="single" w:sz="4" w:space="0" w:color="auto"/>
              <w:right w:val="nil"/>
            </w:tcBorders>
            <w:tcMar>
              <w:top w:w="57" w:type="dxa"/>
              <w:left w:w="255" w:type="dxa"/>
              <w:bottom w:w="0" w:type="dxa"/>
              <w:right w:w="108" w:type="dxa"/>
            </w:tcMar>
            <w:hideMark/>
          </w:tcPr>
          <w:p>
            <w:pPr>
              <w:pStyle w:val="Yo5TitleFigure"/>
              <w:spacing w:before="60"/>
              <w:jc w:val="center"/>
              <w:rPr>
                <w:sz w:val="14"/>
                <w:szCs w:val="14"/>
              </w:rPr>
            </w:pPr>
            <w:r>
              <w:rPr>
                <w:sz w:val="14"/>
                <w:szCs w:val="14"/>
              </w:rPr>
              <w:t>EU-28 average, by age, 2010-2016</w:t>
            </w:r>
          </w:p>
          <w:p>
            <w:pPr>
              <w:pStyle w:val="Yo5TitleFigure"/>
              <w:spacing w:before="0" w:after="0"/>
              <w:jc w:val="center"/>
              <w:rPr>
                <w:sz w:val="14"/>
                <w:szCs w:val="14"/>
              </w:rPr>
            </w:pPr>
          </w:p>
          <w:p>
            <w:pPr>
              <w:pStyle w:val="Yo5TitleFigure"/>
              <w:tabs>
                <w:tab w:val="left" w:pos="2353"/>
              </w:tabs>
              <w:spacing w:before="0" w:after="0" w:line="240" w:lineRule="auto"/>
              <w:ind w:left="165"/>
              <w:rPr>
                <w:b/>
                <w:color w:val="auto"/>
                <w:sz w:val="14"/>
                <w:szCs w:val="14"/>
              </w:rPr>
            </w:pPr>
            <w:r>
              <w:rPr>
                <w:color w:val="auto"/>
                <w:sz w:val="14"/>
                <w:szCs w:val="14"/>
              </w:rPr>
              <w:t>%</w:t>
            </w:r>
            <w:r>
              <w:rPr>
                <w:lang w:eastAsia="en-GB"/>
              </w:rPr>
              <w:tab/>
              <w:t xml:space="preserve"> </w:t>
            </w:r>
            <w:r>
              <w:rPr>
                <w:color w:val="auto"/>
                <w:sz w:val="14"/>
                <w:szCs w:val="14"/>
                <w:lang w:eastAsia="en-GB"/>
              </w:rPr>
              <w:t>%</w:t>
            </w:r>
          </w:p>
          <w:p>
            <w:pPr>
              <w:pStyle w:val="Yo5TextNotes"/>
              <w:tabs>
                <w:tab w:val="clear" w:pos="1985"/>
                <w:tab w:val="right" w:pos="8722"/>
              </w:tabs>
              <w:spacing w:after="60"/>
              <w:rPr>
                <w:noProof/>
                <w:lang w:eastAsia="en-GB"/>
              </w:rPr>
            </w:pPr>
            <w:r>
              <w:rPr>
                <w:noProof/>
                <w:snapToGrid/>
                <w:lang w:val="en-US"/>
              </w:rPr>
              <w:drawing>
                <wp:inline distT="0" distB="0" distL="0" distR="0">
                  <wp:extent cx="1717675" cy="1280160"/>
                  <wp:effectExtent l="0" t="0" r="0" b="0"/>
                  <wp:docPr id="14" name="Picture 14" descr="\\s-eacea-fs03-p\EACEA.A7\Youth\04_Reports\a_EU_Youth_Reports\2018\03_graph\7_B_b_poverty_or_social_exclusion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cea-fs03-p\EACEA.A7\Youth\04_Reports\a_EU_Youth_Reports\2018\03_graph\7_B_b_poverty_or_social_exclusion_EU.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7675" cy="1280160"/>
                          </a:xfrm>
                          <a:prstGeom prst="rect">
                            <a:avLst/>
                          </a:prstGeom>
                          <a:noFill/>
                          <a:ln>
                            <a:noFill/>
                          </a:ln>
                        </pic:spPr>
                      </pic:pic>
                    </a:graphicData>
                  </a:graphic>
                </wp:inline>
              </w:drawing>
            </w:r>
          </w:p>
          <w:tbl>
            <w:tblPr>
              <w:tblW w:w="0" w:type="auto"/>
              <w:tblBorders>
                <w:insideH w:val="single" w:sz="4" w:space="0" w:color="auto"/>
              </w:tblBorders>
              <w:tblLook w:val="04A0" w:firstRow="1" w:lastRow="0" w:firstColumn="1" w:lastColumn="0" w:noHBand="0" w:noVBand="1"/>
            </w:tblPr>
            <w:tblGrid>
              <w:gridCol w:w="409"/>
              <w:gridCol w:w="512"/>
              <w:gridCol w:w="396"/>
              <w:gridCol w:w="611"/>
              <w:gridCol w:w="343"/>
              <w:gridCol w:w="541"/>
            </w:tblGrid>
            <w:tr>
              <w:tc>
                <w:tcPr>
                  <w:tcW w:w="409" w:type="dxa"/>
                  <w:shd w:val="clear" w:color="auto" w:fill="auto"/>
                  <w:tcMar>
                    <w:left w:w="57" w:type="dxa"/>
                    <w:right w:w="57" w:type="dxa"/>
                  </w:tcMar>
                  <w:vAlign w:val="center"/>
                </w:tcPr>
                <w:p>
                  <w:pPr>
                    <w:pStyle w:val="Yo5TextNotes"/>
                    <w:tabs>
                      <w:tab w:val="clear" w:pos="1985"/>
                      <w:tab w:val="right" w:pos="8722"/>
                    </w:tabs>
                    <w:jc w:val="center"/>
                    <w:rPr>
                      <w:noProof/>
                      <w:sz w:val="20"/>
                      <w:szCs w:val="20"/>
                      <w:lang w:eastAsia="en-GB"/>
                    </w:rPr>
                  </w:pPr>
                  <w:r>
                    <w:rPr>
                      <w:noProof/>
                      <w:color w:val="FFA3A4"/>
                      <w:sz w:val="20"/>
                      <w:szCs w:val="20"/>
                      <w:lang w:val="en-GB"/>
                    </w:rPr>
                    <w:sym w:font="Wingdings 2" w:char="F098"/>
                  </w:r>
                </w:p>
              </w:tc>
              <w:tc>
                <w:tcPr>
                  <w:tcW w:w="512" w:type="dxa"/>
                  <w:shd w:val="clear" w:color="auto" w:fill="auto"/>
                  <w:tcMar>
                    <w:left w:w="57" w:type="dxa"/>
                    <w:right w:w="57" w:type="dxa"/>
                  </w:tcMar>
                  <w:vAlign w:val="center"/>
                </w:tcPr>
                <w:p>
                  <w:pPr>
                    <w:pStyle w:val="Yo5TextNotes"/>
                    <w:tabs>
                      <w:tab w:val="clear" w:pos="1985"/>
                      <w:tab w:val="right" w:pos="8722"/>
                    </w:tabs>
                    <w:jc w:val="left"/>
                    <w:rPr>
                      <w:noProof/>
                      <w:szCs w:val="14"/>
                      <w:lang w:val="en-GB" w:eastAsia="en-GB"/>
                    </w:rPr>
                  </w:pPr>
                  <w:r>
                    <w:rPr>
                      <w:noProof/>
                      <w:szCs w:val="14"/>
                      <w:lang w:val="en-GB" w:eastAsia="en-GB"/>
                    </w:rPr>
                    <w:t>Aged &lt;16</w:t>
                  </w:r>
                </w:p>
              </w:tc>
              <w:tc>
                <w:tcPr>
                  <w:tcW w:w="396" w:type="dxa"/>
                  <w:shd w:val="clear" w:color="auto" w:fill="auto"/>
                  <w:tcMar>
                    <w:left w:w="57" w:type="dxa"/>
                    <w:right w:w="57" w:type="dxa"/>
                  </w:tcMar>
                  <w:vAlign w:val="center"/>
                </w:tcPr>
                <w:p>
                  <w:pPr>
                    <w:pStyle w:val="Yo5TextNotes"/>
                    <w:tabs>
                      <w:tab w:val="clear" w:pos="1985"/>
                      <w:tab w:val="right" w:pos="8722"/>
                    </w:tabs>
                    <w:jc w:val="center"/>
                    <w:rPr>
                      <w:noProof/>
                      <w:lang w:eastAsia="en-GB"/>
                    </w:rPr>
                  </w:pPr>
                  <w:r>
                    <w:rPr>
                      <w:noProof/>
                      <w:snapToGrid/>
                      <w:lang w:val="en-US"/>
                    </w:rPr>
                    <w:drawing>
                      <wp:inline distT="0" distB="0" distL="0" distR="0">
                        <wp:extent cx="119380" cy="1193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c>
                <w:tcPr>
                  <w:tcW w:w="611" w:type="dxa"/>
                  <w:shd w:val="clear" w:color="auto" w:fill="auto"/>
                  <w:tcMar>
                    <w:left w:w="57" w:type="dxa"/>
                    <w:right w:w="57" w:type="dxa"/>
                  </w:tcMar>
                  <w:vAlign w:val="center"/>
                </w:tcPr>
                <w:p>
                  <w:pPr>
                    <w:pStyle w:val="Yo5TextNotes"/>
                    <w:tabs>
                      <w:tab w:val="clear" w:pos="1985"/>
                      <w:tab w:val="right" w:pos="8722"/>
                    </w:tabs>
                    <w:jc w:val="left"/>
                    <w:rPr>
                      <w:noProof/>
                      <w:szCs w:val="14"/>
                      <w:lang w:eastAsia="en-GB"/>
                    </w:rPr>
                  </w:pPr>
                  <w:r>
                    <w:rPr>
                      <w:noProof/>
                      <w:szCs w:val="14"/>
                      <w:lang w:val="en-GB" w:eastAsia="en-GB"/>
                    </w:rPr>
                    <w:t>Aged 16-29</w:t>
                  </w:r>
                </w:p>
              </w:tc>
              <w:tc>
                <w:tcPr>
                  <w:tcW w:w="343" w:type="dxa"/>
                  <w:shd w:val="clear" w:color="auto" w:fill="auto"/>
                  <w:tcMar>
                    <w:left w:w="57" w:type="dxa"/>
                    <w:right w:w="57" w:type="dxa"/>
                  </w:tcMar>
                  <w:vAlign w:val="center"/>
                </w:tcPr>
                <w:p>
                  <w:pPr>
                    <w:pStyle w:val="Yo5TextNotes"/>
                    <w:tabs>
                      <w:tab w:val="clear" w:pos="1985"/>
                      <w:tab w:val="right" w:pos="8722"/>
                    </w:tabs>
                    <w:jc w:val="center"/>
                    <w:rPr>
                      <w:noProof/>
                      <w:sz w:val="22"/>
                      <w:szCs w:val="22"/>
                      <w:lang w:eastAsia="en-GB"/>
                    </w:rPr>
                  </w:pPr>
                  <w:r>
                    <w:rPr>
                      <w:noProof/>
                      <w:color w:val="5F0312"/>
                      <w:sz w:val="22"/>
                      <w:szCs w:val="22"/>
                      <w:lang w:val="en-GB"/>
                    </w:rPr>
                    <w:sym w:font="Wingdings 2" w:char="F0BF"/>
                  </w:r>
                </w:p>
              </w:tc>
              <w:tc>
                <w:tcPr>
                  <w:tcW w:w="541" w:type="dxa"/>
                  <w:shd w:val="clear" w:color="auto" w:fill="auto"/>
                  <w:tcMar>
                    <w:left w:w="57" w:type="dxa"/>
                    <w:right w:w="57" w:type="dxa"/>
                  </w:tcMar>
                  <w:vAlign w:val="center"/>
                </w:tcPr>
                <w:p>
                  <w:pPr>
                    <w:pStyle w:val="Yo5TextNotes"/>
                    <w:tabs>
                      <w:tab w:val="clear" w:pos="1985"/>
                      <w:tab w:val="right" w:pos="8722"/>
                    </w:tabs>
                    <w:jc w:val="left"/>
                    <w:rPr>
                      <w:noProof/>
                      <w:szCs w:val="14"/>
                      <w:lang w:eastAsia="en-GB"/>
                    </w:rPr>
                  </w:pPr>
                  <w:r>
                    <w:rPr>
                      <w:noProof/>
                      <w:szCs w:val="14"/>
                      <w:lang w:val="en-GB" w:eastAsia="en-GB"/>
                    </w:rPr>
                    <w:t>Total</w:t>
                  </w:r>
                </w:p>
              </w:tc>
            </w:tr>
          </w:tbl>
          <w:p>
            <w:pPr>
              <w:pStyle w:val="Yo5TextNotes"/>
              <w:tabs>
                <w:tab w:val="clear" w:pos="1985"/>
                <w:tab w:val="right" w:pos="8722"/>
              </w:tabs>
              <w:rPr>
                <w:noProof/>
                <w:lang w:eastAsia="en-GB"/>
              </w:rPr>
            </w:pPr>
          </w:p>
        </w:tc>
        <w:tc>
          <w:tcPr>
            <w:tcW w:w="3319" w:type="dxa"/>
            <w:tcBorders>
              <w:top w:val="nil"/>
              <w:left w:val="nil"/>
              <w:bottom w:val="single" w:sz="4" w:space="0" w:color="auto"/>
              <w:right w:val="nil"/>
            </w:tcBorders>
            <w:hideMark/>
          </w:tcPr>
          <w:p>
            <w:pPr>
              <w:pStyle w:val="Yo5TitleFigure"/>
              <w:spacing w:before="60"/>
              <w:ind w:left="317" w:right="234"/>
              <w:jc w:val="center"/>
              <w:rPr>
                <w:sz w:val="14"/>
                <w:szCs w:val="14"/>
              </w:rPr>
            </w:pPr>
            <w:r>
              <w:rPr>
                <w:sz w:val="14"/>
                <w:szCs w:val="14"/>
              </w:rPr>
              <w:t>EU-28 average for young people aged 16-29 by gender, 2010-2016</w:t>
            </w:r>
          </w:p>
          <w:p>
            <w:pPr>
              <w:pStyle w:val="Yo5TitleFigure"/>
              <w:tabs>
                <w:tab w:val="left" w:pos="2585"/>
              </w:tabs>
              <w:spacing w:before="0" w:after="0" w:line="240" w:lineRule="auto"/>
              <w:ind w:left="357"/>
              <w:rPr>
                <w:b/>
                <w:color w:val="auto"/>
                <w:sz w:val="14"/>
                <w:szCs w:val="14"/>
              </w:rPr>
            </w:pPr>
            <w:r>
              <w:rPr>
                <w:color w:val="auto"/>
                <w:sz w:val="14"/>
                <w:szCs w:val="14"/>
              </w:rPr>
              <w:t>%</w:t>
            </w:r>
            <w:r>
              <w:rPr>
                <w:lang w:eastAsia="en-GB"/>
              </w:rPr>
              <w:tab/>
            </w:r>
            <w:r>
              <w:rPr>
                <w:color w:val="auto"/>
                <w:sz w:val="14"/>
                <w:szCs w:val="14"/>
                <w:lang w:eastAsia="en-GB"/>
              </w:rPr>
              <w:t>%</w:t>
            </w:r>
          </w:p>
          <w:p>
            <w:pPr>
              <w:pStyle w:val="Yo5TextNotes"/>
              <w:tabs>
                <w:tab w:val="clear" w:pos="1985"/>
                <w:tab w:val="right" w:pos="8722"/>
              </w:tabs>
              <w:spacing w:after="60"/>
              <w:ind w:left="176"/>
              <w:rPr>
                <w:noProof/>
                <w:lang w:val="en-GB" w:eastAsia="en-GB"/>
              </w:rPr>
            </w:pPr>
            <w:r>
              <w:rPr>
                <w:noProof/>
                <w:snapToGrid/>
                <w:lang w:val="en-US"/>
              </w:rPr>
              <w:drawing>
                <wp:inline distT="0" distB="0" distL="0" distR="0">
                  <wp:extent cx="1709420" cy="1288415"/>
                  <wp:effectExtent l="0" t="0" r="5080" b="6985"/>
                  <wp:docPr id="16" name="Picture 16" descr="\\s-eacea-fs03-p\EACEA.A7\Youth\04_Reports\a_EU_Youth_Reports\2018\03_graph\7_B_c_poverty_or_social_exclusion_EU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cea-fs03-p\EACEA.A7\Youth\04_Reports\a_EU_Youth_Reports\2018\03_graph\7_B_c_poverty_or_social_exclusion_EU_gender.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709420" cy="1288415"/>
                          </a:xfrm>
                          <a:prstGeom prst="rect">
                            <a:avLst/>
                          </a:prstGeom>
                          <a:noFill/>
                          <a:ln>
                            <a:noFill/>
                          </a:ln>
                        </pic:spPr>
                      </pic:pic>
                    </a:graphicData>
                  </a:graphic>
                </wp:inline>
              </w:drawing>
            </w:r>
          </w:p>
          <w:tbl>
            <w:tblPr>
              <w:tblW w:w="0" w:type="auto"/>
              <w:jc w:val="center"/>
              <w:tblBorders>
                <w:insideH w:val="single" w:sz="4" w:space="0" w:color="auto"/>
              </w:tblBorders>
              <w:tblLook w:val="04A0" w:firstRow="1" w:lastRow="0" w:firstColumn="1" w:lastColumn="0" w:noHBand="0" w:noVBand="1"/>
            </w:tblPr>
            <w:tblGrid>
              <w:gridCol w:w="430"/>
              <w:gridCol w:w="797"/>
              <w:gridCol w:w="425"/>
              <w:gridCol w:w="719"/>
            </w:tblGrid>
            <w:tr>
              <w:trPr>
                <w:jc w:val="center"/>
              </w:trPr>
              <w:tc>
                <w:tcPr>
                  <w:tcW w:w="430" w:type="dxa"/>
                  <w:shd w:val="clear" w:color="auto" w:fill="auto"/>
                  <w:vAlign w:val="center"/>
                </w:tcPr>
                <w:p>
                  <w:pPr>
                    <w:pStyle w:val="Yo5TextNotes"/>
                    <w:tabs>
                      <w:tab w:val="clear" w:pos="1985"/>
                      <w:tab w:val="right" w:pos="8722"/>
                    </w:tabs>
                    <w:jc w:val="center"/>
                    <w:rPr>
                      <w:noProof/>
                      <w:color w:val="EF413D"/>
                      <w:sz w:val="20"/>
                      <w:szCs w:val="20"/>
                      <w:lang w:val="en-GB" w:eastAsia="en-GB"/>
                    </w:rPr>
                  </w:pPr>
                  <w:r>
                    <w:rPr>
                      <w:noProof/>
                      <w:color w:val="EF413D"/>
                      <w:sz w:val="20"/>
                      <w:szCs w:val="20"/>
                      <w:lang w:val="en-GB"/>
                    </w:rPr>
                    <w:sym w:font="Wingdings 2" w:char="F098"/>
                  </w:r>
                </w:p>
              </w:tc>
              <w:tc>
                <w:tcPr>
                  <w:tcW w:w="797" w:type="dxa"/>
                  <w:shd w:val="clear" w:color="auto" w:fill="auto"/>
                  <w:vAlign w:val="center"/>
                </w:tcPr>
                <w:p>
                  <w:pPr>
                    <w:pStyle w:val="Yo5TextNotes"/>
                    <w:tabs>
                      <w:tab w:val="clear" w:pos="1985"/>
                      <w:tab w:val="right" w:pos="8722"/>
                    </w:tabs>
                    <w:jc w:val="left"/>
                    <w:rPr>
                      <w:noProof/>
                      <w:szCs w:val="14"/>
                      <w:lang w:val="en-GB" w:eastAsia="en-GB"/>
                    </w:rPr>
                  </w:pPr>
                  <w:r>
                    <w:rPr>
                      <w:noProof/>
                      <w:szCs w:val="14"/>
                      <w:lang w:val="en-GB" w:eastAsia="en-GB"/>
                    </w:rPr>
                    <w:t>Women</w:t>
                  </w:r>
                </w:p>
              </w:tc>
              <w:tc>
                <w:tcPr>
                  <w:tcW w:w="425" w:type="dxa"/>
                  <w:shd w:val="clear" w:color="auto" w:fill="auto"/>
                  <w:vAlign w:val="center"/>
                </w:tcPr>
                <w:p>
                  <w:pPr>
                    <w:pStyle w:val="Yo5TextNotes"/>
                    <w:tabs>
                      <w:tab w:val="clear" w:pos="1985"/>
                      <w:tab w:val="right" w:pos="8722"/>
                    </w:tabs>
                    <w:jc w:val="center"/>
                    <w:rPr>
                      <w:noProof/>
                      <w:sz w:val="22"/>
                      <w:szCs w:val="22"/>
                      <w:lang w:val="en-GB" w:eastAsia="en-GB"/>
                    </w:rPr>
                  </w:pPr>
                  <w:r>
                    <w:rPr>
                      <w:noProof/>
                      <w:color w:val="1B4298"/>
                      <w:sz w:val="22"/>
                      <w:szCs w:val="22"/>
                      <w:lang w:val="en-GB"/>
                    </w:rPr>
                    <w:sym w:font="Wingdings 2" w:char="F0BF"/>
                  </w:r>
                </w:p>
              </w:tc>
              <w:tc>
                <w:tcPr>
                  <w:tcW w:w="719" w:type="dxa"/>
                  <w:shd w:val="clear" w:color="auto" w:fill="auto"/>
                  <w:vAlign w:val="center"/>
                </w:tcPr>
                <w:p>
                  <w:pPr>
                    <w:pStyle w:val="Yo5TextNotes"/>
                    <w:tabs>
                      <w:tab w:val="clear" w:pos="1985"/>
                      <w:tab w:val="right" w:pos="8722"/>
                    </w:tabs>
                    <w:jc w:val="left"/>
                    <w:rPr>
                      <w:noProof/>
                      <w:lang w:val="en-GB" w:eastAsia="en-GB"/>
                    </w:rPr>
                  </w:pPr>
                  <w:r>
                    <w:rPr>
                      <w:noProof/>
                      <w:lang w:val="en-GB" w:eastAsia="en-GB"/>
                    </w:rPr>
                    <w:t>Men</w:t>
                  </w:r>
                </w:p>
              </w:tc>
            </w:tr>
          </w:tbl>
          <w:p>
            <w:pPr>
              <w:pStyle w:val="Yo5TextNotes"/>
              <w:tabs>
                <w:tab w:val="clear" w:pos="1985"/>
                <w:tab w:val="right" w:pos="8722"/>
              </w:tabs>
              <w:ind w:left="175"/>
              <w:rPr>
                <w:noProof/>
                <w:lang w:val="en-GB" w:eastAsia="en-GB"/>
              </w:rPr>
            </w:pPr>
          </w:p>
        </w:tc>
        <w:tc>
          <w:tcPr>
            <w:tcW w:w="3424" w:type="dxa"/>
            <w:tcBorders>
              <w:top w:val="nil"/>
              <w:left w:val="nil"/>
              <w:bottom w:val="single" w:sz="4" w:space="0" w:color="auto"/>
              <w:right w:val="single" w:sz="4" w:space="0" w:color="auto"/>
            </w:tcBorders>
          </w:tcPr>
          <w:p>
            <w:pPr>
              <w:pStyle w:val="Yo5TextNotes"/>
              <w:tabs>
                <w:tab w:val="clear" w:pos="1985"/>
                <w:tab w:val="right" w:pos="8722"/>
              </w:tabs>
              <w:ind w:left="175"/>
              <w:rPr>
                <w:noProof/>
                <w:lang w:val="en-GB" w:eastAsia="en-GB"/>
              </w:rPr>
            </w:pPr>
          </w:p>
          <w:p>
            <w:pPr>
              <w:pStyle w:val="Yo5TextNotes"/>
              <w:tabs>
                <w:tab w:val="clear" w:pos="1985"/>
                <w:tab w:val="right" w:pos="8722"/>
              </w:tabs>
              <w:ind w:left="175"/>
              <w:rPr>
                <w:noProof/>
                <w:lang w:val="en-GB" w:eastAsia="en-GB"/>
              </w:rPr>
            </w:pPr>
          </w:p>
          <w:p>
            <w:pPr>
              <w:pStyle w:val="Yo5TextNotes"/>
              <w:tabs>
                <w:tab w:val="clear" w:pos="1985"/>
                <w:tab w:val="right" w:pos="8722"/>
              </w:tabs>
              <w:ind w:left="175"/>
              <w:rPr>
                <w:noProof/>
                <w:lang w:val="en-GB"/>
              </w:rPr>
            </w:pPr>
            <w:r>
              <w:rPr>
                <w:i/>
                <w:noProof/>
                <w:lang w:val="en-GB"/>
              </w:rPr>
              <w:t>Notes</w:t>
            </w:r>
            <w:r>
              <w:rPr>
                <w:noProof/>
                <w:lang w:val="en-GB"/>
              </w:rPr>
              <w:t xml:space="preserve">: People defined as being 'at risk of poverty or social exclusion' are those who fall into at least one of the following categories: they are at risk of poverty; they suffer from severe material deprivation; or they live in households with very low work intensity (see sub-indicators below). </w:t>
            </w:r>
          </w:p>
          <w:p>
            <w:pPr>
              <w:pStyle w:val="Yo5TextNotes"/>
              <w:tabs>
                <w:tab w:val="clear" w:pos="1985"/>
                <w:tab w:val="right" w:pos="8722"/>
              </w:tabs>
              <w:ind w:left="175"/>
              <w:rPr>
                <w:noProof/>
                <w:lang w:val="en-GB"/>
              </w:rPr>
            </w:pPr>
          </w:p>
          <w:p>
            <w:pPr>
              <w:pStyle w:val="Yo5TextNotes"/>
              <w:tabs>
                <w:tab w:val="clear" w:pos="1985"/>
                <w:tab w:val="right" w:pos="8722"/>
              </w:tabs>
              <w:ind w:left="175"/>
              <w:rPr>
                <w:noProof/>
                <w:lang w:val="en-GB" w:eastAsia="en-GB"/>
              </w:rPr>
            </w:pPr>
            <w:r>
              <w:rPr>
                <w:i/>
                <w:noProof/>
                <w:lang w:val="en-GB" w:eastAsia="en-GB"/>
              </w:rPr>
              <w:t xml:space="preserve">Source: </w:t>
            </w:r>
            <w:r>
              <w:rPr>
                <w:noProof/>
                <w:lang w:val="en-GB" w:eastAsia="en-GB"/>
              </w:rPr>
              <w:t>Eurostat, Statistics on income and living conditions (SILC) [ilc_peps01]. Data extracted on 09.01.2018.</w:t>
            </w:r>
          </w:p>
        </w:tc>
      </w:tr>
    </w:tbl>
    <w:p>
      <w:pPr>
        <w:pStyle w:val="Yo1Textpara"/>
        <w:spacing w:before="0" w:line="240" w:lineRule="auto"/>
        <w:rPr>
          <w:noProof/>
          <w:sz w:val="14"/>
          <w:szCs w:val="14"/>
        </w:rPr>
      </w:pPr>
    </w:p>
    <w:tbl>
      <w:tblPr>
        <w:tblpPr w:leftFromText="181" w:rightFromText="181" w:vertAnchor="text" w:horzAnchor="margin" w:tblpXSpec="right" w:tblpY="1178"/>
        <w:tblOverlap w:val="never"/>
        <w:tblW w:w="0" w:type="auto"/>
        <w:shd w:val="clear" w:color="auto" w:fill="FFA3A4"/>
        <w:tblLook w:val="04A0" w:firstRow="1" w:lastRow="0" w:firstColumn="1" w:lastColumn="0" w:noHBand="0" w:noVBand="1"/>
      </w:tblPr>
      <w:tblGrid>
        <w:gridCol w:w="2977"/>
      </w:tblGrid>
      <w:tr>
        <w:tc>
          <w:tcPr>
            <w:tcW w:w="2977" w:type="dxa"/>
            <w:shd w:val="clear" w:color="auto" w:fill="FFA3A4"/>
            <w:hideMark/>
          </w:tcPr>
          <w:p>
            <w:pPr>
              <w:pStyle w:val="Yo12Encart"/>
              <w:framePr w:hSpace="0" w:wrap="auto" w:vAnchor="margin" w:hAnchor="text" w:xAlign="left" w:yAlign="inline"/>
              <w:suppressOverlap w:val="0"/>
              <w:rPr>
                <w:noProof/>
                <w:sz w:val="22"/>
                <w:szCs w:val="22"/>
              </w:rPr>
            </w:pPr>
            <w:r>
              <w:rPr>
                <w:noProof/>
                <w:sz w:val="22"/>
                <w:szCs w:val="22"/>
              </w:rPr>
              <w:t>At-risk-of-poverty and social exclusion rates for children and young people have been decreasing since 2014. However, the proportion of young people at risk of poverty and social exclusion was still higher in 2016 than in 2010.</w:t>
            </w:r>
          </w:p>
        </w:tc>
      </w:tr>
    </w:tbl>
    <w:p>
      <w:pPr>
        <w:pStyle w:val="Yo1Textpara"/>
        <w:rPr>
          <w:noProof/>
        </w:rPr>
      </w:pPr>
      <w:r>
        <w:rPr>
          <w:noProof/>
        </w:rPr>
        <w:t>In the EU-28 in 2010, on average, the at-risk-of-poverty or social exclusion rates were at similar levels for children and young people (both above the rate within the total population). However, since then, while the proportion of young people at risk of poverty or social exclusion has increased by 2 percentage points, the rate for children decreased by 1 percentage point, widening the gap between the two groups (Figure 7-B). Nevertheless, even for young people aged 16 to 29, the at-risk-of-poverty or social exclusion rates started decreasing in 2015, which could be at least partly attributed to improved employment rates (Chapter 3).</w:t>
      </w:r>
    </w:p>
    <w:p>
      <w:pPr>
        <w:pStyle w:val="Yo1Textpara"/>
        <w:rPr>
          <w:noProof/>
        </w:rPr>
      </w:pPr>
      <w:r>
        <w:rPr>
          <w:noProof/>
        </w:rPr>
        <w:t>However, not all countries have been experiencing the same trends. Between 2010 and 2016, young people's at-risk-of-poverty or social exclusion rates increased the most in Greece and Spain (by 15.6 and 9.8 percentage points respectively) (</w:t>
      </w:r>
      <w:r>
        <w:rPr>
          <w:rStyle w:val="FootnoteReference"/>
          <w:noProof/>
        </w:rPr>
        <w:footnoteReference w:id="12"/>
      </w:r>
      <w:r>
        <w:rPr>
          <w:noProof/>
        </w:rPr>
        <w:t>). In Greece, trends for children have been similar, with an increase of 8.5 percentage points. On the other hand, the decrease in the rate for both young people and children was the largest in Latvia, at 15 and 18.3 percentage points respectively (</w:t>
      </w:r>
      <w:r>
        <w:rPr>
          <w:rStyle w:val="FootnoteReference"/>
          <w:noProof/>
        </w:rPr>
        <w:footnoteReference w:id="13"/>
      </w:r>
      <w:r>
        <w:rPr>
          <w:noProof/>
        </w:rPr>
        <w:t>). In Latvia, this decrease followed a large increase between 2008 and 2011, among the largest increases for children and young people in the European Union (12.2 and 15.6 percentage points respectively in the two age groups) (</w:t>
      </w:r>
      <w:r>
        <w:rPr>
          <w:rStyle w:val="FootnoteReference"/>
          <w:noProof/>
        </w:rPr>
        <w:footnoteReference w:id="14"/>
      </w:r>
      <w:r>
        <w:rPr>
          <w:noProof/>
        </w:rPr>
        <w:t>). The reversal of this extreme rise was hailed as a 'success story' of crisis management already back in 2012 (European Commission, 2012).</w:t>
      </w:r>
    </w:p>
    <w:p>
      <w:pPr>
        <w:pStyle w:val="Yo1Textpara"/>
        <w:rPr>
          <w:noProof/>
        </w:rPr>
      </w:pPr>
      <w:r>
        <w:rPr>
          <w:noProof/>
        </w:rPr>
        <w:t>As Figure 7-B also illustrates, the at-risk-of-poverty or social exclusion rate is especially high for young women, partly due to them leaving the parental home earlier (Figure 7-A). In 2016, the at-risk-of-poverty or social exclusion rate was 28 % for young men aged 16 to 29, while it was 1.6 percentage points higher for young women. In addition, despite the general decreasing trend, the proportion of young women at risk of poverty and social exclusion was higher in 2016 than in 2015.</w:t>
      </w:r>
    </w:p>
    <w:p>
      <w:pPr>
        <w:pStyle w:val="Yo1Textpara"/>
        <w:rPr>
          <w:noProof/>
        </w:rPr>
      </w:pPr>
      <w:r>
        <w:rPr>
          <w:noProof/>
        </w:rPr>
        <w:t xml:space="preserve">As discussed above, moving out of the family home increases the risk of poverty for young people. Indeed, as Figure 7-C illustrates, in the 20 to 24 age group, the at-risk-of-poverty or social exclusion rate is substantially higher for those living independently than for those living with their parents, with a 17.9 percentage point difference. However, these differences disappear in the older age cohort (aged 25 to 29), by which time most young people have stopped studying and have entered the labour market. In this age group, the at-risk-of-poverty or social exclusion rates of young people living independently and those living with their parents are identical. The figure also confirms that gender differences in the at-risk-of-poverty or social exclusion rates are more pronounced among 20 to 24 year-olds than among the older group, again due to women moving out of the parental home earlier. </w:t>
      </w:r>
    </w:p>
    <w:p>
      <w:pPr>
        <w:pStyle w:val="Yo5TitleFigure"/>
        <w:jc w:val="both"/>
      </w:pPr>
      <w:r>
        <w:rPr>
          <w:b/>
        </w:rPr>
        <w:t xml:space="preserve">Figure 7-C: </w:t>
      </w:r>
      <w:r>
        <w:t>At-risk-of-poverty or social exclusion rate for young people (aged 20-29), EU-28 average by age group, by living arrangements and by sex, 2016</w:t>
      </w:r>
    </w:p>
    <w:tbl>
      <w:tblPr>
        <w:tblpPr w:leftFromText="181" w:rightFromText="181" w:vertAnchor="text" w:tblpX="-424" w:tblpY="256"/>
        <w:tblOverlap w:val="never"/>
        <w:tblW w:w="818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3"/>
        <w:gridCol w:w="996"/>
        <w:gridCol w:w="770"/>
        <w:gridCol w:w="674"/>
        <w:gridCol w:w="1604"/>
        <w:gridCol w:w="287"/>
        <w:gridCol w:w="578"/>
        <w:gridCol w:w="851"/>
        <w:gridCol w:w="851"/>
        <w:gridCol w:w="1038"/>
      </w:tblGrid>
      <w:tr>
        <w:trPr>
          <w:trHeight w:val="3257"/>
        </w:trPr>
        <w:tc>
          <w:tcPr>
            <w:tcW w:w="533" w:type="dxa"/>
            <w:vMerge w:val="restart"/>
            <w:tcBorders>
              <w:top w:val="single" w:sz="4" w:space="0" w:color="auto"/>
              <w:right w:val="single" w:sz="4" w:space="0" w:color="auto"/>
            </w:tcBorders>
            <w:shd w:val="clear" w:color="auto" w:fill="FB5F5F"/>
            <w:textDirection w:val="btLr"/>
            <w:vAlign w:val="bottom"/>
          </w:tcPr>
          <w:p>
            <w:pPr>
              <w:pStyle w:val="Yo13YouthIndicator"/>
              <w:jc w:val="center"/>
              <w:rPr>
                <w:noProof/>
              </w:rPr>
            </w:pPr>
            <w:r>
              <w:rPr>
                <w:noProof/>
              </w:rPr>
              <w:t>EU youth indicator</w:t>
            </w:r>
          </w:p>
        </w:tc>
        <w:tc>
          <w:tcPr>
            <w:tcW w:w="4044" w:type="dxa"/>
            <w:gridSpan w:val="4"/>
          </w:tcPr>
          <w:p>
            <w:pPr>
              <w:pStyle w:val="Yo5TitleFigure"/>
              <w:tabs>
                <w:tab w:val="left" w:pos="2645"/>
              </w:tabs>
              <w:spacing w:before="60" w:after="0" w:line="240" w:lineRule="auto"/>
              <w:ind w:left="601" w:right="306"/>
              <w:jc w:val="both"/>
              <w:rPr>
                <w:color w:val="auto"/>
                <w:sz w:val="14"/>
                <w:szCs w:val="14"/>
                <w:lang w:eastAsia="en-GB"/>
              </w:rPr>
            </w:pPr>
            <w:r>
              <w:rPr>
                <w:color w:val="auto"/>
                <w:sz w:val="14"/>
                <w:szCs w:val="14"/>
                <w:lang w:eastAsia="en-GB"/>
              </w:rPr>
              <w:t>%</w:t>
            </w:r>
            <w:r>
              <w:rPr>
                <w:lang w:eastAsia="en-GB"/>
              </w:rPr>
              <w:tab/>
            </w:r>
            <w:r>
              <w:rPr>
                <w:color w:val="auto"/>
                <w:sz w:val="14"/>
                <w:szCs w:val="14"/>
                <w:lang w:eastAsia="en-GB"/>
              </w:rPr>
              <w:t>%</w:t>
            </w:r>
          </w:p>
          <w:p>
            <w:pPr>
              <w:pStyle w:val="Yo5TitleFigure"/>
              <w:tabs>
                <w:tab w:val="left" w:pos="1188"/>
              </w:tabs>
              <w:spacing w:before="0"/>
              <w:ind w:right="600"/>
              <w:jc w:val="center"/>
              <w:rPr>
                <w:color w:val="auto"/>
                <w:sz w:val="14"/>
                <w:szCs w:val="14"/>
              </w:rPr>
            </w:pPr>
            <w:r>
              <w:rPr>
                <w:lang w:val="en-US"/>
              </w:rPr>
              <w:drawing>
                <wp:inline distT="0" distB="0" distL="0" distR="0">
                  <wp:extent cx="1741170" cy="1948180"/>
                  <wp:effectExtent l="0" t="0" r="0" b="0"/>
                  <wp:docPr id="17" name="Picture 17" descr="\\s-eacea-fs03-p\EACEA.A7\Youth\04_Reports\a_EU_Youth_Reports\2018\03_graph\7_C_poverty_exclusion_l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acea-fs03-p\EACEA.A7\Youth\04_Reports\a_EU_Youth_Reports\2018\03_graph\7_C_poverty_exclusion_living.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741170" cy="1948180"/>
                          </a:xfrm>
                          <a:prstGeom prst="rect">
                            <a:avLst/>
                          </a:prstGeom>
                          <a:noFill/>
                          <a:ln>
                            <a:noFill/>
                          </a:ln>
                        </pic:spPr>
                      </pic:pic>
                    </a:graphicData>
                  </a:graphic>
                </wp:inline>
              </w:drawing>
            </w:r>
          </w:p>
        </w:tc>
        <w:tc>
          <w:tcPr>
            <w:tcW w:w="3605" w:type="dxa"/>
            <w:gridSpan w:val="5"/>
          </w:tcPr>
          <w:p>
            <w:pPr>
              <w:pStyle w:val="Yo5TitleFigure"/>
              <w:tabs>
                <w:tab w:val="left" w:pos="2590"/>
              </w:tabs>
              <w:spacing w:before="60" w:after="0" w:line="240" w:lineRule="auto"/>
              <w:ind w:left="527" w:right="306"/>
              <w:jc w:val="both"/>
              <w:rPr>
                <w:color w:val="auto"/>
                <w:sz w:val="14"/>
                <w:szCs w:val="14"/>
                <w:lang w:eastAsia="en-GB"/>
              </w:rPr>
            </w:pPr>
            <w:r>
              <w:rPr>
                <w:color w:val="auto"/>
                <w:sz w:val="14"/>
                <w:szCs w:val="14"/>
                <w:lang w:eastAsia="en-GB"/>
              </w:rPr>
              <w:t>%</w:t>
            </w:r>
            <w:r>
              <w:rPr>
                <w:lang w:eastAsia="en-GB"/>
              </w:rPr>
              <w:tab/>
            </w:r>
            <w:r>
              <w:rPr>
                <w:color w:val="auto"/>
                <w:sz w:val="14"/>
                <w:szCs w:val="14"/>
                <w:lang w:eastAsia="en-GB"/>
              </w:rPr>
              <w:t>%</w:t>
            </w:r>
          </w:p>
          <w:p>
            <w:pPr>
              <w:pStyle w:val="Yo5TitleFigure"/>
              <w:tabs>
                <w:tab w:val="left" w:pos="2864"/>
              </w:tabs>
              <w:spacing w:before="0" w:after="0" w:line="240" w:lineRule="auto"/>
              <w:ind w:left="261" w:right="308"/>
              <w:jc w:val="both"/>
              <w:rPr>
                <w:color w:val="auto"/>
                <w:sz w:val="14"/>
                <w:szCs w:val="14"/>
                <w:lang w:eastAsia="en-GB"/>
              </w:rPr>
            </w:pPr>
            <w:r>
              <w:rPr>
                <w:color w:val="auto"/>
                <w:sz w:val="14"/>
                <w:szCs w:val="14"/>
                <w:lang w:val="en-US"/>
              </w:rPr>
              <w:drawing>
                <wp:inline distT="0" distB="0" distL="0" distR="0">
                  <wp:extent cx="1741170" cy="1948180"/>
                  <wp:effectExtent l="0" t="0" r="0" b="0"/>
                  <wp:docPr id="18" name="Picture 18" descr="\\s-eacea-fs03-p\EACEA.A7\Youth\04_Reports\a_EU_Youth_Reports\2018\03_graph\7_C_poverty_exclusion_s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cea-fs03-p\EACEA.A7\Youth\04_Reports\a_EU_Youth_Reports\2018\03_graph\7_C_poverty_exclusion_sex.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741170" cy="1948180"/>
                          </a:xfrm>
                          <a:prstGeom prst="rect">
                            <a:avLst/>
                          </a:prstGeom>
                          <a:noFill/>
                          <a:ln>
                            <a:noFill/>
                          </a:ln>
                        </pic:spPr>
                      </pic:pic>
                    </a:graphicData>
                  </a:graphic>
                </wp:inline>
              </w:drawing>
            </w:r>
          </w:p>
        </w:tc>
      </w:tr>
      <w:tr>
        <w:tc>
          <w:tcPr>
            <w:tcW w:w="533" w:type="dxa"/>
            <w:vMerge/>
            <w:tcBorders>
              <w:right w:val="single" w:sz="4" w:space="0" w:color="auto"/>
            </w:tcBorders>
            <w:shd w:val="clear" w:color="auto" w:fill="FB5F5F"/>
            <w:textDirection w:val="btLr"/>
            <w:vAlign w:val="bottom"/>
          </w:tcPr>
          <w:p>
            <w:pPr>
              <w:pStyle w:val="Yo13YouthIndicator"/>
              <w:jc w:val="center"/>
              <w:rPr>
                <w:noProof/>
              </w:rPr>
            </w:pPr>
          </w:p>
        </w:tc>
        <w:tc>
          <w:tcPr>
            <w:tcW w:w="996" w:type="dxa"/>
            <w:tcMar>
              <w:left w:w="0" w:type="dxa"/>
              <w:right w:w="0" w:type="dxa"/>
            </w:tcMar>
          </w:tcPr>
          <w:p>
            <w:pPr>
              <w:pStyle w:val="Yo5TextNotes"/>
              <w:tabs>
                <w:tab w:val="clear" w:pos="1985"/>
                <w:tab w:val="right" w:pos="4253"/>
              </w:tabs>
              <w:ind w:left="284"/>
              <w:rPr>
                <w:noProof/>
                <w:lang w:val="en-GB"/>
              </w:rPr>
            </w:pPr>
          </w:p>
        </w:tc>
        <w:tc>
          <w:tcPr>
            <w:tcW w:w="770" w:type="dxa"/>
            <w:tcMar>
              <w:left w:w="0" w:type="dxa"/>
              <w:right w:w="0" w:type="dxa"/>
            </w:tcMar>
          </w:tcPr>
          <w:p>
            <w:pPr>
              <w:pStyle w:val="Yo5TextNotes"/>
              <w:tabs>
                <w:tab w:val="clear" w:pos="1985"/>
                <w:tab w:val="right" w:pos="4253"/>
              </w:tabs>
              <w:ind w:left="112"/>
              <w:rPr>
                <w:noProof/>
                <w:lang w:val="en-GB"/>
              </w:rPr>
            </w:pPr>
            <w:r>
              <w:rPr>
                <w:noProof/>
                <w:sz w:val="12"/>
                <w:szCs w:val="12"/>
                <w:lang w:val="en-GB"/>
              </w:rPr>
              <w:t>20-24</w:t>
            </w:r>
          </w:p>
        </w:tc>
        <w:tc>
          <w:tcPr>
            <w:tcW w:w="674" w:type="dxa"/>
            <w:tcMar>
              <w:left w:w="0" w:type="dxa"/>
              <w:right w:w="0" w:type="dxa"/>
            </w:tcMar>
          </w:tcPr>
          <w:p>
            <w:pPr>
              <w:pStyle w:val="Yo5TextNotes"/>
              <w:tabs>
                <w:tab w:val="clear" w:pos="1985"/>
                <w:tab w:val="right" w:pos="4253"/>
              </w:tabs>
              <w:ind w:left="143"/>
              <w:rPr>
                <w:noProof/>
                <w:lang w:val="en-GB"/>
              </w:rPr>
            </w:pPr>
            <w:r>
              <w:rPr>
                <w:noProof/>
                <w:sz w:val="12"/>
                <w:szCs w:val="12"/>
                <w:lang w:val="en-GB"/>
              </w:rPr>
              <w:t>25-29</w:t>
            </w:r>
          </w:p>
        </w:tc>
        <w:tc>
          <w:tcPr>
            <w:tcW w:w="2469" w:type="dxa"/>
            <w:gridSpan w:val="3"/>
          </w:tcPr>
          <w:p>
            <w:pPr>
              <w:pStyle w:val="Yo5TextNotes"/>
              <w:tabs>
                <w:tab w:val="clear" w:pos="1985"/>
                <w:tab w:val="right" w:pos="4253"/>
              </w:tabs>
              <w:ind w:left="284"/>
              <w:rPr>
                <w:noProof/>
                <w:lang w:val="en-GB"/>
              </w:rPr>
            </w:pPr>
          </w:p>
        </w:tc>
        <w:tc>
          <w:tcPr>
            <w:tcW w:w="851" w:type="dxa"/>
          </w:tcPr>
          <w:p>
            <w:pPr>
              <w:pStyle w:val="Yo5TextNotes"/>
              <w:tabs>
                <w:tab w:val="clear" w:pos="1985"/>
                <w:tab w:val="right" w:pos="4253"/>
              </w:tabs>
              <w:ind w:left="112"/>
              <w:rPr>
                <w:noProof/>
                <w:lang w:val="en-GB"/>
              </w:rPr>
            </w:pPr>
            <w:r>
              <w:rPr>
                <w:noProof/>
                <w:sz w:val="12"/>
                <w:szCs w:val="12"/>
                <w:lang w:val="en-GB"/>
              </w:rPr>
              <w:t>20-24</w:t>
            </w:r>
          </w:p>
        </w:tc>
        <w:tc>
          <w:tcPr>
            <w:tcW w:w="851" w:type="dxa"/>
          </w:tcPr>
          <w:p>
            <w:pPr>
              <w:pStyle w:val="Yo5TextNotes"/>
              <w:tabs>
                <w:tab w:val="clear" w:pos="1985"/>
                <w:tab w:val="right" w:pos="4253"/>
              </w:tabs>
              <w:ind w:left="143"/>
              <w:rPr>
                <w:noProof/>
                <w:lang w:val="en-GB"/>
              </w:rPr>
            </w:pPr>
            <w:r>
              <w:rPr>
                <w:noProof/>
                <w:sz w:val="12"/>
                <w:szCs w:val="12"/>
                <w:lang w:val="en-GB"/>
              </w:rPr>
              <w:t>25-29</w:t>
            </w:r>
          </w:p>
        </w:tc>
        <w:tc>
          <w:tcPr>
            <w:tcW w:w="1038" w:type="dxa"/>
            <w:tcMar>
              <w:left w:w="0" w:type="dxa"/>
              <w:right w:w="0" w:type="dxa"/>
            </w:tcMar>
          </w:tcPr>
          <w:p>
            <w:pPr>
              <w:pStyle w:val="Yo5TextNotes"/>
              <w:tabs>
                <w:tab w:val="clear" w:pos="1985"/>
                <w:tab w:val="right" w:pos="4253"/>
              </w:tabs>
              <w:ind w:left="284"/>
              <w:rPr>
                <w:noProof/>
                <w:lang w:val="en-GB"/>
              </w:rPr>
            </w:pPr>
          </w:p>
        </w:tc>
      </w:tr>
      <w:tr>
        <w:trPr>
          <w:trHeight w:val="738"/>
        </w:trPr>
        <w:tc>
          <w:tcPr>
            <w:tcW w:w="533" w:type="dxa"/>
            <w:vMerge/>
            <w:tcBorders>
              <w:right w:val="single" w:sz="4" w:space="0" w:color="auto"/>
            </w:tcBorders>
            <w:shd w:val="clear" w:color="auto" w:fill="FB5F5F"/>
            <w:textDirection w:val="btLr"/>
            <w:vAlign w:val="bottom"/>
          </w:tcPr>
          <w:p>
            <w:pPr>
              <w:pStyle w:val="Yo5TextNotes"/>
              <w:ind w:left="113" w:right="113"/>
              <w:jc w:val="left"/>
              <w:rPr>
                <w:noProof/>
                <w:lang w:val="en-GB"/>
              </w:rPr>
            </w:pPr>
          </w:p>
        </w:tc>
        <w:tc>
          <w:tcPr>
            <w:tcW w:w="4331" w:type="dxa"/>
            <w:gridSpan w:val="5"/>
          </w:tcPr>
          <w:p>
            <w:pPr>
              <w:pStyle w:val="Yo5TextNotes"/>
              <w:rPr>
                <w:noProof/>
                <w:lang w:val="en-GB"/>
              </w:rPr>
            </w:pPr>
          </w:p>
          <w:tbl>
            <w:tblPr>
              <w:tblW w:w="3964" w:type="dxa"/>
              <w:tblLayout w:type="fixed"/>
              <w:tblLook w:val="04A0" w:firstRow="1" w:lastRow="0" w:firstColumn="1" w:lastColumn="0" w:noHBand="0" w:noVBand="1"/>
            </w:tblPr>
            <w:tblGrid>
              <w:gridCol w:w="421"/>
              <w:gridCol w:w="1417"/>
              <w:gridCol w:w="425"/>
              <w:gridCol w:w="1701"/>
            </w:tblGrid>
            <w:tr>
              <w:tc>
                <w:tcPr>
                  <w:tcW w:w="421" w:type="dxa"/>
                  <w:shd w:val="clear" w:color="auto" w:fill="auto"/>
                  <w:vAlign w:val="center"/>
                </w:tcPr>
                <w:p>
                  <w:pPr>
                    <w:pStyle w:val="Yo5TextNotes"/>
                    <w:framePr w:hSpace="181" w:wrap="around" w:vAnchor="text" w:hAnchor="text" w:x="-424" w:y="256"/>
                    <w:spacing w:before="20" w:after="20"/>
                    <w:suppressOverlap/>
                    <w:jc w:val="left"/>
                    <w:rPr>
                      <w:noProof/>
                      <w:lang w:val="en-GB"/>
                    </w:rPr>
                  </w:pPr>
                  <w:r>
                    <w:rPr>
                      <w:noProof/>
                      <w:snapToGrid/>
                      <w:lang w:val="en-US"/>
                    </w:rPr>
                    <w:drawing>
                      <wp:inline distT="0" distB="0" distL="0" distR="0">
                        <wp:extent cx="142875" cy="142875"/>
                        <wp:effectExtent l="0" t="0" r="9525" b="9525"/>
                        <wp:docPr id="19" name="Picture 19" descr="G:\YOUTH\11_Youth_Report_2015\STAFF_WORKING_DOC\02_GRAPH\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YOUTH\11_Youth_Report_2015\STAFF_WORKING_DOC\02_GRAPH\R1.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417" w:type="dxa"/>
                  <w:shd w:val="clear" w:color="auto" w:fill="auto"/>
                  <w:vAlign w:val="center"/>
                </w:tcPr>
                <w:p>
                  <w:pPr>
                    <w:pStyle w:val="Yo5TextNotes"/>
                    <w:framePr w:hSpace="181" w:wrap="around" w:vAnchor="text" w:hAnchor="text" w:x="-424" w:y="256"/>
                    <w:spacing w:before="20" w:after="20"/>
                    <w:suppressOverlap/>
                    <w:jc w:val="left"/>
                    <w:rPr>
                      <w:noProof/>
                      <w:lang w:val="en-GB"/>
                    </w:rPr>
                  </w:pPr>
                  <w:r>
                    <w:rPr>
                      <w:rFonts w:ascii="Arial Narrow" w:hAnsi="Arial Narrow"/>
                      <w:noProof/>
                      <w:sz w:val="16"/>
                    </w:rPr>
                    <w:t xml:space="preserve">Living </w:t>
                  </w:r>
                  <w:r>
                    <w:rPr>
                      <w:rFonts w:ascii="Arial Narrow" w:hAnsi="Arial Narrow"/>
                      <w:noProof/>
                      <w:sz w:val="16"/>
                      <w:lang w:val="en-GB"/>
                    </w:rPr>
                    <w:t>with</w:t>
                  </w:r>
                  <w:r>
                    <w:rPr>
                      <w:rFonts w:ascii="Arial Narrow" w:hAnsi="Arial Narrow"/>
                      <w:noProof/>
                      <w:sz w:val="16"/>
                    </w:rPr>
                    <w:t xml:space="preserve"> parents</w:t>
                  </w:r>
                </w:p>
              </w:tc>
              <w:tc>
                <w:tcPr>
                  <w:tcW w:w="425" w:type="dxa"/>
                  <w:shd w:val="clear" w:color="auto" w:fill="auto"/>
                  <w:vAlign w:val="center"/>
                </w:tcPr>
                <w:p>
                  <w:pPr>
                    <w:pStyle w:val="Yo5TextNotes"/>
                    <w:framePr w:hSpace="181" w:wrap="around" w:vAnchor="text" w:hAnchor="text" w:x="-424" w:y="256"/>
                    <w:spacing w:before="20" w:after="20"/>
                    <w:suppressOverlap/>
                    <w:jc w:val="left"/>
                    <w:rPr>
                      <w:noProof/>
                      <w:lang w:val="en-GB"/>
                    </w:rPr>
                  </w:pPr>
                  <w:r>
                    <w:rPr>
                      <w:noProof/>
                      <w:snapToGrid/>
                      <w:sz w:val="16"/>
                      <w:lang w:val="en-US"/>
                    </w:rPr>
                    <w:drawing>
                      <wp:inline distT="0" distB="0" distL="0" distR="0">
                        <wp:extent cx="142875" cy="142875"/>
                        <wp:effectExtent l="0" t="0" r="9525" b="9525"/>
                        <wp:docPr id="20" name="Picture 20" descr="G:\YOUTH\11_Youth_Report_2015\STAFF_WORKING_DOC\02_GRAPH\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YOUTH\11_Youth_Report_2015\STAFF_WORKING_DOC\02_GRAPH\R3.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701" w:type="dxa"/>
                  <w:shd w:val="clear" w:color="auto" w:fill="auto"/>
                  <w:vAlign w:val="center"/>
                </w:tcPr>
                <w:p>
                  <w:pPr>
                    <w:pStyle w:val="Yo5TextNotes"/>
                    <w:framePr w:hSpace="181" w:wrap="around" w:vAnchor="text" w:hAnchor="text" w:x="-424" w:y="256"/>
                    <w:spacing w:before="20" w:after="20"/>
                    <w:suppressOverlap/>
                    <w:jc w:val="left"/>
                    <w:rPr>
                      <w:noProof/>
                      <w:lang w:val="en-GB"/>
                    </w:rPr>
                  </w:pPr>
                  <w:r>
                    <w:rPr>
                      <w:rFonts w:ascii="Arial Narrow" w:hAnsi="Arial Narrow"/>
                      <w:noProof/>
                      <w:sz w:val="16"/>
                    </w:rPr>
                    <w:t xml:space="preserve">Not living </w:t>
                  </w:r>
                  <w:r>
                    <w:rPr>
                      <w:rFonts w:ascii="Arial Narrow" w:hAnsi="Arial Narrow"/>
                      <w:noProof/>
                      <w:sz w:val="16"/>
                      <w:lang w:val="en-GB"/>
                    </w:rPr>
                    <w:t>with</w:t>
                  </w:r>
                  <w:r>
                    <w:rPr>
                      <w:rFonts w:ascii="Arial Narrow" w:hAnsi="Arial Narrow"/>
                      <w:noProof/>
                      <w:sz w:val="16"/>
                    </w:rPr>
                    <w:t xml:space="preserve"> parents</w:t>
                  </w:r>
                </w:p>
              </w:tc>
            </w:tr>
          </w:tbl>
          <w:p>
            <w:pPr>
              <w:pStyle w:val="Yo5TextNotes"/>
              <w:rPr>
                <w:noProof/>
                <w:lang w:val="en-GB"/>
              </w:rPr>
            </w:pPr>
          </w:p>
        </w:tc>
        <w:tc>
          <w:tcPr>
            <w:tcW w:w="3318" w:type="dxa"/>
            <w:gridSpan w:val="4"/>
          </w:tcPr>
          <w:p>
            <w:pPr>
              <w:pStyle w:val="Yo5TextNotes"/>
              <w:jc w:val="left"/>
              <w:rPr>
                <w:noProof/>
                <w:lang w:val="en-GB"/>
              </w:rPr>
            </w:pPr>
          </w:p>
          <w:tbl>
            <w:tblPr>
              <w:tblW w:w="0" w:type="auto"/>
              <w:tblLayout w:type="fixed"/>
              <w:tblLook w:val="04A0" w:firstRow="1" w:lastRow="0" w:firstColumn="1" w:lastColumn="0" w:noHBand="0" w:noVBand="1"/>
            </w:tblPr>
            <w:tblGrid>
              <w:gridCol w:w="562"/>
              <w:gridCol w:w="861"/>
              <w:gridCol w:w="557"/>
              <w:gridCol w:w="862"/>
            </w:tblGrid>
            <w:tr>
              <w:tc>
                <w:tcPr>
                  <w:tcW w:w="562" w:type="dxa"/>
                  <w:shd w:val="clear" w:color="auto" w:fill="auto"/>
                  <w:vAlign w:val="center"/>
                </w:tcPr>
                <w:p>
                  <w:pPr>
                    <w:pStyle w:val="Yo5TextNotes"/>
                    <w:framePr w:hSpace="181" w:wrap="around" w:vAnchor="text" w:hAnchor="text" w:x="-424" w:y="256"/>
                    <w:spacing w:before="20" w:after="20"/>
                    <w:suppressOverlap/>
                    <w:jc w:val="left"/>
                    <w:rPr>
                      <w:noProof/>
                      <w:lang w:val="en-GB"/>
                    </w:rPr>
                  </w:pPr>
                  <w:r>
                    <w:rPr>
                      <w:noProof/>
                      <w:snapToGrid/>
                      <w:lang w:val="en-US"/>
                    </w:rPr>
                    <w:drawing>
                      <wp:inline distT="0" distB="0" distL="0" distR="0">
                        <wp:extent cx="127000" cy="127000"/>
                        <wp:effectExtent l="19050" t="19050" r="25400" b="25400"/>
                        <wp:docPr id="21" name="Picture 21" descr="G:\TOOLS\Templates_Graphs\Maps\Excel\PNG\C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TOOLS\Templates_Graphs\Maps\Excel\PNG\C2D.pn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9525" cmpd="sng">
                                  <a:solidFill>
                                    <a:srgbClr val="000000"/>
                                  </a:solidFill>
                                  <a:miter lim="800000"/>
                                  <a:headEnd/>
                                  <a:tailEnd/>
                                </a:ln>
                                <a:effectLst/>
                              </pic:spPr>
                            </pic:pic>
                          </a:graphicData>
                        </a:graphic>
                      </wp:inline>
                    </w:drawing>
                  </w:r>
                </w:p>
              </w:tc>
              <w:tc>
                <w:tcPr>
                  <w:tcW w:w="861" w:type="dxa"/>
                  <w:shd w:val="clear" w:color="auto" w:fill="auto"/>
                  <w:vAlign w:val="center"/>
                </w:tcPr>
                <w:p>
                  <w:pPr>
                    <w:pStyle w:val="Yo5TextNotes"/>
                    <w:framePr w:hSpace="181" w:wrap="around" w:vAnchor="text" w:hAnchor="text" w:x="-424" w:y="256"/>
                    <w:spacing w:before="20" w:after="20"/>
                    <w:suppressOverlap/>
                    <w:jc w:val="left"/>
                    <w:rPr>
                      <w:rFonts w:ascii="Arial Narrow" w:hAnsi="Arial Narrow"/>
                      <w:noProof/>
                      <w:sz w:val="16"/>
                      <w:lang w:val="en-GB"/>
                    </w:rPr>
                  </w:pPr>
                  <w:r>
                    <w:rPr>
                      <w:rFonts w:ascii="Arial Narrow" w:hAnsi="Arial Narrow"/>
                      <w:noProof/>
                      <w:sz w:val="16"/>
                      <w:lang w:val="en-GB"/>
                    </w:rPr>
                    <w:t>Men</w:t>
                  </w:r>
                </w:p>
              </w:tc>
              <w:tc>
                <w:tcPr>
                  <w:tcW w:w="557" w:type="dxa"/>
                  <w:shd w:val="clear" w:color="auto" w:fill="auto"/>
                  <w:vAlign w:val="center"/>
                </w:tcPr>
                <w:p>
                  <w:pPr>
                    <w:pStyle w:val="Yo5TextNotes"/>
                    <w:framePr w:hSpace="181" w:wrap="around" w:vAnchor="text" w:hAnchor="text" w:x="-424" w:y="256"/>
                    <w:spacing w:before="20" w:after="20"/>
                    <w:suppressOverlap/>
                    <w:jc w:val="left"/>
                    <w:rPr>
                      <w:noProof/>
                      <w:lang w:val="en-GB"/>
                    </w:rPr>
                  </w:pPr>
                  <w:r>
                    <w:rPr>
                      <w:noProof/>
                      <w:snapToGrid/>
                      <w:lang w:val="en-US"/>
                    </w:rPr>
                    <w:drawing>
                      <wp:inline distT="0" distB="0" distL="0" distR="0">
                        <wp:extent cx="142875" cy="142875"/>
                        <wp:effectExtent l="0" t="0" r="9525" b="9525"/>
                        <wp:docPr id="22" name="Picture 22" descr="G:\YOUTH\TOOLS\key_youth\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YOUTH\TOOLS\key_youth\R2.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62" w:type="dxa"/>
                  <w:shd w:val="clear" w:color="auto" w:fill="auto"/>
                  <w:vAlign w:val="center"/>
                </w:tcPr>
                <w:p>
                  <w:pPr>
                    <w:pStyle w:val="Yo5TextNotes"/>
                    <w:framePr w:hSpace="181" w:wrap="around" w:vAnchor="text" w:hAnchor="text" w:x="-424" w:y="256"/>
                    <w:spacing w:before="20" w:after="20"/>
                    <w:suppressOverlap/>
                    <w:jc w:val="left"/>
                    <w:rPr>
                      <w:rFonts w:ascii="Arial Narrow" w:hAnsi="Arial Narrow"/>
                      <w:noProof/>
                      <w:sz w:val="16"/>
                      <w:lang w:val="en-GB"/>
                    </w:rPr>
                  </w:pPr>
                  <w:r>
                    <w:rPr>
                      <w:rFonts w:ascii="Arial Narrow" w:hAnsi="Arial Narrow"/>
                      <w:noProof/>
                      <w:sz w:val="16"/>
                      <w:lang w:val="en-GB"/>
                    </w:rPr>
                    <w:t>Women</w:t>
                  </w:r>
                </w:p>
              </w:tc>
            </w:tr>
          </w:tbl>
          <w:p>
            <w:pPr>
              <w:pStyle w:val="Yo5TextNotes"/>
              <w:spacing w:before="120" w:after="20"/>
              <w:jc w:val="left"/>
              <w:rPr>
                <w:noProof/>
                <w:lang w:val="en-GB"/>
              </w:rPr>
            </w:pPr>
          </w:p>
        </w:tc>
      </w:tr>
    </w:tbl>
    <w:p>
      <w:pPr>
        <w:rPr>
          <w:rFonts w:ascii="Verdana" w:hAnsi="Verdana"/>
          <w:noProof/>
          <w:sz w:val="14"/>
          <w:szCs w:val="14"/>
        </w:rPr>
      </w:pPr>
      <w:r>
        <w:rPr>
          <w:rFonts w:ascii="Verdana" w:hAnsi="Verdana"/>
          <w:i/>
          <w:noProof/>
          <w:sz w:val="14"/>
          <w:szCs w:val="14"/>
        </w:rPr>
        <w:t>Source:</w:t>
      </w:r>
      <w:r>
        <w:rPr>
          <w:rFonts w:ascii="Verdana" w:hAnsi="Verdana"/>
          <w:noProof/>
          <w:sz w:val="14"/>
          <w:szCs w:val="14"/>
        </w:rPr>
        <w:t xml:space="preserve"> Eurostat, Statistics on income and living conditions (SILC), [yth_incl_030] and [ilc_peps01]. Data extracted on 07.02.2018.</w:t>
      </w:r>
    </w:p>
    <w:p>
      <w:pPr>
        <w:pStyle w:val="Yo5TextEUYouthTOC"/>
        <w:framePr w:hSpace="0" w:wrap="auto" w:vAnchor="margin" w:hAnchor="text" w:xAlign="left" w:yAlign="inline"/>
        <w:spacing w:before="240"/>
        <w:rPr>
          <w:rFonts w:eastAsia="Times New Roman"/>
          <w:color w:val="DA1E48"/>
          <w:spacing w:val="20"/>
          <w:sz w:val="24"/>
          <w:szCs w:val="24"/>
        </w:rPr>
      </w:pPr>
      <w:r>
        <w:rPr>
          <w:rFonts w:eastAsia="Times New Roman"/>
          <w:b w:val="0"/>
          <w:color w:val="DA1E48"/>
          <w:spacing w:val="20"/>
          <w:sz w:val="24"/>
          <w:szCs w:val="24"/>
        </w:rPr>
        <w:br w:type="page"/>
      </w:r>
      <w:r>
        <w:rPr>
          <w:rFonts w:eastAsia="Times New Roman"/>
          <w:color w:val="DA1E48"/>
          <w:spacing w:val="20"/>
          <w:sz w:val="24"/>
          <w:szCs w:val="24"/>
        </w:rPr>
        <w:t>7.3.1. The at-risk-of-poverty rate</w:t>
      </w:r>
    </w:p>
    <w:p>
      <w:pPr>
        <w:pStyle w:val="Yo1Textpara"/>
        <w:rPr>
          <w:noProof/>
        </w:rPr>
      </w:pPr>
      <w:r>
        <w:rPr>
          <w:noProof/>
        </w:rPr>
        <w:t>The at-risk-of-poverty rate measures poverty in relative terms: people with an income below a relative poverty threshold – defined as 60 % of the net median equivalised disposable income (</w:t>
      </w:r>
      <w:r>
        <w:rPr>
          <w:rStyle w:val="FootnoteReference"/>
          <w:rFonts w:ascii="Arial" w:hAnsi="Arial" w:cs="Arial"/>
          <w:noProof/>
          <w:sz w:val="20"/>
        </w:rPr>
        <w:footnoteReference w:id="15"/>
      </w:r>
      <w:r>
        <w:rPr>
          <w:noProof/>
        </w:rPr>
        <w:t>) – are regarded as being at risk of poverty (</w:t>
      </w:r>
      <w:r>
        <w:rPr>
          <w:rStyle w:val="FootnoteReference"/>
          <w:rFonts w:ascii="Arial" w:hAnsi="Arial" w:cs="Arial"/>
          <w:noProof/>
          <w:sz w:val="20"/>
        </w:rPr>
        <w:footnoteReference w:id="16"/>
      </w:r>
      <w:r>
        <w:rPr>
          <w:noProof/>
        </w:rPr>
        <w:t>). This is the first sub-indicator of the 'at-risk-of-poverty or social exclusion rate' discussed in the previous section. This indicator is mostly designed for understanding within-country income distribution dynamics and should be used for international comparisons with caution: a person with an income below the poverty threshold in one country might not be regarded as being at all at risk of poverty in another.</w:t>
      </w:r>
    </w:p>
    <w:p>
      <w:pPr>
        <w:pStyle w:val="Yo1Textpara"/>
        <w:rPr>
          <w:noProof/>
        </w:rPr>
      </w:pPr>
      <w:r>
        <w:rPr>
          <w:noProof/>
        </w:rPr>
        <w:t xml:space="preserve">In addition, given the differences across countries in the average age when young people leave the parental home, the at-risk-of-poverty rate can be misleading if used for international comparisons of 16-29 year-olds. A large proportion of young people are still in education, especially in the younger age groups, which means that their income will be relatively low, particularly if living independently. For this reason, the EU Dashboard of Youth Indicators only considers the at-risk-of-poverty rate for children under 16 in comparison to the total population (Figure 7-D). Nevertheless, it is still useful to look at the at-risk-of-poverty rates across Europe for young people not living with their parents (Figure 7-E). </w:t>
      </w:r>
    </w:p>
    <w:p>
      <w:pPr>
        <w:pStyle w:val="Yo5TitleFigure"/>
        <w:jc w:val="both"/>
      </w:pPr>
      <w:r>
        <w:rPr>
          <w:b/>
        </w:rPr>
        <w:t xml:space="preserve">Figure 7-D: </w:t>
      </w:r>
      <w:r>
        <w:t>At-risk-of-poverty rate for children in comparison with the total population, by country, 2016</w:t>
      </w:r>
    </w:p>
    <w:tbl>
      <w:tblPr>
        <w:tblW w:w="10979"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472"/>
        <w:gridCol w:w="3747"/>
        <w:gridCol w:w="6760"/>
      </w:tblGrid>
      <w:tr>
        <w:trPr>
          <w:trHeight w:val="2949"/>
        </w:trPr>
        <w:tc>
          <w:tcPr>
            <w:tcW w:w="0" w:type="auto"/>
            <w:vMerge w:val="restart"/>
            <w:tcBorders>
              <w:top w:val="single" w:sz="4" w:space="0" w:color="auto"/>
              <w:left w:val="single" w:sz="4" w:space="0" w:color="auto"/>
              <w:bottom w:val="single" w:sz="4" w:space="0" w:color="auto"/>
              <w:right w:val="single" w:sz="4" w:space="0" w:color="auto"/>
            </w:tcBorders>
            <w:shd w:val="clear" w:color="auto" w:fill="FB5F5F"/>
            <w:textDirection w:val="btLr"/>
            <w:vAlign w:val="bottom"/>
            <w:hideMark/>
          </w:tcPr>
          <w:p>
            <w:pPr>
              <w:pStyle w:val="Yo13YouthIndicator"/>
              <w:jc w:val="center"/>
              <w:rPr>
                <w:noProof/>
                <w:lang w:eastAsia="fr-BE"/>
              </w:rPr>
            </w:pPr>
            <w:r>
              <w:rPr>
                <w:noProof/>
              </w:rPr>
              <w:t>EU youth indicator</w:t>
            </w:r>
          </w:p>
        </w:tc>
        <w:tc>
          <w:tcPr>
            <w:tcW w:w="10507" w:type="dxa"/>
            <w:gridSpan w:val="2"/>
            <w:tcBorders>
              <w:top w:val="single" w:sz="4" w:space="0" w:color="auto"/>
              <w:left w:val="single" w:sz="4" w:space="0" w:color="auto"/>
              <w:bottom w:val="nil"/>
              <w:right w:val="single" w:sz="4" w:space="0" w:color="auto"/>
            </w:tcBorders>
            <w:hideMark/>
          </w:tcPr>
          <w:p>
            <w:pPr>
              <w:pStyle w:val="Yo5TextNotes"/>
              <w:tabs>
                <w:tab w:val="clear" w:pos="1985"/>
                <w:tab w:val="left" w:pos="9332"/>
              </w:tabs>
              <w:ind w:left="597"/>
              <w:rPr>
                <w:noProof/>
                <w:lang w:eastAsia="en-GB"/>
              </w:rPr>
            </w:pPr>
            <w:r>
              <w:rPr>
                <w:noProof/>
                <w:lang w:eastAsia="en-GB"/>
              </w:rPr>
              <w:t xml:space="preserve">  %</w:t>
            </w:r>
            <w:r>
              <w:rPr>
                <w:noProof/>
                <w:lang w:eastAsia="en-GB"/>
              </w:rPr>
              <w:tab/>
              <w:t>%</w:t>
            </w:r>
          </w:p>
          <w:p>
            <w:pPr>
              <w:pStyle w:val="Yo5TextNotesafter"/>
              <w:jc w:val="center"/>
              <w:rPr>
                <w:noProof/>
                <w:sz w:val="16"/>
              </w:rPr>
            </w:pPr>
            <w:r>
              <w:rPr>
                <w:noProof/>
                <w:snapToGrid/>
                <w:sz w:val="16"/>
              </w:rPr>
              <w:drawing>
                <wp:inline distT="0" distB="0" distL="0" distR="0">
                  <wp:extent cx="5923915" cy="2035810"/>
                  <wp:effectExtent l="0" t="0" r="635" b="2540"/>
                  <wp:docPr id="23" name="Picture 23" descr="\\s-eacea-fs03-p\EACEA.A7\Youth\04_Reports\a_EU_Youth_Reports\2018\03_graph\7_D_p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acea-fs03-p\EACEA.A7\Youth\04_Reports\a_EU_Youth_Reports\2018\03_graph\7_D_poverty.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5923915" cy="2035810"/>
                          </a:xfrm>
                          <a:prstGeom prst="rect">
                            <a:avLst/>
                          </a:prstGeom>
                          <a:noFill/>
                          <a:ln>
                            <a:noFill/>
                          </a:ln>
                        </pic:spPr>
                      </pic:pic>
                    </a:graphicData>
                  </a:graphic>
                </wp:inline>
              </w:drawing>
            </w:r>
          </w:p>
        </w:tc>
      </w:tr>
      <w:tr>
        <w:trPr>
          <w:trHeight w:val="20"/>
        </w:trPr>
        <w:tc>
          <w:tcPr>
            <w:tcW w:w="0" w:type="auto"/>
            <w:vMerge/>
            <w:tcBorders>
              <w:top w:val="nil"/>
              <w:left w:val="single" w:sz="4" w:space="0" w:color="auto"/>
              <w:bottom w:val="single" w:sz="4" w:space="0" w:color="auto"/>
              <w:right w:val="single" w:sz="4" w:space="0" w:color="auto"/>
            </w:tcBorders>
            <w:vAlign w:val="center"/>
            <w:hideMark/>
          </w:tcPr>
          <w:p>
            <w:pPr>
              <w:spacing w:after="0" w:line="240" w:lineRule="auto"/>
              <w:rPr>
                <w:b/>
                <w:noProof/>
                <w:color w:val="FFFFFF"/>
                <w:sz w:val="16"/>
                <w:lang w:eastAsia="fr-BE"/>
              </w:rPr>
            </w:pPr>
          </w:p>
        </w:tc>
        <w:tc>
          <w:tcPr>
            <w:tcW w:w="3747" w:type="dxa"/>
            <w:tcBorders>
              <w:top w:val="nil"/>
              <w:left w:val="single" w:sz="4" w:space="0" w:color="auto"/>
              <w:bottom w:val="single" w:sz="4" w:space="0" w:color="auto"/>
              <w:right w:val="nil"/>
            </w:tcBorders>
            <w:tcMar>
              <w:top w:w="57" w:type="dxa"/>
              <w:left w:w="255" w:type="dxa"/>
              <w:bottom w:w="0" w:type="dxa"/>
              <w:right w:w="108" w:type="dxa"/>
            </w:tcMar>
            <w:hideMark/>
          </w:tcPr>
          <w:p>
            <w:pPr>
              <w:pStyle w:val="Yo5TitleFigure"/>
              <w:spacing w:before="60"/>
              <w:ind w:right="214"/>
              <w:jc w:val="center"/>
              <w:rPr>
                <w:sz w:val="14"/>
                <w:szCs w:val="14"/>
              </w:rPr>
            </w:pPr>
            <w:r>
              <w:rPr>
                <w:sz w:val="14"/>
                <w:szCs w:val="14"/>
              </w:rPr>
              <w:t>EU-28 average, by age, 2010-2016</w:t>
            </w:r>
          </w:p>
          <w:p>
            <w:pPr>
              <w:pStyle w:val="Yo5TitleFigure"/>
              <w:tabs>
                <w:tab w:val="left" w:pos="2353"/>
              </w:tabs>
              <w:spacing w:before="0" w:after="0" w:line="240" w:lineRule="auto"/>
              <w:ind w:left="165"/>
              <w:rPr>
                <w:b/>
                <w:color w:val="auto"/>
                <w:sz w:val="14"/>
                <w:szCs w:val="14"/>
              </w:rPr>
            </w:pPr>
            <w:r>
              <w:rPr>
                <w:color w:val="auto"/>
                <w:sz w:val="14"/>
                <w:szCs w:val="14"/>
              </w:rPr>
              <w:t>%</w:t>
            </w:r>
            <w:r>
              <w:rPr>
                <w:lang w:eastAsia="en-GB"/>
              </w:rPr>
              <w:tab/>
              <w:t xml:space="preserve"> </w:t>
            </w:r>
            <w:r>
              <w:rPr>
                <w:color w:val="auto"/>
                <w:sz w:val="14"/>
                <w:szCs w:val="14"/>
                <w:lang w:eastAsia="en-GB"/>
              </w:rPr>
              <w:t>%</w:t>
            </w:r>
          </w:p>
          <w:p>
            <w:pPr>
              <w:pStyle w:val="Yo5TextNotes"/>
              <w:tabs>
                <w:tab w:val="clear" w:pos="1985"/>
                <w:tab w:val="right" w:pos="8722"/>
              </w:tabs>
              <w:spacing w:after="60"/>
              <w:rPr>
                <w:noProof/>
                <w:lang w:eastAsia="en-GB"/>
              </w:rPr>
            </w:pPr>
            <w:r>
              <w:rPr>
                <w:noProof/>
                <w:snapToGrid/>
                <w:lang w:val="en-US"/>
              </w:rPr>
              <w:drawing>
                <wp:inline distT="0" distB="0" distL="0" distR="0">
                  <wp:extent cx="1733550" cy="1288415"/>
                  <wp:effectExtent l="0" t="0" r="0" b="6985"/>
                  <wp:docPr id="24" name="Picture 24" descr="\\s-eacea-fs03-p\EACEA.A7\Youth\04_Reports\a_EU_Youth_Reports\2018\03_graph\7_D_b_poverty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cea-fs03-p\EACEA.A7\Youth\04_Reports\a_EU_Youth_Reports\2018\03_graph\7_D_b_poverty_EU.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733550" cy="1288415"/>
                          </a:xfrm>
                          <a:prstGeom prst="rect">
                            <a:avLst/>
                          </a:prstGeom>
                          <a:noFill/>
                          <a:ln>
                            <a:noFill/>
                          </a:ln>
                        </pic:spPr>
                      </pic:pic>
                    </a:graphicData>
                  </a:graphic>
                </wp:inline>
              </w:drawing>
            </w:r>
          </w:p>
          <w:tbl>
            <w:tblPr>
              <w:tblW w:w="0" w:type="auto"/>
              <w:tblLook w:val="04A0" w:firstRow="1" w:lastRow="0" w:firstColumn="1" w:lastColumn="0" w:noHBand="0" w:noVBand="1"/>
            </w:tblPr>
            <w:tblGrid>
              <w:gridCol w:w="395"/>
              <w:gridCol w:w="1254"/>
              <w:gridCol w:w="413"/>
              <w:gridCol w:w="1070"/>
            </w:tblGrid>
            <w:tr>
              <w:tc>
                <w:tcPr>
                  <w:tcW w:w="395" w:type="dxa"/>
                  <w:shd w:val="clear" w:color="auto" w:fill="auto"/>
                  <w:vAlign w:val="center"/>
                </w:tcPr>
                <w:p>
                  <w:pPr>
                    <w:pStyle w:val="Yo5TextNotes"/>
                    <w:tabs>
                      <w:tab w:val="clear" w:pos="1985"/>
                      <w:tab w:val="right" w:pos="8722"/>
                    </w:tabs>
                    <w:spacing w:before="40" w:after="40"/>
                    <w:jc w:val="center"/>
                    <w:rPr>
                      <w:noProof/>
                      <w:lang w:eastAsia="en-GB"/>
                    </w:rPr>
                  </w:pPr>
                  <w:r>
                    <w:rPr>
                      <w:noProof/>
                      <w:color w:val="FFA3A4"/>
                      <w:sz w:val="20"/>
                      <w:szCs w:val="20"/>
                      <w:lang w:val="en-GB"/>
                    </w:rPr>
                    <w:sym w:font="Wingdings 2" w:char="F098"/>
                  </w:r>
                </w:p>
              </w:tc>
              <w:tc>
                <w:tcPr>
                  <w:tcW w:w="1254" w:type="dxa"/>
                  <w:shd w:val="clear" w:color="auto" w:fill="auto"/>
                  <w:vAlign w:val="center"/>
                </w:tcPr>
                <w:p>
                  <w:pPr>
                    <w:pStyle w:val="Yo5TextNotes"/>
                    <w:tabs>
                      <w:tab w:val="clear" w:pos="1985"/>
                      <w:tab w:val="right" w:pos="8722"/>
                    </w:tabs>
                    <w:spacing w:before="40" w:after="40"/>
                    <w:jc w:val="center"/>
                    <w:rPr>
                      <w:noProof/>
                      <w:sz w:val="12"/>
                      <w:szCs w:val="12"/>
                      <w:lang w:val="en-GB" w:eastAsia="en-GB"/>
                    </w:rPr>
                  </w:pPr>
                  <w:r>
                    <w:rPr>
                      <w:noProof/>
                      <w:sz w:val="12"/>
                      <w:szCs w:val="12"/>
                      <w:lang w:val="en-GB" w:eastAsia="en-GB"/>
                    </w:rPr>
                    <w:t>Children under 16 years</w:t>
                  </w:r>
                </w:p>
              </w:tc>
              <w:tc>
                <w:tcPr>
                  <w:tcW w:w="284" w:type="dxa"/>
                  <w:shd w:val="clear" w:color="auto" w:fill="auto"/>
                  <w:vAlign w:val="center"/>
                </w:tcPr>
                <w:p>
                  <w:pPr>
                    <w:pStyle w:val="Yo5TextNotes"/>
                    <w:tabs>
                      <w:tab w:val="clear" w:pos="1985"/>
                      <w:tab w:val="right" w:pos="8722"/>
                    </w:tabs>
                    <w:spacing w:before="40" w:after="40"/>
                    <w:jc w:val="center"/>
                    <w:rPr>
                      <w:noProof/>
                      <w:lang w:eastAsia="en-GB"/>
                    </w:rPr>
                  </w:pPr>
                  <w:r>
                    <w:rPr>
                      <w:noProof/>
                      <w:color w:val="5F0312"/>
                      <w:sz w:val="22"/>
                      <w:szCs w:val="22"/>
                      <w:lang w:val="en-GB"/>
                    </w:rPr>
                    <w:sym w:font="Wingdings 2" w:char="F0BF"/>
                  </w:r>
                </w:p>
              </w:tc>
              <w:tc>
                <w:tcPr>
                  <w:tcW w:w="1070" w:type="dxa"/>
                  <w:shd w:val="clear" w:color="auto" w:fill="auto"/>
                  <w:vAlign w:val="center"/>
                </w:tcPr>
                <w:p>
                  <w:pPr>
                    <w:pStyle w:val="Yo5TextNotes"/>
                    <w:tabs>
                      <w:tab w:val="clear" w:pos="1985"/>
                      <w:tab w:val="right" w:pos="8722"/>
                    </w:tabs>
                    <w:spacing w:before="40" w:after="40"/>
                    <w:jc w:val="center"/>
                    <w:rPr>
                      <w:noProof/>
                      <w:sz w:val="12"/>
                      <w:szCs w:val="12"/>
                      <w:lang w:val="en-GB" w:eastAsia="en-GB"/>
                    </w:rPr>
                  </w:pPr>
                  <w:r>
                    <w:rPr>
                      <w:noProof/>
                      <w:sz w:val="12"/>
                      <w:szCs w:val="12"/>
                      <w:lang w:val="en-GB" w:eastAsia="en-GB"/>
                    </w:rPr>
                    <w:t>Total population</w:t>
                  </w:r>
                </w:p>
              </w:tc>
            </w:tr>
          </w:tbl>
          <w:p>
            <w:pPr>
              <w:pStyle w:val="Yo5TextNotes"/>
              <w:tabs>
                <w:tab w:val="clear" w:pos="1985"/>
                <w:tab w:val="right" w:pos="8722"/>
              </w:tabs>
              <w:rPr>
                <w:noProof/>
                <w:lang w:eastAsia="en-GB"/>
              </w:rPr>
            </w:pPr>
          </w:p>
        </w:tc>
        <w:tc>
          <w:tcPr>
            <w:tcW w:w="0" w:type="auto"/>
            <w:tcBorders>
              <w:top w:val="nil"/>
              <w:left w:val="nil"/>
              <w:bottom w:val="single" w:sz="4" w:space="0" w:color="auto"/>
              <w:right w:val="single" w:sz="4" w:space="0" w:color="auto"/>
            </w:tcBorders>
            <w:hideMark/>
          </w:tcPr>
          <w:p>
            <w:pPr>
              <w:pStyle w:val="Yo5TextNotes"/>
              <w:tabs>
                <w:tab w:val="clear" w:pos="1985"/>
                <w:tab w:val="right" w:pos="8722"/>
              </w:tabs>
              <w:ind w:left="175"/>
              <w:rPr>
                <w:noProof/>
                <w:lang w:val="en-GB" w:eastAsia="en-GB"/>
              </w:rPr>
            </w:pPr>
          </w:p>
          <w:tbl>
            <w:tblPr>
              <w:tblW w:w="0" w:type="auto"/>
              <w:tblInd w:w="131" w:type="dxa"/>
              <w:tblLook w:val="04A0" w:firstRow="1" w:lastRow="0" w:firstColumn="1" w:lastColumn="0" w:noHBand="0" w:noVBand="1"/>
            </w:tblPr>
            <w:tblGrid>
              <w:gridCol w:w="456"/>
              <w:gridCol w:w="1915"/>
              <w:gridCol w:w="499"/>
              <w:gridCol w:w="1352"/>
            </w:tblGrid>
            <w:tr>
              <w:tc>
                <w:tcPr>
                  <w:tcW w:w="0" w:type="auto"/>
                  <w:shd w:val="clear" w:color="auto" w:fill="auto"/>
                  <w:vAlign w:val="center"/>
                </w:tcPr>
                <w:p>
                  <w:pPr>
                    <w:pStyle w:val="Yo5TextNotes"/>
                    <w:tabs>
                      <w:tab w:val="clear" w:pos="1985"/>
                      <w:tab w:val="right" w:pos="8722"/>
                    </w:tabs>
                    <w:spacing w:before="40" w:after="40"/>
                    <w:jc w:val="center"/>
                    <w:rPr>
                      <w:noProof/>
                      <w:lang w:val="en-GB" w:eastAsia="en-GB"/>
                    </w:rPr>
                  </w:pPr>
                  <w:r>
                    <w:rPr>
                      <w:noProof/>
                      <w:snapToGrid/>
                      <w:lang w:val="en-US"/>
                    </w:rPr>
                    <w:drawing>
                      <wp:inline distT="0" distB="0" distL="0" distR="0">
                        <wp:extent cx="142875" cy="142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shd w:val="clear" w:color="auto" w:fill="auto"/>
                  <w:vAlign w:val="center"/>
                </w:tcPr>
                <w:p>
                  <w:pPr>
                    <w:pStyle w:val="Yo5TextNotes"/>
                    <w:tabs>
                      <w:tab w:val="clear" w:pos="1985"/>
                      <w:tab w:val="right" w:pos="8722"/>
                    </w:tabs>
                    <w:spacing w:before="40" w:after="40"/>
                    <w:jc w:val="center"/>
                    <w:rPr>
                      <w:noProof/>
                      <w:lang w:val="en-GB" w:eastAsia="en-GB"/>
                    </w:rPr>
                  </w:pPr>
                  <w:r>
                    <w:rPr>
                      <w:noProof/>
                      <w:lang w:val="en-GB" w:eastAsia="en-GB"/>
                    </w:rPr>
                    <w:t>Children under 16 years</w:t>
                  </w:r>
                </w:p>
              </w:tc>
              <w:tc>
                <w:tcPr>
                  <w:tcW w:w="0" w:type="auto"/>
                  <w:shd w:val="clear" w:color="auto" w:fill="auto"/>
                  <w:vAlign w:val="center"/>
                </w:tcPr>
                <w:p>
                  <w:pPr>
                    <w:pStyle w:val="Yo5TextNotes"/>
                    <w:tabs>
                      <w:tab w:val="clear" w:pos="1985"/>
                      <w:tab w:val="right" w:pos="8722"/>
                    </w:tabs>
                    <w:spacing w:before="40" w:after="40"/>
                    <w:jc w:val="center"/>
                    <w:rPr>
                      <w:noProof/>
                      <w:lang w:val="en-GB" w:eastAsia="en-GB"/>
                    </w:rPr>
                  </w:pPr>
                  <w:r>
                    <w:rPr>
                      <w:noProof/>
                      <w:snapToGrid/>
                      <w:lang w:val="en-US"/>
                    </w:rPr>
                    <w:drawing>
                      <wp:inline distT="0" distB="0" distL="0" distR="0">
                        <wp:extent cx="179705" cy="35560"/>
                        <wp:effectExtent l="0" t="0" r="0" b="2540"/>
                        <wp:docPr id="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705" cy="35560"/>
                                </a:xfrm>
                                <a:prstGeom prst="rect">
                                  <a:avLst/>
                                </a:prstGeom>
                                <a:noFill/>
                              </pic:spPr>
                            </pic:pic>
                          </a:graphicData>
                        </a:graphic>
                      </wp:inline>
                    </w:drawing>
                  </w:r>
                </w:p>
              </w:tc>
              <w:tc>
                <w:tcPr>
                  <w:tcW w:w="0" w:type="auto"/>
                  <w:shd w:val="clear" w:color="auto" w:fill="auto"/>
                  <w:vAlign w:val="center"/>
                </w:tcPr>
                <w:p>
                  <w:pPr>
                    <w:pStyle w:val="Yo5TextNotes"/>
                    <w:tabs>
                      <w:tab w:val="clear" w:pos="1985"/>
                      <w:tab w:val="right" w:pos="8722"/>
                    </w:tabs>
                    <w:spacing w:before="40" w:after="40"/>
                    <w:jc w:val="center"/>
                    <w:rPr>
                      <w:noProof/>
                      <w:lang w:val="en-GB" w:eastAsia="en-GB"/>
                    </w:rPr>
                  </w:pPr>
                  <w:r>
                    <w:rPr>
                      <w:noProof/>
                      <w:lang w:val="en-GB" w:eastAsia="en-GB"/>
                    </w:rPr>
                    <w:t>Total population</w:t>
                  </w:r>
                </w:p>
              </w:tc>
            </w:tr>
          </w:tbl>
          <w:p>
            <w:pPr>
              <w:pStyle w:val="Yo5TextNotes"/>
              <w:tabs>
                <w:tab w:val="clear" w:pos="1985"/>
                <w:tab w:val="right" w:pos="8722"/>
              </w:tabs>
              <w:ind w:left="175"/>
              <w:rPr>
                <w:noProof/>
                <w:lang w:val="en-GB" w:eastAsia="en-GB"/>
              </w:rPr>
            </w:pPr>
          </w:p>
          <w:p>
            <w:pPr>
              <w:pStyle w:val="Yo5TextNotes"/>
              <w:tabs>
                <w:tab w:val="clear" w:pos="1985"/>
                <w:tab w:val="right" w:pos="8722"/>
              </w:tabs>
              <w:ind w:left="175"/>
              <w:rPr>
                <w:noProof/>
                <w:lang w:val="en-GB" w:eastAsia="en-GB"/>
              </w:rPr>
            </w:pPr>
          </w:p>
          <w:p>
            <w:pPr>
              <w:pStyle w:val="Yo5TextNotes"/>
              <w:tabs>
                <w:tab w:val="clear" w:pos="1985"/>
                <w:tab w:val="right" w:pos="8722"/>
              </w:tabs>
              <w:spacing w:after="120"/>
              <w:ind w:left="176"/>
              <w:rPr>
                <w:noProof/>
                <w:lang w:val="en-GB" w:eastAsia="en-GB"/>
              </w:rPr>
            </w:pPr>
            <w:r>
              <w:rPr>
                <w:i/>
                <w:noProof/>
                <w:lang w:val="en-GB" w:eastAsia="en-GB"/>
              </w:rPr>
              <w:t xml:space="preserve">Notes: </w:t>
            </w:r>
            <w:r>
              <w:rPr>
                <w:noProof/>
                <w:lang w:val="en-GB"/>
              </w:rPr>
              <w:t>People 'at risk of poverty' are those with an income below a relative poverty threshold, defined as 60 % of the net median equivalised disposable income.</w:t>
            </w:r>
          </w:p>
          <w:p>
            <w:pPr>
              <w:pStyle w:val="Yo5TextNotes"/>
              <w:tabs>
                <w:tab w:val="clear" w:pos="1985"/>
                <w:tab w:val="right" w:pos="8722"/>
              </w:tabs>
              <w:ind w:left="175"/>
              <w:rPr>
                <w:noProof/>
                <w:lang w:val="en-GB" w:eastAsia="en-GB"/>
              </w:rPr>
            </w:pPr>
            <w:r>
              <w:rPr>
                <w:i/>
                <w:noProof/>
                <w:lang w:val="en-GB" w:eastAsia="en-GB"/>
              </w:rPr>
              <w:t xml:space="preserve">Source: </w:t>
            </w:r>
            <w:r>
              <w:rPr>
                <w:noProof/>
                <w:lang w:val="en-GB" w:eastAsia="en-GB"/>
              </w:rPr>
              <w:t>Eurostat, Statistics on income and living conditions (SILC) [ilc_li02]. Data extracted on 09.01.2018.</w:t>
            </w:r>
          </w:p>
        </w:tc>
      </w:tr>
    </w:tbl>
    <w:p>
      <w:pPr>
        <w:pStyle w:val="Yo5TextNotesbeforeafter"/>
        <w:rPr>
          <w:noProof/>
          <w:lang w:val="en-GB"/>
        </w:rPr>
      </w:pPr>
    </w:p>
    <w:p>
      <w:pPr>
        <w:pStyle w:val="Yo1Textpara"/>
        <w:rPr>
          <w:noProof/>
        </w:rPr>
      </w:pPr>
      <w:r>
        <w:rPr>
          <w:noProof/>
        </w:rPr>
        <w:t>In the EU-28 on average and in the majority of European countries, the average at-risk-of-poverty rate is higher for children than for the total population (Figure 7-D). The exceptions are Denmark, Germany, Estonia, Croatia, Latvia, Slovenia and Finland, where children have a relatively lower risk of poverty. In 2016, the at-risk-of-poverty rate for children was highest in Romania (37.2 %), followed by Bulgaria (32.2 %), Serbia (29.3 %) and Spain (28.9 %); while it was lowest in Finland (9.5 %), Denmark (9.9 %) and Slovenia (11.4 %).</w:t>
      </w:r>
    </w:p>
    <w:p>
      <w:pPr>
        <w:pStyle w:val="Yo1Textpara"/>
        <w:rPr>
          <w:noProof/>
        </w:rPr>
      </w:pPr>
      <w:r>
        <w:rPr>
          <w:noProof/>
        </w:rPr>
        <w:t>On average in the EU-28, the at-risk-of-poverty rate for children was decreasing between 2010 and 2013. It then began to increase in 2014 and 2015, before starting to decrease again in 2016 (Figure 7-D). For the total population, the increasing trend was halted between 2012 and 2013, before rising again until 2015. There was no change on average in the EU-28 between 2015 and 2016.</w:t>
      </w:r>
    </w:p>
    <w:p>
      <w:pPr>
        <w:pStyle w:val="Yo1Textpara"/>
        <w:rPr>
          <w:noProof/>
          <w:szCs w:val="22"/>
        </w:rPr>
      </w:pPr>
      <w:r>
        <w:rPr>
          <w:noProof/>
          <w:szCs w:val="22"/>
        </w:rPr>
        <w:t>In assessing the risk of poverty for young people, it is useful to examine the extent of the problem for those no longer living with their parents. Figure</w:t>
      </w:r>
      <w:r>
        <w:rPr>
          <w:noProof/>
        </w:rPr>
        <w:t> </w:t>
      </w:r>
      <w:r>
        <w:rPr>
          <w:noProof/>
          <w:szCs w:val="22"/>
        </w:rPr>
        <w:t>7-E therefore includes young people aged 20 to 29 who have moved out of the parental household. This wider age group has been chosen to take into account the differences across Europe in the average age of leaving the parental home. However, it has to be kept in mind that young people aged 20 to 24 living independently are, on average, almost twice as likely to be at risk of poverty than their older peers aged 25 to 29 (</w:t>
      </w:r>
      <w:r>
        <w:rPr>
          <w:rStyle w:val="FootnoteReference"/>
          <w:noProof/>
          <w:szCs w:val="22"/>
        </w:rPr>
        <w:footnoteReference w:id="17"/>
      </w:r>
      <w:r>
        <w:rPr>
          <w:noProof/>
          <w:szCs w:val="22"/>
        </w:rPr>
        <w:t xml:space="preserve">). </w:t>
      </w:r>
    </w:p>
    <w:p>
      <w:pPr>
        <w:pStyle w:val="Yo5TitleFigure"/>
        <w:jc w:val="both"/>
      </w:pPr>
      <w:r>
        <w:rPr>
          <w:b/>
        </w:rPr>
        <w:t>Figure 7-E:</w:t>
      </w:r>
      <w:r>
        <w:t xml:space="preserve"> At-risk-of-poverty rate for young people (aged 20-29) not living with parents, by country, 2010 and 2016</w:t>
      </w:r>
    </w:p>
    <w:tbl>
      <w:tblPr>
        <w:tblW w:w="10135"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4233"/>
        <w:gridCol w:w="5902"/>
      </w:tblGrid>
      <w:tr>
        <w:trPr>
          <w:trHeight w:val="2949"/>
        </w:trPr>
        <w:tc>
          <w:tcPr>
            <w:tcW w:w="10135" w:type="dxa"/>
            <w:gridSpan w:val="2"/>
            <w:tcBorders>
              <w:top w:val="single" w:sz="4" w:space="0" w:color="auto"/>
              <w:left w:val="single" w:sz="4" w:space="0" w:color="auto"/>
              <w:bottom w:val="nil"/>
              <w:right w:val="single" w:sz="4" w:space="0" w:color="auto"/>
            </w:tcBorders>
            <w:hideMark/>
          </w:tcPr>
          <w:p>
            <w:pPr>
              <w:pStyle w:val="Yo5TextNotes"/>
              <w:tabs>
                <w:tab w:val="clear" w:pos="1985"/>
                <w:tab w:val="left" w:pos="9416"/>
              </w:tabs>
              <w:ind w:left="176"/>
              <w:rPr>
                <w:noProof/>
                <w:lang w:eastAsia="en-GB"/>
              </w:rPr>
            </w:pPr>
            <w:r>
              <w:rPr>
                <w:noProof/>
                <w:lang w:val="en-GB" w:eastAsia="en-GB"/>
              </w:rPr>
              <w:t xml:space="preserve">  </w:t>
            </w:r>
            <w:r>
              <w:rPr>
                <w:noProof/>
                <w:lang w:eastAsia="en-GB"/>
              </w:rPr>
              <w:t>%</w:t>
            </w:r>
            <w:r>
              <w:rPr>
                <w:noProof/>
                <w:lang w:eastAsia="en-GB"/>
              </w:rPr>
              <w:tab/>
              <w:t>%</w:t>
            </w:r>
          </w:p>
          <w:p>
            <w:pPr>
              <w:pStyle w:val="Yo5TextNotesafter"/>
              <w:jc w:val="center"/>
              <w:rPr>
                <w:noProof/>
                <w:sz w:val="16"/>
              </w:rPr>
            </w:pPr>
            <w:r>
              <w:rPr>
                <w:noProof/>
                <w:snapToGrid/>
                <w:sz w:val="16"/>
              </w:rPr>
              <w:drawing>
                <wp:inline distT="0" distB="0" distL="0" distR="0">
                  <wp:extent cx="5908040" cy="2043430"/>
                  <wp:effectExtent l="0" t="0" r="0" b="0"/>
                  <wp:docPr id="26" name="Picture 26" descr="\\s-eacea-fs03-p\EACEA.A7\Youth\04_Reports\a_EU_Youth_Reports\2018\03_graph\7_E_poverty_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cea-fs03-p\EACEA.A7\Youth\04_Reports\a_EU_Youth_Reports\2018\03_graph\7_E_poverty_young.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5908040" cy="2043430"/>
                          </a:xfrm>
                          <a:prstGeom prst="rect">
                            <a:avLst/>
                          </a:prstGeom>
                          <a:noFill/>
                          <a:ln>
                            <a:noFill/>
                          </a:ln>
                        </pic:spPr>
                      </pic:pic>
                    </a:graphicData>
                  </a:graphic>
                </wp:inline>
              </w:drawing>
            </w:r>
          </w:p>
        </w:tc>
      </w:tr>
      <w:tr>
        <w:trPr>
          <w:trHeight w:val="20"/>
        </w:trPr>
        <w:tc>
          <w:tcPr>
            <w:tcW w:w="3384" w:type="dxa"/>
            <w:tcBorders>
              <w:top w:val="nil"/>
              <w:left w:val="single" w:sz="4" w:space="0" w:color="auto"/>
              <w:bottom w:val="single" w:sz="4" w:space="0" w:color="auto"/>
              <w:right w:val="nil"/>
            </w:tcBorders>
            <w:tcMar>
              <w:top w:w="57" w:type="dxa"/>
              <w:left w:w="255" w:type="dxa"/>
              <w:bottom w:w="0" w:type="dxa"/>
              <w:right w:w="108" w:type="dxa"/>
            </w:tcMar>
            <w:hideMark/>
          </w:tcPr>
          <w:p>
            <w:pPr>
              <w:pStyle w:val="Yo5TitleFigure"/>
              <w:spacing w:before="60" w:after="0"/>
              <w:ind w:right="215"/>
              <w:jc w:val="center"/>
              <w:rPr>
                <w:sz w:val="14"/>
                <w:szCs w:val="14"/>
              </w:rPr>
            </w:pPr>
            <w:r>
              <w:rPr>
                <w:sz w:val="14"/>
                <w:szCs w:val="14"/>
              </w:rPr>
              <w:t>EU-28 average, 2010-2016</w:t>
            </w:r>
          </w:p>
          <w:p>
            <w:pPr>
              <w:pStyle w:val="Yo5TitleFigure"/>
              <w:tabs>
                <w:tab w:val="left" w:pos="3446"/>
              </w:tabs>
              <w:spacing w:before="0" w:after="0" w:line="240" w:lineRule="auto"/>
              <w:ind w:left="165"/>
              <w:rPr>
                <w:b/>
                <w:color w:val="auto"/>
                <w:sz w:val="14"/>
                <w:szCs w:val="14"/>
              </w:rPr>
            </w:pPr>
            <w:r>
              <w:rPr>
                <w:color w:val="auto"/>
                <w:sz w:val="14"/>
                <w:szCs w:val="14"/>
              </w:rPr>
              <w:t>%</w:t>
            </w:r>
            <w:r>
              <w:rPr>
                <w:lang w:eastAsia="en-GB"/>
              </w:rPr>
              <w:tab/>
              <w:t xml:space="preserve"> </w:t>
            </w:r>
            <w:r>
              <w:rPr>
                <w:color w:val="auto"/>
                <w:sz w:val="14"/>
                <w:szCs w:val="14"/>
                <w:lang w:eastAsia="en-GB"/>
              </w:rPr>
              <w:t>%</w:t>
            </w:r>
          </w:p>
          <w:p>
            <w:pPr>
              <w:pStyle w:val="Yo5TextNotes"/>
              <w:tabs>
                <w:tab w:val="clear" w:pos="1985"/>
                <w:tab w:val="right" w:pos="8722"/>
              </w:tabs>
              <w:spacing w:after="60"/>
              <w:rPr>
                <w:noProof/>
                <w:lang w:eastAsia="en-GB"/>
              </w:rPr>
            </w:pPr>
            <w:r>
              <w:rPr>
                <w:noProof/>
                <w:snapToGrid/>
                <w:lang w:val="en-US"/>
              </w:rPr>
              <w:drawing>
                <wp:inline distT="0" distB="0" distL="0" distR="0">
                  <wp:extent cx="2456815" cy="1041400"/>
                  <wp:effectExtent l="0" t="0" r="635" b="6350"/>
                  <wp:docPr id="27" name="Picture 27" descr="\\s-eacea-fs03-p\EACEA.A7\Youth\04_Reports\a_EU_Youth_Reports\2018\03_graph\7_E_b_poverty_young_tr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acea-fs03-p\EACEA.A7\Youth\04_Reports\a_EU_Youth_Reports\2018\03_graph\7_E_b_poverty_young_trend.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456815" cy="1041400"/>
                          </a:xfrm>
                          <a:prstGeom prst="rect">
                            <a:avLst/>
                          </a:prstGeom>
                          <a:noFill/>
                          <a:ln>
                            <a:noFill/>
                          </a:ln>
                        </pic:spPr>
                      </pic:pic>
                    </a:graphicData>
                  </a:graphic>
                </wp:inline>
              </w:drawing>
            </w:r>
          </w:p>
        </w:tc>
        <w:tc>
          <w:tcPr>
            <w:tcW w:w="0" w:type="auto"/>
            <w:tcBorders>
              <w:top w:val="nil"/>
              <w:left w:val="nil"/>
              <w:bottom w:val="single" w:sz="4" w:space="0" w:color="auto"/>
              <w:right w:val="single" w:sz="4" w:space="0" w:color="auto"/>
            </w:tcBorders>
            <w:hideMark/>
          </w:tcPr>
          <w:p>
            <w:pPr>
              <w:pStyle w:val="Yo5TextNotes"/>
              <w:tabs>
                <w:tab w:val="clear" w:pos="1985"/>
                <w:tab w:val="right" w:pos="8722"/>
              </w:tabs>
              <w:ind w:left="175"/>
              <w:rPr>
                <w:noProof/>
                <w:lang w:val="en-GB" w:eastAsia="en-GB"/>
              </w:rPr>
            </w:pPr>
          </w:p>
          <w:p>
            <w:pPr>
              <w:pStyle w:val="Yo5TextNotes"/>
              <w:tabs>
                <w:tab w:val="clear" w:pos="1985"/>
                <w:tab w:val="right" w:pos="8722"/>
              </w:tabs>
              <w:ind w:left="176"/>
              <w:rPr>
                <w:i/>
                <w:noProof/>
                <w:lang w:val="en-GB" w:eastAsia="en-GB"/>
              </w:rPr>
            </w:pPr>
          </w:p>
          <w:p>
            <w:pPr>
              <w:pStyle w:val="Yo5TextNotes"/>
              <w:tabs>
                <w:tab w:val="clear" w:pos="1985"/>
                <w:tab w:val="right" w:pos="8722"/>
              </w:tabs>
              <w:spacing w:after="120"/>
              <w:ind w:left="176"/>
              <w:rPr>
                <w:noProof/>
                <w:lang w:val="en-GB" w:eastAsia="en-GB"/>
              </w:rPr>
            </w:pPr>
            <w:r>
              <w:rPr>
                <w:i/>
                <w:noProof/>
                <w:lang w:val="en-GB" w:eastAsia="en-GB"/>
              </w:rPr>
              <w:t xml:space="preserve">Notes: </w:t>
            </w:r>
            <w:r>
              <w:rPr>
                <w:noProof/>
                <w:lang w:val="en-GB"/>
              </w:rPr>
              <w:t>People 'at risk of poverty' are those with an income below a relative poverty threshold, defined as 60 % of the net median equivalised disposable income.</w:t>
            </w:r>
            <w:r>
              <w:rPr>
                <w:noProof/>
                <w:lang w:val="en-GB" w:eastAsia="en-GB"/>
              </w:rPr>
              <w:t xml:space="preserve"> </w:t>
            </w:r>
          </w:p>
          <w:p>
            <w:pPr>
              <w:pStyle w:val="Yo5TextNotes"/>
              <w:tabs>
                <w:tab w:val="clear" w:pos="1985"/>
                <w:tab w:val="right" w:pos="8722"/>
              </w:tabs>
              <w:ind w:left="187"/>
              <w:rPr>
                <w:noProof/>
                <w:lang w:val="en-GB" w:eastAsia="en-GB"/>
              </w:rPr>
            </w:pPr>
            <w:r>
              <w:rPr>
                <w:i/>
                <w:noProof/>
                <w:lang w:val="en-GB"/>
              </w:rPr>
              <w:t xml:space="preserve">Source: </w:t>
            </w:r>
            <w:r>
              <w:rPr>
                <w:noProof/>
                <w:lang w:val="en-GB"/>
              </w:rPr>
              <w:t>Eurostat, Statistics on income and living conditions (SILC) [yth_incl_060]. Data extracted on 07.02.2018.</w:t>
            </w:r>
          </w:p>
        </w:tc>
      </w:tr>
    </w:tbl>
    <w:p>
      <w:pPr>
        <w:pStyle w:val="Yo5TextNotes"/>
        <w:tabs>
          <w:tab w:val="clear" w:pos="1985"/>
          <w:tab w:val="left" w:pos="9359"/>
        </w:tabs>
        <w:ind w:left="287"/>
        <w:rPr>
          <w:noProof/>
          <w:lang w:eastAsia="en-GB"/>
        </w:rPr>
      </w:pPr>
    </w:p>
    <w:p>
      <w:pPr>
        <w:pStyle w:val="Yo1Textpara"/>
        <w:rPr>
          <w:noProof/>
        </w:rPr>
      </w:pPr>
      <w:r>
        <w:rPr>
          <w:noProof/>
        </w:rPr>
        <w:br w:type="page"/>
        <w:t>In 2016, the highest risk of poverty for young people aged 20 to 29 not living with their parents was found in Denmark – 43.1 %. The rate also exceeded 30 % in Bulgaria, Spain, Italy, the Netherlands, Romania, Norway and Serbia. These countries differ greatly in the average ages that young people leave the parental household, and therefore are examples of diverse realities. In Denmark and Norway, for example, young people tend to move out of the parental home earlier, because they can afford to do so thanks to available student housing and relatively generous grants for those studying at tertiary level. In addition, average income levels are much higher in these countries than in the second group. In Bulgaria, Spain, Italy and Romania, young people tend to live with their parents longer partly due to economic necessity. Nevertheless, in both groups, the at-risk-of-poverty rates for young people living independently increased in the period in question.</w:t>
      </w:r>
    </w:p>
    <w:tbl>
      <w:tblPr>
        <w:tblpPr w:leftFromText="181" w:rightFromText="181" w:vertAnchor="text" w:horzAnchor="margin" w:tblpXSpec="right" w:tblpY="-715"/>
        <w:tblOverlap w:val="never"/>
        <w:tblW w:w="0" w:type="auto"/>
        <w:shd w:val="clear" w:color="auto" w:fill="FFA3A4"/>
        <w:tblLook w:val="04A0" w:firstRow="1" w:lastRow="0" w:firstColumn="1" w:lastColumn="0" w:noHBand="0" w:noVBand="1"/>
      </w:tblPr>
      <w:tblGrid>
        <w:gridCol w:w="2977"/>
      </w:tblGrid>
      <w:tr>
        <w:tc>
          <w:tcPr>
            <w:tcW w:w="2977" w:type="dxa"/>
            <w:shd w:val="clear" w:color="auto" w:fill="FFA3A4"/>
            <w:hideMark/>
          </w:tcPr>
          <w:p>
            <w:pPr>
              <w:pStyle w:val="Yo12Encart"/>
              <w:framePr w:hSpace="0" w:wrap="auto" w:vAnchor="margin" w:hAnchor="text" w:xAlign="left" w:yAlign="inline"/>
              <w:suppressOverlap w:val="0"/>
              <w:rPr>
                <w:noProof/>
                <w:sz w:val="22"/>
                <w:szCs w:val="22"/>
              </w:rPr>
            </w:pPr>
            <w:r>
              <w:rPr>
                <w:noProof/>
                <w:sz w:val="22"/>
                <w:szCs w:val="22"/>
              </w:rPr>
              <w:t>The at-risk-of-poverty rates for young people not living with their parents are relatively high across the EU, and continue to increase in the majority of countries.</w:t>
            </w:r>
          </w:p>
        </w:tc>
      </w:tr>
    </w:tbl>
    <w:p>
      <w:pPr>
        <w:pStyle w:val="Yo1Textpara"/>
        <w:rPr>
          <w:noProof/>
        </w:rPr>
      </w:pPr>
      <w:r>
        <w:rPr>
          <w:noProof/>
        </w:rPr>
        <w:t xml:space="preserve">Data show that the proportion of young people aged 20 to 29 living independently and at risk of poverty increased between 2010 and 2016 both across the EU-28 as a whole as well as in the majority of countries. The most significant increases took place in the Netherlands (10.1 percentage points), Slovenia (9.8 percentage points) and Bulgaria (9.7 percentage points). </w:t>
      </w:r>
    </w:p>
    <w:p>
      <w:pPr>
        <w:pStyle w:val="Yo5TextEUYouthTOC"/>
        <w:framePr w:hSpace="0" w:wrap="auto" w:vAnchor="margin" w:hAnchor="text" w:xAlign="left" w:yAlign="inline"/>
        <w:spacing w:before="240"/>
        <w:rPr>
          <w:rFonts w:eastAsia="Times New Roman"/>
          <w:color w:val="DA1E48"/>
          <w:spacing w:val="20"/>
          <w:sz w:val="24"/>
          <w:szCs w:val="24"/>
        </w:rPr>
      </w:pPr>
      <w:r>
        <w:rPr>
          <w:rFonts w:eastAsia="Times New Roman"/>
          <w:color w:val="DA1E48"/>
          <w:spacing w:val="20"/>
          <w:sz w:val="24"/>
          <w:szCs w:val="24"/>
        </w:rPr>
        <w:t>7.3.2. Severe material deprivation</w:t>
      </w:r>
    </w:p>
    <w:p>
      <w:pPr>
        <w:pStyle w:val="Yo1Textpara"/>
        <w:rPr>
          <w:noProof/>
        </w:rPr>
      </w:pPr>
      <w:r>
        <w:rPr>
          <w:noProof/>
        </w:rPr>
        <w:t>The severe material deprivation rate (</w:t>
      </w:r>
      <w:r>
        <w:rPr>
          <w:rStyle w:val="FootnoteReference"/>
          <w:rFonts w:ascii="Arial" w:hAnsi="Arial" w:cs="Arial"/>
          <w:noProof/>
          <w:sz w:val="20"/>
        </w:rPr>
        <w:footnoteReference w:id="18"/>
      </w:r>
      <w:r>
        <w:rPr>
          <w:noProof/>
        </w:rPr>
        <w:t>) complements the at-risk-of-poverty rate in two important respects. First, instead of defining a poverty threshold that varies between countries, it is based on a single European threshold. For this reason, it is a more absolute measure of poverty, and can capture the differences in living standards between countries. Second, the severe material deprivation rate takes different kinds of factors into account – such as eating habits or being able to go on a holiday, while the relative poverty indicator is based solely on current income.</w:t>
      </w:r>
    </w:p>
    <w:p>
      <w:pPr>
        <w:pStyle w:val="Yo1Textpara"/>
        <w:rPr>
          <w:noProof/>
        </w:rPr>
      </w:pPr>
      <w:r>
        <w:rPr>
          <w:noProof/>
        </w:rPr>
        <w:t>As Figure 7-F illustrates, the differences are quite substantial between European countries, ranging from a material deprivation rate of 0.8 % in Sweden to 31.9 % in Bulgaria for the total population. The material deprivation of children (under-16s) and young people (16-29 years) generally mirrors that of the total population, but often at a higher level. In 2016, for both children and young people, the material deprivation rates were highest in Bulgaria (35.7 % and 33.3 % respectively), Greece (25.7 % and 30.1 %) and Romania (30.0 % and 26.9 %). Children were the more deprived group in Bulgaria and Romania while young people were more deprived in Greece. In contrast, the material deprivation rate for children and young people was the lowest in Luxembourg (1.2 % and 2.1 %), the Netherlands (2.4 % and 2.7 %), Finland (1.7 % and 2.7 %), Sweden (0.6 % and 1.4 %) and Norway (3.0 % and 2.4 %).</w:t>
      </w:r>
    </w:p>
    <w:p>
      <w:pPr>
        <w:pStyle w:val="Yo5TitleFigure"/>
        <w:jc w:val="both"/>
      </w:pPr>
      <w:r>
        <w:rPr>
          <w:b/>
        </w:rPr>
        <w:t xml:space="preserve">Figure 7-F: </w:t>
      </w:r>
      <w:r>
        <w:t>Severe material deprivation rate, by country and by age, 2016</w:t>
      </w: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472"/>
        <w:gridCol w:w="3420"/>
        <w:gridCol w:w="6671"/>
      </w:tblGrid>
      <w:tr>
        <w:trPr>
          <w:trHeight w:val="2949"/>
        </w:trPr>
        <w:tc>
          <w:tcPr>
            <w:tcW w:w="0" w:type="auto"/>
            <w:vMerge w:val="restart"/>
            <w:tcBorders>
              <w:top w:val="single" w:sz="4" w:space="0" w:color="auto"/>
              <w:left w:val="single" w:sz="4" w:space="0" w:color="auto"/>
              <w:bottom w:val="single" w:sz="4" w:space="0" w:color="auto"/>
              <w:right w:val="single" w:sz="4" w:space="0" w:color="auto"/>
            </w:tcBorders>
            <w:shd w:val="clear" w:color="auto" w:fill="FB5F5F"/>
            <w:textDirection w:val="btLr"/>
            <w:vAlign w:val="bottom"/>
            <w:hideMark/>
          </w:tcPr>
          <w:p>
            <w:pPr>
              <w:pStyle w:val="Yo13YouthIndicator"/>
              <w:jc w:val="center"/>
              <w:rPr>
                <w:noProof/>
                <w:lang w:eastAsia="fr-BE"/>
              </w:rPr>
            </w:pPr>
            <w:r>
              <w:rPr>
                <w:noProof/>
              </w:rPr>
              <w:t>EU youth indicator</w:t>
            </w:r>
          </w:p>
        </w:tc>
        <w:tc>
          <w:tcPr>
            <w:tcW w:w="10092" w:type="dxa"/>
            <w:gridSpan w:val="2"/>
            <w:tcBorders>
              <w:top w:val="single" w:sz="4" w:space="0" w:color="auto"/>
              <w:left w:val="single" w:sz="4" w:space="0" w:color="auto"/>
              <w:bottom w:val="nil"/>
              <w:right w:val="single" w:sz="4" w:space="0" w:color="auto"/>
            </w:tcBorders>
            <w:hideMark/>
          </w:tcPr>
          <w:p>
            <w:pPr>
              <w:pStyle w:val="Yo5TextNotes"/>
              <w:tabs>
                <w:tab w:val="clear" w:pos="1985"/>
                <w:tab w:val="left" w:pos="9108"/>
              </w:tabs>
              <w:ind w:left="443"/>
              <w:rPr>
                <w:noProof/>
                <w:lang w:eastAsia="en-GB"/>
              </w:rPr>
            </w:pPr>
            <w:r>
              <w:rPr>
                <w:noProof/>
                <w:lang w:eastAsia="en-GB"/>
              </w:rPr>
              <w:t xml:space="preserve">  %</w:t>
            </w:r>
            <w:r>
              <w:rPr>
                <w:noProof/>
                <w:lang w:eastAsia="en-GB"/>
              </w:rPr>
              <w:tab/>
              <w:t>%</w:t>
            </w:r>
          </w:p>
          <w:p>
            <w:pPr>
              <w:pStyle w:val="Yo5TextNotesafter"/>
              <w:jc w:val="center"/>
              <w:rPr>
                <w:noProof/>
                <w:sz w:val="16"/>
              </w:rPr>
            </w:pPr>
            <w:r>
              <w:rPr>
                <w:noProof/>
                <w:snapToGrid/>
              </w:rPr>
              <mc:AlternateContent>
                <mc:Choice Requires="wps">
                  <w:drawing>
                    <wp:anchor distT="0" distB="0" distL="114300" distR="114300" simplePos="0" relativeHeight="251658240" behindDoc="0" locked="0" layoutInCell="1" allowOverlap="1">
                      <wp:simplePos x="0" y="0"/>
                      <wp:positionH relativeFrom="column">
                        <wp:posOffset>2791460</wp:posOffset>
                      </wp:positionH>
                      <wp:positionV relativeFrom="paragraph">
                        <wp:posOffset>191770</wp:posOffset>
                      </wp:positionV>
                      <wp:extent cx="3018790" cy="266700"/>
                      <wp:effectExtent l="635" t="127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insideH w:val="single" w:sz="4" w:space="0" w:color="auto"/>
                                    </w:tblBorders>
                                    <w:tblLook w:val="04A0" w:firstRow="1" w:lastRow="0" w:firstColumn="1" w:lastColumn="0" w:noHBand="0" w:noVBand="1"/>
                                  </w:tblPr>
                                  <w:tblGrid>
                                    <w:gridCol w:w="354"/>
                                    <w:gridCol w:w="1152"/>
                                    <w:gridCol w:w="354"/>
                                    <w:gridCol w:w="937"/>
                                    <w:gridCol w:w="377"/>
                                    <w:gridCol w:w="1250"/>
                                  </w:tblGrid>
                                  <w:tr>
                                    <w:trPr>
                                      <w:trHeight w:val="368"/>
                                    </w:trPr>
                                    <w:tc>
                                      <w:tcPr>
                                        <w:tcW w:w="0" w:type="auto"/>
                                        <w:shd w:val="clear" w:color="auto" w:fill="auto"/>
                                        <w:tcMar>
                                          <w:left w:w="57" w:type="dxa"/>
                                          <w:right w:w="57" w:type="dxa"/>
                                        </w:tcMar>
                                        <w:vAlign w:val="center"/>
                                      </w:tcPr>
                                      <w:p>
                                        <w:pPr>
                                          <w:spacing w:after="0"/>
                                          <w:rPr>
                                            <w:rFonts w:ascii="Verdana" w:hAnsi="Verdana"/>
                                            <w:sz w:val="14"/>
                                            <w:szCs w:val="14"/>
                                          </w:rPr>
                                        </w:pPr>
                                        <w:r>
                                          <w:rPr>
                                            <w:rFonts w:ascii="Verdana" w:hAnsi="Verdana"/>
                                            <w:noProof/>
                                            <w:sz w:val="14"/>
                                            <w:szCs w:val="14"/>
                                            <w:lang w:val="en-US"/>
                                          </w:rPr>
                                          <w:drawing>
                                            <wp:inline distT="0" distB="0" distL="0" distR="0">
                                              <wp:extent cx="142875" cy="1428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shd w:val="clear" w:color="auto" w:fill="auto"/>
                                        <w:tcMar>
                                          <w:left w:w="57" w:type="dxa"/>
                                          <w:right w:w="57" w:type="dxa"/>
                                        </w:tcMar>
                                        <w:vAlign w:val="center"/>
                                      </w:tcPr>
                                      <w:p>
                                        <w:pPr>
                                          <w:spacing w:after="0"/>
                                          <w:rPr>
                                            <w:rFonts w:ascii="Verdana" w:hAnsi="Verdana"/>
                                            <w:sz w:val="14"/>
                                            <w:szCs w:val="14"/>
                                          </w:rPr>
                                        </w:pPr>
                                        <w:r>
                                          <w:rPr>
                                            <w:rFonts w:ascii="Verdana" w:hAnsi="Verdana"/>
                                            <w:noProof/>
                                            <w:sz w:val="14"/>
                                            <w:szCs w:val="14"/>
                                            <w:lang w:eastAsia="en-GB"/>
                                          </w:rPr>
                                          <w:t xml:space="preserve">Aged under 16 </w:t>
                                        </w:r>
                                      </w:p>
                                    </w:tc>
                                    <w:tc>
                                      <w:tcPr>
                                        <w:tcW w:w="0" w:type="auto"/>
                                        <w:shd w:val="clear" w:color="auto" w:fill="auto"/>
                                        <w:tcMar>
                                          <w:left w:w="57" w:type="dxa"/>
                                          <w:right w:w="57" w:type="dxa"/>
                                        </w:tcMar>
                                        <w:vAlign w:val="center"/>
                                      </w:tcPr>
                                      <w:p>
                                        <w:pPr>
                                          <w:spacing w:after="0"/>
                                          <w:rPr>
                                            <w:rFonts w:ascii="Verdana" w:hAnsi="Verdana"/>
                                            <w:sz w:val="14"/>
                                            <w:szCs w:val="14"/>
                                          </w:rPr>
                                        </w:pPr>
                                        <w:r>
                                          <w:rPr>
                                            <w:rFonts w:ascii="Verdana" w:hAnsi="Verdana"/>
                                            <w:noProof/>
                                            <w:sz w:val="14"/>
                                            <w:szCs w:val="14"/>
                                            <w:lang w:val="en-US"/>
                                          </w:rPr>
                                          <w:drawing>
                                            <wp:inline distT="0" distB="0" distL="0" distR="0">
                                              <wp:extent cx="142875" cy="142875"/>
                                              <wp:effectExtent l="0" t="0" r="9525" b="9525"/>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shd w:val="clear" w:color="auto" w:fill="auto"/>
                                        <w:tcMar>
                                          <w:left w:w="57" w:type="dxa"/>
                                          <w:right w:w="57" w:type="dxa"/>
                                        </w:tcMar>
                                        <w:vAlign w:val="center"/>
                                      </w:tcPr>
                                      <w:p>
                                        <w:pPr>
                                          <w:spacing w:after="0"/>
                                          <w:rPr>
                                            <w:rFonts w:ascii="Verdana" w:hAnsi="Verdana"/>
                                            <w:sz w:val="14"/>
                                            <w:szCs w:val="14"/>
                                          </w:rPr>
                                        </w:pPr>
                                        <w:r>
                                          <w:rPr>
                                            <w:rFonts w:ascii="Verdana" w:hAnsi="Verdana"/>
                                            <w:sz w:val="14"/>
                                            <w:szCs w:val="14"/>
                                          </w:rPr>
                                          <w:t>Aged 16-29</w:t>
                                        </w:r>
                                      </w:p>
                                    </w:tc>
                                    <w:tc>
                                      <w:tcPr>
                                        <w:tcW w:w="0" w:type="auto"/>
                                        <w:shd w:val="clear" w:color="auto" w:fill="auto"/>
                                        <w:tcMar>
                                          <w:left w:w="57" w:type="dxa"/>
                                          <w:right w:w="57" w:type="dxa"/>
                                        </w:tcMar>
                                      </w:tcPr>
                                      <w:p>
                                        <w:pPr>
                                          <w:spacing w:after="0"/>
                                          <w:rPr>
                                            <w:rFonts w:ascii="Verdana" w:hAnsi="Verdana"/>
                                            <w:sz w:val="14"/>
                                            <w:szCs w:val="14"/>
                                          </w:rPr>
                                        </w:pPr>
                                        <w:r>
                                          <w:rPr>
                                            <w:rFonts w:ascii="Verdana" w:hAnsi="Verdana"/>
                                            <w:noProof/>
                                            <w:sz w:val="14"/>
                                            <w:szCs w:val="14"/>
                                            <w:lang w:val="en-US"/>
                                          </w:rPr>
                                          <w:drawing>
                                            <wp:inline distT="0" distB="0" distL="0" distR="0">
                                              <wp:extent cx="167005" cy="4000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005" cy="40005"/>
                                                      </a:xfrm>
                                                      <a:prstGeom prst="rect">
                                                        <a:avLst/>
                                                      </a:prstGeom>
                                                      <a:noFill/>
                                                      <a:ln>
                                                        <a:noFill/>
                                                      </a:ln>
                                                    </pic:spPr>
                                                  </pic:pic>
                                                </a:graphicData>
                                              </a:graphic>
                                            </wp:inline>
                                          </w:drawing>
                                        </w:r>
                                      </w:p>
                                    </w:tc>
                                    <w:tc>
                                      <w:tcPr>
                                        <w:tcW w:w="0" w:type="auto"/>
                                        <w:shd w:val="clear" w:color="auto" w:fill="auto"/>
                                        <w:tcMar>
                                          <w:left w:w="57" w:type="dxa"/>
                                          <w:right w:w="57" w:type="dxa"/>
                                        </w:tcMar>
                                        <w:vAlign w:val="center"/>
                                      </w:tcPr>
                                      <w:p>
                                        <w:pPr>
                                          <w:spacing w:after="0"/>
                                          <w:rPr>
                                            <w:rFonts w:ascii="Verdana" w:hAnsi="Verdana"/>
                                            <w:sz w:val="14"/>
                                            <w:szCs w:val="14"/>
                                          </w:rPr>
                                        </w:pPr>
                                        <w:r>
                                          <w:rPr>
                                            <w:rFonts w:ascii="Verdana" w:hAnsi="Verdana"/>
                                            <w:noProof/>
                                            <w:sz w:val="14"/>
                                            <w:szCs w:val="14"/>
                                            <w:lang w:eastAsia="en-GB"/>
                                          </w:rPr>
                                          <w:t>Total population</w:t>
                                        </w:r>
                                      </w:p>
                                    </w:tc>
                                  </w:tr>
                                </w:tb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9.8pt;margin-top:15.1pt;width:237.7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Kgg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" stroked="f">
                      <v:textbox>
                        <w:txbxContent>
                          <w:tbl>
                            <w:tblPr>
                              <w:tblW w:w="0" w:type="auto"/>
                              <w:tblBorders>
                                <w:insideH w:val="single" w:sz="4" w:space="0" w:color="auto"/>
                              </w:tblBorders>
                              <w:tblLook w:val="04A0" w:firstRow="1" w:lastRow="0" w:firstColumn="1" w:lastColumn="0" w:noHBand="0" w:noVBand="1"/>
                            </w:tblPr>
                            <w:tblGrid>
                              <w:gridCol w:w="354"/>
                              <w:gridCol w:w="1152"/>
                              <w:gridCol w:w="354"/>
                              <w:gridCol w:w="937"/>
                              <w:gridCol w:w="377"/>
                              <w:gridCol w:w="1250"/>
                            </w:tblGrid>
                            <w:tr>
                              <w:trPr>
                                <w:trHeight w:val="368"/>
                              </w:trPr>
                              <w:tc>
                                <w:tcPr>
                                  <w:tcW w:w="0" w:type="auto"/>
                                  <w:shd w:val="clear" w:color="auto" w:fill="auto"/>
                                  <w:tcMar>
                                    <w:left w:w="57" w:type="dxa"/>
                                    <w:right w:w="57" w:type="dxa"/>
                                  </w:tcMar>
                                  <w:vAlign w:val="center"/>
                                </w:tcPr>
                                <w:p>
                                  <w:pPr>
                                    <w:spacing w:after="0"/>
                                    <w:rPr>
                                      <w:rFonts w:ascii="Verdana" w:hAnsi="Verdana"/>
                                      <w:sz w:val="14"/>
                                      <w:szCs w:val="14"/>
                                    </w:rPr>
                                  </w:pPr>
                                  <w:r>
                                    <w:rPr>
                                      <w:rFonts w:ascii="Verdana" w:hAnsi="Verdana"/>
                                      <w:noProof/>
                                      <w:sz w:val="14"/>
                                      <w:szCs w:val="14"/>
                                      <w:lang w:val="en-US"/>
                                    </w:rPr>
                                    <w:drawing>
                                      <wp:inline distT="0" distB="0" distL="0" distR="0">
                                        <wp:extent cx="142875" cy="1428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shd w:val="clear" w:color="auto" w:fill="auto"/>
                                  <w:tcMar>
                                    <w:left w:w="57" w:type="dxa"/>
                                    <w:right w:w="57" w:type="dxa"/>
                                  </w:tcMar>
                                  <w:vAlign w:val="center"/>
                                </w:tcPr>
                                <w:p>
                                  <w:pPr>
                                    <w:spacing w:after="0"/>
                                    <w:rPr>
                                      <w:rFonts w:ascii="Verdana" w:hAnsi="Verdana"/>
                                      <w:sz w:val="14"/>
                                      <w:szCs w:val="14"/>
                                    </w:rPr>
                                  </w:pPr>
                                  <w:r>
                                    <w:rPr>
                                      <w:rFonts w:ascii="Verdana" w:hAnsi="Verdana"/>
                                      <w:noProof/>
                                      <w:sz w:val="14"/>
                                      <w:szCs w:val="14"/>
                                      <w:lang w:eastAsia="en-GB"/>
                                    </w:rPr>
                                    <w:t xml:space="preserve">Aged under 16 </w:t>
                                  </w:r>
                                </w:p>
                              </w:tc>
                              <w:tc>
                                <w:tcPr>
                                  <w:tcW w:w="0" w:type="auto"/>
                                  <w:shd w:val="clear" w:color="auto" w:fill="auto"/>
                                  <w:tcMar>
                                    <w:left w:w="57" w:type="dxa"/>
                                    <w:right w:w="57" w:type="dxa"/>
                                  </w:tcMar>
                                  <w:vAlign w:val="center"/>
                                </w:tcPr>
                                <w:p>
                                  <w:pPr>
                                    <w:spacing w:after="0"/>
                                    <w:rPr>
                                      <w:rFonts w:ascii="Verdana" w:hAnsi="Verdana"/>
                                      <w:sz w:val="14"/>
                                      <w:szCs w:val="14"/>
                                    </w:rPr>
                                  </w:pPr>
                                  <w:r>
                                    <w:rPr>
                                      <w:rFonts w:ascii="Verdana" w:hAnsi="Verdana"/>
                                      <w:noProof/>
                                      <w:sz w:val="14"/>
                                      <w:szCs w:val="14"/>
                                      <w:lang w:val="en-US"/>
                                    </w:rPr>
                                    <w:drawing>
                                      <wp:inline distT="0" distB="0" distL="0" distR="0">
                                        <wp:extent cx="142875" cy="142875"/>
                                        <wp:effectExtent l="0" t="0" r="9525" b="9525"/>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shd w:val="clear" w:color="auto" w:fill="auto"/>
                                  <w:tcMar>
                                    <w:left w:w="57" w:type="dxa"/>
                                    <w:right w:w="57" w:type="dxa"/>
                                  </w:tcMar>
                                  <w:vAlign w:val="center"/>
                                </w:tcPr>
                                <w:p>
                                  <w:pPr>
                                    <w:spacing w:after="0"/>
                                    <w:rPr>
                                      <w:rFonts w:ascii="Verdana" w:hAnsi="Verdana"/>
                                      <w:sz w:val="14"/>
                                      <w:szCs w:val="14"/>
                                    </w:rPr>
                                  </w:pPr>
                                  <w:r>
                                    <w:rPr>
                                      <w:rFonts w:ascii="Verdana" w:hAnsi="Verdana"/>
                                      <w:sz w:val="14"/>
                                      <w:szCs w:val="14"/>
                                    </w:rPr>
                                    <w:t>Aged 16-29</w:t>
                                  </w:r>
                                </w:p>
                              </w:tc>
                              <w:tc>
                                <w:tcPr>
                                  <w:tcW w:w="0" w:type="auto"/>
                                  <w:shd w:val="clear" w:color="auto" w:fill="auto"/>
                                  <w:tcMar>
                                    <w:left w:w="57" w:type="dxa"/>
                                    <w:right w:w="57" w:type="dxa"/>
                                  </w:tcMar>
                                </w:tcPr>
                                <w:p>
                                  <w:pPr>
                                    <w:spacing w:after="0"/>
                                    <w:rPr>
                                      <w:rFonts w:ascii="Verdana" w:hAnsi="Verdana"/>
                                      <w:sz w:val="14"/>
                                      <w:szCs w:val="14"/>
                                    </w:rPr>
                                  </w:pPr>
                                  <w:r>
                                    <w:rPr>
                                      <w:rFonts w:ascii="Verdana" w:hAnsi="Verdana"/>
                                      <w:noProof/>
                                      <w:sz w:val="14"/>
                                      <w:szCs w:val="14"/>
                                      <w:lang w:val="en-US"/>
                                    </w:rPr>
                                    <w:drawing>
                                      <wp:inline distT="0" distB="0" distL="0" distR="0">
                                        <wp:extent cx="167005" cy="4000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005" cy="40005"/>
                                                </a:xfrm>
                                                <a:prstGeom prst="rect">
                                                  <a:avLst/>
                                                </a:prstGeom>
                                                <a:noFill/>
                                                <a:ln>
                                                  <a:noFill/>
                                                </a:ln>
                                              </pic:spPr>
                                            </pic:pic>
                                          </a:graphicData>
                                        </a:graphic>
                                      </wp:inline>
                                    </w:drawing>
                                  </w:r>
                                </w:p>
                              </w:tc>
                              <w:tc>
                                <w:tcPr>
                                  <w:tcW w:w="0" w:type="auto"/>
                                  <w:shd w:val="clear" w:color="auto" w:fill="auto"/>
                                  <w:tcMar>
                                    <w:left w:w="57" w:type="dxa"/>
                                    <w:right w:w="57" w:type="dxa"/>
                                  </w:tcMar>
                                  <w:vAlign w:val="center"/>
                                </w:tcPr>
                                <w:p>
                                  <w:pPr>
                                    <w:spacing w:after="0"/>
                                    <w:rPr>
                                      <w:rFonts w:ascii="Verdana" w:hAnsi="Verdana"/>
                                      <w:sz w:val="14"/>
                                      <w:szCs w:val="14"/>
                                    </w:rPr>
                                  </w:pPr>
                                  <w:r>
                                    <w:rPr>
                                      <w:rFonts w:ascii="Verdana" w:hAnsi="Verdana"/>
                                      <w:noProof/>
                                      <w:sz w:val="14"/>
                                      <w:szCs w:val="14"/>
                                      <w:lang w:eastAsia="en-GB"/>
                                    </w:rPr>
                                    <w:t>Total population</w:t>
                                  </w:r>
                                </w:p>
                              </w:tc>
                            </w:tr>
                          </w:tbl>
                          <w:p/>
                        </w:txbxContent>
                      </v:textbox>
                    </v:shape>
                  </w:pict>
                </mc:Fallback>
              </mc:AlternateContent>
            </w:r>
            <w:r>
              <w:rPr>
                <w:noProof/>
                <w:snapToGrid/>
                <w:sz w:val="16"/>
              </w:rPr>
              <w:drawing>
                <wp:inline distT="0" distB="0" distL="0" distR="0">
                  <wp:extent cx="5923915" cy="2019935"/>
                  <wp:effectExtent l="0" t="0" r="635" b="0"/>
                  <wp:docPr id="28" name="Picture 28" descr="\\s-eacea-fs03-p\EACEA.A7\Youth\04_Reports\a_EU_Youth_Reports\2018\03_graph\7_F_material_depr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acea-fs03-p\EACEA.A7\Youth\04_Reports\a_EU_Youth_Reports\2018\03_graph\7_F_material_deprivation.jpg"/>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5923915" cy="2019935"/>
                          </a:xfrm>
                          <a:prstGeom prst="rect">
                            <a:avLst/>
                          </a:prstGeom>
                          <a:noFill/>
                          <a:ln>
                            <a:noFill/>
                          </a:ln>
                        </pic:spPr>
                      </pic:pic>
                    </a:graphicData>
                  </a:graphic>
                </wp:inline>
              </w:drawing>
            </w:r>
          </w:p>
        </w:tc>
      </w:tr>
      <w:tr>
        <w:trPr>
          <w:trHeight w:val="20"/>
        </w:trPr>
        <w:tc>
          <w:tcPr>
            <w:tcW w:w="0" w:type="auto"/>
            <w:vMerge/>
            <w:tcBorders>
              <w:top w:val="nil"/>
              <w:left w:val="single" w:sz="4" w:space="0" w:color="auto"/>
              <w:bottom w:val="single" w:sz="4" w:space="0" w:color="auto"/>
              <w:right w:val="single" w:sz="4" w:space="0" w:color="auto"/>
            </w:tcBorders>
            <w:vAlign w:val="center"/>
            <w:hideMark/>
          </w:tcPr>
          <w:p>
            <w:pPr>
              <w:spacing w:after="0" w:line="240" w:lineRule="auto"/>
              <w:rPr>
                <w:b/>
                <w:noProof/>
                <w:color w:val="FFFFFF"/>
                <w:sz w:val="16"/>
                <w:lang w:eastAsia="fr-BE"/>
              </w:rPr>
            </w:pPr>
          </w:p>
        </w:tc>
        <w:tc>
          <w:tcPr>
            <w:tcW w:w="3420" w:type="dxa"/>
            <w:tcBorders>
              <w:top w:val="nil"/>
              <w:left w:val="single" w:sz="4" w:space="0" w:color="auto"/>
              <w:bottom w:val="single" w:sz="4" w:space="0" w:color="auto"/>
              <w:right w:val="nil"/>
            </w:tcBorders>
            <w:tcMar>
              <w:top w:w="57" w:type="dxa"/>
              <w:left w:w="255" w:type="dxa"/>
              <w:bottom w:w="0" w:type="dxa"/>
              <w:right w:w="108" w:type="dxa"/>
            </w:tcMar>
            <w:hideMark/>
          </w:tcPr>
          <w:p>
            <w:pPr>
              <w:pStyle w:val="Yo5TitleFigure"/>
              <w:spacing w:before="60"/>
              <w:ind w:right="467"/>
              <w:jc w:val="center"/>
              <w:rPr>
                <w:sz w:val="14"/>
                <w:szCs w:val="14"/>
              </w:rPr>
            </w:pPr>
            <w:r>
              <w:rPr>
                <w:sz w:val="14"/>
                <w:szCs w:val="14"/>
              </w:rPr>
              <w:t>EU-28 average, by age, 2010-2016</w:t>
            </w:r>
          </w:p>
          <w:p>
            <w:pPr>
              <w:pStyle w:val="Yo5TitleFigure"/>
              <w:tabs>
                <w:tab w:val="left" w:pos="2501"/>
              </w:tabs>
              <w:spacing w:before="0" w:after="0" w:line="240" w:lineRule="auto"/>
              <w:ind w:left="165"/>
              <w:rPr>
                <w:b/>
                <w:color w:val="auto"/>
                <w:sz w:val="14"/>
                <w:szCs w:val="14"/>
              </w:rPr>
            </w:pPr>
            <w:r>
              <w:rPr>
                <w:color w:val="auto"/>
                <w:sz w:val="14"/>
                <w:szCs w:val="14"/>
              </w:rPr>
              <w:t>%</w:t>
            </w:r>
            <w:r>
              <w:rPr>
                <w:lang w:eastAsia="en-GB"/>
              </w:rPr>
              <w:tab/>
              <w:t xml:space="preserve"> </w:t>
            </w:r>
            <w:r>
              <w:rPr>
                <w:color w:val="auto"/>
                <w:sz w:val="14"/>
                <w:szCs w:val="14"/>
                <w:lang w:eastAsia="en-GB"/>
              </w:rPr>
              <w:t>%</w:t>
            </w:r>
          </w:p>
          <w:p>
            <w:pPr>
              <w:pStyle w:val="Yo5TextNotes"/>
              <w:tabs>
                <w:tab w:val="clear" w:pos="1985"/>
                <w:tab w:val="right" w:pos="8722"/>
              </w:tabs>
              <w:spacing w:after="120"/>
              <w:rPr>
                <w:noProof/>
                <w:lang w:eastAsia="en-GB"/>
              </w:rPr>
            </w:pPr>
            <w:r>
              <w:rPr>
                <w:noProof/>
                <w:snapToGrid/>
                <w:lang w:val="en-US"/>
              </w:rPr>
              <w:drawing>
                <wp:inline distT="0" distB="0" distL="0" distR="0">
                  <wp:extent cx="1812925" cy="1359535"/>
                  <wp:effectExtent l="0" t="0" r="0" b="0"/>
                  <wp:docPr id="29" name="Picture 29" descr="\\s-eacea-fs03-p\EACEA.A7\Youth\04_Reports\a_EU_Youth_Reports\2018\03_graph\7_F_b_material_deprivation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acea-fs03-p\EACEA.A7\Youth\04_Reports\a_EU_Youth_Reports\2018\03_graph\7_F_b_material_deprivation_EU.jpg"/>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1812925" cy="1359535"/>
                          </a:xfrm>
                          <a:prstGeom prst="rect">
                            <a:avLst/>
                          </a:prstGeom>
                          <a:noFill/>
                          <a:ln>
                            <a:noFill/>
                          </a:ln>
                        </pic:spPr>
                      </pic:pic>
                    </a:graphicData>
                  </a:graphic>
                </wp:inline>
              </w:drawing>
            </w:r>
          </w:p>
          <w:tbl>
            <w:tblPr>
              <w:tblW w:w="0" w:type="auto"/>
              <w:tblBorders>
                <w:insideH w:val="single" w:sz="4" w:space="0" w:color="auto"/>
              </w:tblBorders>
              <w:tblLook w:val="04A0" w:firstRow="1" w:lastRow="0" w:firstColumn="1" w:lastColumn="0" w:noHBand="0" w:noVBand="1"/>
            </w:tblPr>
            <w:tblGrid>
              <w:gridCol w:w="430"/>
              <w:gridCol w:w="520"/>
              <w:gridCol w:w="414"/>
              <w:gridCol w:w="520"/>
              <w:gridCol w:w="466"/>
              <w:gridCol w:w="565"/>
            </w:tblGrid>
            <w:tr>
              <w:tc>
                <w:tcPr>
                  <w:tcW w:w="430" w:type="dxa"/>
                  <w:shd w:val="clear" w:color="auto" w:fill="auto"/>
                  <w:tcMar>
                    <w:left w:w="57" w:type="dxa"/>
                    <w:right w:w="57" w:type="dxa"/>
                  </w:tcMar>
                  <w:vAlign w:val="center"/>
                </w:tcPr>
                <w:p>
                  <w:pPr>
                    <w:pStyle w:val="Yo5TextNotes"/>
                    <w:tabs>
                      <w:tab w:val="clear" w:pos="1985"/>
                      <w:tab w:val="right" w:pos="8722"/>
                    </w:tabs>
                    <w:jc w:val="center"/>
                    <w:rPr>
                      <w:noProof/>
                      <w:sz w:val="20"/>
                      <w:szCs w:val="20"/>
                      <w:lang w:eastAsia="en-GB"/>
                    </w:rPr>
                  </w:pPr>
                  <w:r>
                    <w:rPr>
                      <w:noProof/>
                      <w:color w:val="FFA3A4"/>
                      <w:sz w:val="20"/>
                      <w:szCs w:val="20"/>
                      <w:lang w:val="en-GB"/>
                    </w:rPr>
                    <w:sym w:font="Wingdings 2" w:char="F098"/>
                  </w:r>
                </w:p>
              </w:tc>
              <w:tc>
                <w:tcPr>
                  <w:tcW w:w="520" w:type="dxa"/>
                  <w:shd w:val="clear" w:color="auto" w:fill="auto"/>
                  <w:tcMar>
                    <w:left w:w="57" w:type="dxa"/>
                    <w:right w:w="57" w:type="dxa"/>
                  </w:tcMar>
                  <w:vAlign w:val="center"/>
                </w:tcPr>
                <w:p>
                  <w:pPr>
                    <w:pStyle w:val="Yo5TextNotes"/>
                    <w:tabs>
                      <w:tab w:val="clear" w:pos="1985"/>
                      <w:tab w:val="right" w:pos="8722"/>
                    </w:tabs>
                    <w:jc w:val="left"/>
                    <w:rPr>
                      <w:noProof/>
                      <w:sz w:val="12"/>
                      <w:szCs w:val="12"/>
                      <w:lang w:val="en-GB" w:eastAsia="en-GB"/>
                    </w:rPr>
                  </w:pPr>
                  <w:r>
                    <w:rPr>
                      <w:noProof/>
                      <w:sz w:val="12"/>
                      <w:szCs w:val="12"/>
                      <w:lang w:val="en-GB" w:eastAsia="en-GB"/>
                    </w:rPr>
                    <w:t>Aged &lt;16</w:t>
                  </w:r>
                </w:p>
              </w:tc>
              <w:tc>
                <w:tcPr>
                  <w:tcW w:w="414" w:type="dxa"/>
                  <w:shd w:val="clear" w:color="auto" w:fill="auto"/>
                  <w:tcMar>
                    <w:left w:w="57" w:type="dxa"/>
                    <w:right w:w="57" w:type="dxa"/>
                  </w:tcMar>
                  <w:vAlign w:val="center"/>
                </w:tcPr>
                <w:p>
                  <w:pPr>
                    <w:pStyle w:val="Yo5TextNotes"/>
                    <w:tabs>
                      <w:tab w:val="clear" w:pos="1985"/>
                      <w:tab w:val="right" w:pos="8722"/>
                    </w:tabs>
                    <w:jc w:val="center"/>
                    <w:rPr>
                      <w:noProof/>
                      <w:lang w:eastAsia="en-GB"/>
                    </w:rPr>
                  </w:pPr>
                  <w:r>
                    <w:rPr>
                      <w:noProof/>
                      <w:snapToGrid/>
                      <w:lang w:val="en-US"/>
                    </w:rPr>
                    <w:drawing>
                      <wp:inline distT="0" distB="0" distL="0" distR="0">
                        <wp:extent cx="119380" cy="1193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c>
                <w:tcPr>
                  <w:tcW w:w="520" w:type="dxa"/>
                  <w:shd w:val="clear" w:color="auto" w:fill="auto"/>
                  <w:tcMar>
                    <w:left w:w="57" w:type="dxa"/>
                    <w:right w:w="57" w:type="dxa"/>
                  </w:tcMar>
                  <w:vAlign w:val="center"/>
                </w:tcPr>
                <w:p>
                  <w:pPr>
                    <w:pStyle w:val="Yo5TextNotes"/>
                    <w:tabs>
                      <w:tab w:val="clear" w:pos="1985"/>
                      <w:tab w:val="right" w:pos="8722"/>
                    </w:tabs>
                    <w:jc w:val="left"/>
                    <w:rPr>
                      <w:noProof/>
                      <w:sz w:val="12"/>
                      <w:szCs w:val="12"/>
                      <w:lang w:eastAsia="en-GB"/>
                    </w:rPr>
                  </w:pPr>
                  <w:r>
                    <w:rPr>
                      <w:noProof/>
                      <w:sz w:val="12"/>
                      <w:szCs w:val="12"/>
                      <w:lang w:val="en-GB" w:eastAsia="en-GB"/>
                    </w:rPr>
                    <w:t>Aged 16-29</w:t>
                  </w:r>
                </w:p>
              </w:tc>
              <w:tc>
                <w:tcPr>
                  <w:tcW w:w="466" w:type="dxa"/>
                  <w:shd w:val="clear" w:color="auto" w:fill="auto"/>
                  <w:tcMar>
                    <w:left w:w="57" w:type="dxa"/>
                    <w:right w:w="57" w:type="dxa"/>
                  </w:tcMar>
                  <w:vAlign w:val="center"/>
                </w:tcPr>
                <w:p>
                  <w:pPr>
                    <w:pStyle w:val="Yo5TextNotes"/>
                    <w:tabs>
                      <w:tab w:val="clear" w:pos="1985"/>
                      <w:tab w:val="right" w:pos="8722"/>
                    </w:tabs>
                    <w:jc w:val="center"/>
                    <w:rPr>
                      <w:noProof/>
                      <w:sz w:val="22"/>
                      <w:szCs w:val="22"/>
                      <w:lang w:eastAsia="en-GB"/>
                    </w:rPr>
                  </w:pPr>
                  <w:r>
                    <w:rPr>
                      <w:noProof/>
                      <w:color w:val="5F0312"/>
                      <w:sz w:val="22"/>
                      <w:szCs w:val="22"/>
                      <w:lang w:val="en-GB"/>
                    </w:rPr>
                    <w:sym w:font="Wingdings 2" w:char="F0BF"/>
                  </w:r>
                </w:p>
              </w:tc>
              <w:tc>
                <w:tcPr>
                  <w:tcW w:w="565" w:type="dxa"/>
                  <w:shd w:val="clear" w:color="auto" w:fill="auto"/>
                  <w:tcMar>
                    <w:left w:w="57" w:type="dxa"/>
                    <w:right w:w="57" w:type="dxa"/>
                  </w:tcMar>
                  <w:vAlign w:val="center"/>
                </w:tcPr>
                <w:p>
                  <w:pPr>
                    <w:pStyle w:val="Yo5TextNotes"/>
                    <w:tabs>
                      <w:tab w:val="clear" w:pos="1985"/>
                      <w:tab w:val="right" w:pos="8722"/>
                    </w:tabs>
                    <w:jc w:val="left"/>
                    <w:rPr>
                      <w:noProof/>
                      <w:lang w:eastAsia="en-GB"/>
                    </w:rPr>
                  </w:pPr>
                  <w:r>
                    <w:rPr>
                      <w:noProof/>
                      <w:sz w:val="12"/>
                      <w:szCs w:val="12"/>
                      <w:lang w:val="en-GB" w:eastAsia="en-GB"/>
                    </w:rPr>
                    <w:t>Total</w:t>
                  </w:r>
                </w:p>
              </w:tc>
            </w:tr>
          </w:tbl>
          <w:p>
            <w:pPr>
              <w:pStyle w:val="Yo5TextNotes"/>
              <w:tabs>
                <w:tab w:val="clear" w:pos="1985"/>
                <w:tab w:val="right" w:pos="8722"/>
              </w:tabs>
              <w:rPr>
                <w:noProof/>
                <w:lang w:eastAsia="en-GB"/>
              </w:rPr>
            </w:pPr>
          </w:p>
        </w:tc>
        <w:tc>
          <w:tcPr>
            <w:tcW w:w="0" w:type="auto"/>
            <w:tcBorders>
              <w:top w:val="nil"/>
              <w:left w:val="nil"/>
              <w:bottom w:val="single" w:sz="4" w:space="0" w:color="auto"/>
              <w:right w:val="single" w:sz="4" w:space="0" w:color="auto"/>
            </w:tcBorders>
            <w:hideMark/>
          </w:tcPr>
          <w:p>
            <w:pPr>
              <w:pStyle w:val="Yo5TextNotes"/>
              <w:tabs>
                <w:tab w:val="clear" w:pos="1985"/>
                <w:tab w:val="right" w:pos="8722"/>
              </w:tabs>
              <w:ind w:left="175"/>
              <w:rPr>
                <w:noProof/>
                <w:lang w:val="en-GB" w:eastAsia="en-GB"/>
              </w:rPr>
            </w:pPr>
          </w:p>
          <w:p>
            <w:pPr>
              <w:pStyle w:val="Yo5TextNotes"/>
              <w:tabs>
                <w:tab w:val="clear" w:pos="1985"/>
                <w:tab w:val="right" w:pos="8722"/>
              </w:tabs>
              <w:ind w:left="175"/>
              <w:rPr>
                <w:noProof/>
                <w:lang w:val="en-GB" w:eastAsia="en-GB"/>
              </w:rPr>
            </w:pPr>
          </w:p>
          <w:p>
            <w:pPr>
              <w:pStyle w:val="Yo5TextNotes"/>
              <w:tabs>
                <w:tab w:val="clear" w:pos="1985"/>
                <w:tab w:val="right" w:pos="8722"/>
              </w:tabs>
              <w:ind w:left="175"/>
              <w:rPr>
                <w:noProof/>
                <w:szCs w:val="14"/>
                <w:lang w:val="en-GB"/>
              </w:rPr>
            </w:pPr>
            <w:r>
              <w:rPr>
                <w:i/>
                <w:noProof/>
                <w:szCs w:val="14"/>
                <w:lang w:val="en-GB"/>
              </w:rPr>
              <w:t>Notes</w:t>
            </w:r>
            <w:r>
              <w:rPr>
                <w:noProof/>
                <w:szCs w:val="14"/>
                <w:lang w:val="en-GB"/>
              </w:rPr>
              <w:t>: The severe material deprivation rate is defined as the percentage of the population that cannot afford at least four of the following nine pre-defined items: 1) to pay their rent, mortgage or utility bills, 2) to keep their home adequately warm, 3) to face unexpected expenses, 4) to eat meat or protein regularly, 5) to go on holiday, or to buy a: 6) TV, 7) refrigerator, 8) car, or 9) a telephone.</w:t>
            </w:r>
          </w:p>
          <w:p>
            <w:pPr>
              <w:pStyle w:val="Yo5TextNotes"/>
              <w:tabs>
                <w:tab w:val="clear" w:pos="1985"/>
                <w:tab w:val="right" w:pos="8722"/>
              </w:tabs>
              <w:ind w:left="175"/>
              <w:rPr>
                <w:noProof/>
                <w:szCs w:val="14"/>
                <w:lang w:val="en-GB"/>
              </w:rPr>
            </w:pPr>
          </w:p>
          <w:p>
            <w:pPr>
              <w:pStyle w:val="Yo5TextNotes"/>
              <w:tabs>
                <w:tab w:val="clear" w:pos="1985"/>
                <w:tab w:val="right" w:pos="8722"/>
              </w:tabs>
              <w:ind w:left="175"/>
              <w:rPr>
                <w:noProof/>
                <w:lang w:val="en-GB" w:eastAsia="en-GB"/>
              </w:rPr>
            </w:pPr>
            <w:r>
              <w:rPr>
                <w:i/>
                <w:noProof/>
                <w:lang w:val="en-GB" w:eastAsia="en-GB"/>
              </w:rPr>
              <w:t xml:space="preserve">Source: </w:t>
            </w:r>
            <w:r>
              <w:rPr>
                <w:noProof/>
                <w:lang w:val="en-GB" w:eastAsia="en-GB"/>
              </w:rPr>
              <w:t>Eurostat, Statistics on income and living conditions (SILC) [ilc_mddd11]. Data extracted on 09.01.2018.</w:t>
            </w:r>
          </w:p>
        </w:tc>
      </w:tr>
    </w:tbl>
    <w:p>
      <w:pPr>
        <w:pStyle w:val="Yo5TextNotesbeforeafter"/>
        <w:rPr>
          <w:noProof/>
          <w:lang w:val="en-GB"/>
        </w:rPr>
      </w:pPr>
    </w:p>
    <w:tbl>
      <w:tblPr>
        <w:tblpPr w:leftFromText="181" w:rightFromText="181" w:vertAnchor="text" w:horzAnchor="margin" w:tblpXSpec="right" w:tblpY="664"/>
        <w:tblOverlap w:val="never"/>
        <w:tblW w:w="0" w:type="auto"/>
        <w:shd w:val="clear" w:color="auto" w:fill="FFA3A4"/>
        <w:tblLook w:val="04A0" w:firstRow="1" w:lastRow="0" w:firstColumn="1" w:lastColumn="0" w:noHBand="0" w:noVBand="1"/>
      </w:tblPr>
      <w:tblGrid>
        <w:gridCol w:w="3153"/>
      </w:tblGrid>
      <w:tr>
        <w:tc>
          <w:tcPr>
            <w:tcW w:w="3153" w:type="dxa"/>
            <w:shd w:val="clear" w:color="auto" w:fill="FFA3A4"/>
            <w:hideMark/>
          </w:tcPr>
          <w:p>
            <w:pPr>
              <w:pStyle w:val="Yo12Encart"/>
              <w:framePr w:hSpace="0" w:wrap="auto" w:vAnchor="margin" w:hAnchor="text" w:xAlign="left" w:yAlign="inline"/>
              <w:suppressOverlap w:val="0"/>
              <w:rPr>
                <w:noProof/>
                <w:sz w:val="22"/>
                <w:szCs w:val="22"/>
              </w:rPr>
            </w:pPr>
            <w:r>
              <w:rPr>
                <w:noProof/>
                <w:sz w:val="22"/>
                <w:szCs w:val="22"/>
              </w:rPr>
              <w:t>Material deprivation rates have been decreasing since 2012 in the EU and are now at a lower level than in 2010 for all age groups. However, particular regions remain vulnerable. Most notably, material deprivation rates are still increasing in Greece.</w:t>
            </w:r>
          </w:p>
        </w:tc>
      </w:tr>
    </w:tbl>
    <w:p>
      <w:pPr>
        <w:pStyle w:val="Yo1Textpara"/>
        <w:rPr>
          <w:noProof/>
        </w:rPr>
      </w:pPr>
      <w:r>
        <w:rPr>
          <w:noProof/>
        </w:rPr>
        <w:t>In the EU-28, the severe material deprivation rates for all age groups were increasing until 2012 but have been decreasing quite considerably since, pointing towards a gradual recovery after the economic crisis (see also Chapter 3). In 2016, material deprivation rates were at a lower level than in 2010, at 8.3 % for children and 8.7 % for young people (Figure 7-F-b). The decrease between 2010 and 2016 has again been the most substantial in Latvia, with a fall of 19.3 percentage points among children under 16 years of age and 15.8 percentage points among young people aged 16 to 29 (</w:t>
      </w:r>
      <w:r>
        <w:rPr>
          <w:rStyle w:val="FootnoteReference"/>
          <w:noProof/>
        </w:rPr>
        <w:footnoteReference w:id="19"/>
      </w:r>
      <w:r>
        <w:rPr>
          <w:noProof/>
        </w:rPr>
        <w:t xml:space="preserve">). In addition, despite material deprivation rates still being the highest in Bulgaria, this country has also seen a relatively large decrease in material deprivation </w:t>
      </w:r>
      <w:r>
        <w:rPr>
          <w:noProof/>
        </w:rPr>
        <w:sym w:font="Symbol" w:char="F02D"/>
      </w:r>
      <w:r>
        <w:rPr>
          <w:noProof/>
        </w:rPr>
        <w:t xml:space="preserve"> 9.6 percentage points for children and 11 percentage points for young people (</w:t>
      </w:r>
      <w:r>
        <w:rPr>
          <w:rStyle w:val="FootnoteReference"/>
          <w:noProof/>
        </w:rPr>
        <w:footnoteReference w:id="20"/>
      </w:r>
      <w:r>
        <w:rPr>
          <w:noProof/>
        </w:rPr>
        <w:t>). In contrast, material deprivation is very high and is still increasing in Greece, indicating that the economic crisis is not yet over in this country. Between 2010 and 2016, the rates increased by 13.4 percentage points among children and 16.1 percentage points among young people (</w:t>
      </w:r>
      <w:r>
        <w:rPr>
          <w:rStyle w:val="FootnoteReference"/>
          <w:noProof/>
        </w:rPr>
        <w:footnoteReference w:id="21"/>
      </w:r>
      <w:r>
        <w:rPr>
          <w:noProof/>
        </w:rPr>
        <w:t>).</w:t>
      </w:r>
    </w:p>
    <w:p>
      <w:pPr>
        <w:pStyle w:val="Yo5TextEUYouthTOC"/>
        <w:framePr w:hSpace="0" w:wrap="auto" w:vAnchor="margin" w:hAnchor="text" w:xAlign="left" w:yAlign="inline"/>
        <w:spacing w:before="240"/>
        <w:rPr>
          <w:rFonts w:eastAsia="Times New Roman"/>
          <w:color w:val="DA1E48"/>
          <w:spacing w:val="20"/>
          <w:sz w:val="24"/>
          <w:szCs w:val="24"/>
        </w:rPr>
      </w:pPr>
      <w:r>
        <w:rPr>
          <w:rFonts w:eastAsia="Times New Roman"/>
          <w:color w:val="DA1E48"/>
          <w:spacing w:val="20"/>
          <w:sz w:val="24"/>
          <w:szCs w:val="24"/>
        </w:rPr>
        <w:t>7.3.3. Households with very low work intensity</w:t>
      </w:r>
    </w:p>
    <w:p>
      <w:pPr>
        <w:pStyle w:val="Yo1Textpara"/>
        <w:rPr>
          <w:noProof/>
        </w:rPr>
      </w:pPr>
      <w:r>
        <w:rPr>
          <w:noProof/>
        </w:rPr>
        <w:t>Since unemployment influences poverty and social exclusion levels to a great extent, this section focuses on children and young people living in households with very low work intensity (</w:t>
      </w:r>
      <w:r>
        <w:rPr>
          <w:rStyle w:val="FootnoteReference"/>
          <w:rFonts w:ascii="Arial" w:hAnsi="Arial" w:cs="Arial"/>
          <w:noProof/>
          <w:sz w:val="20"/>
        </w:rPr>
        <w:footnoteReference w:id="22"/>
      </w:r>
      <w:r>
        <w:rPr>
          <w:noProof/>
        </w:rPr>
        <w:t>). This is the third sub-indicator of the main composite indicator of poverty or social exclusion. A low work-intensity household is one where working-age household members worked only 20 % or less of the total number of months they could potentially have worked within a given reference period; i.e., the work intensity of household members is equal to or below the threshold of 0.20. It is important to note that below the age of 25, students are not regarded as part of the working-age population; this means that households composed only of students aged under 25 are excluded from the indicator calculation (</w:t>
      </w:r>
      <w:r>
        <w:rPr>
          <w:rStyle w:val="FootnoteReference"/>
          <w:rFonts w:ascii="Arial" w:hAnsi="Arial" w:cs="Arial"/>
          <w:noProof/>
          <w:sz w:val="20"/>
        </w:rPr>
        <w:footnoteReference w:id="23"/>
      </w:r>
      <w:r>
        <w:rPr>
          <w:noProof/>
        </w:rPr>
        <w:t>).</w:t>
      </w:r>
    </w:p>
    <w:p>
      <w:pPr>
        <w:pStyle w:val="Yo1Textpara"/>
        <w:rPr>
          <w:noProof/>
        </w:rPr>
      </w:pPr>
      <w:r>
        <w:rPr>
          <w:noProof/>
        </w:rPr>
        <w:t>For this reason, the age groups analysed in this section are different from the ones examined above. Children are defined as those under the age of 18, and young people aged 18-24 and 25-29 are looked at separately. In addition, the reference group is the prime working age population (aged 25-59) instead of the total population.</w:t>
      </w:r>
    </w:p>
    <w:tbl>
      <w:tblPr>
        <w:tblpPr w:leftFromText="181" w:rightFromText="181" w:vertAnchor="text" w:horzAnchor="margin" w:tblpXSpec="right" w:tblpY="902"/>
        <w:tblOverlap w:val="never"/>
        <w:tblW w:w="0" w:type="auto"/>
        <w:shd w:val="clear" w:color="auto" w:fill="FFA3A4"/>
        <w:tblLook w:val="04A0" w:firstRow="1" w:lastRow="0" w:firstColumn="1" w:lastColumn="0" w:noHBand="0" w:noVBand="1"/>
      </w:tblPr>
      <w:tblGrid>
        <w:gridCol w:w="3153"/>
      </w:tblGrid>
      <w:tr>
        <w:tc>
          <w:tcPr>
            <w:tcW w:w="3153" w:type="dxa"/>
            <w:shd w:val="clear" w:color="auto" w:fill="FFA3A4"/>
            <w:hideMark/>
          </w:tcPr>
          <w:p>
            <w:pPr>
              <w:pStyle w:val="Yo12Encart"/>
              <w:framePr w:hSpace="0" w:wrap="auto" w:vAnchor="margin" w:hAnchor="text" w:xAlign="left" w:yAlign="inline"/>
              <w:suppressOverlap w:val="0"/>
              <w:rPr>
                <w:noProof/>
                <w:sz w:val="22"/>
                <w:szCs w:val="22"/>
                <w:highlight w:val="yellow"/>
              </w:rPr>
            </w:pPr>
            <w:r>
              <w:rPr>
                <w:noProof/>
                <w:sz w:val="22"/>
                <w:szCs w:val="22"/>
              </w:rPr>
              <w:t>In contrast to general trends, the proportion of young people living in households with very low work intensity is still increasing.</w:t>
            </w:r>
          </w:p>
        </w:tc>
      </w:tr>
    </w:tbl>
    <w:p>
      <w:pPr>
        <w:pStyle w:val="Yo1Textpara"/>
        <w:rPr>
          <w:noProof/>
        </w:rPr>
      </w:pPr>
      <w:r>
        <w:rPr>
          <w:noProof/>
        </w:rPr>
        <w:t xml:space="preserve">In 2016 in the EU-28, 9.3 % of children, 11.0 % of young people aged 18-24 and 12.1 % of young people aged 25-29 were living in households with very low work intensity (Figure 7-G). This average figure is lower for children and higher for young people than it is for the prime working age population. As Figure 7-G depicts, in recent years, the most vulnerable group has become the oldest age group within the youth cohort: the proportion of young people aged 25-29 living in households with very low work intensity grew by 2 percentage points between 2010 and 2016. Moreover, the increasing trend is apparent for both age groups within the youth population, which is to be contrasted with recent decreases both in this rate for children and the prime working age population and in youth unemployment rates (Chapter 3). </w:t>
      </w:r>
    </w:p>
    <w:p>
      <w:pPr>
        <w:pStyle w:val="Yo1Textpara"/>
        <w:rPr>
          <w:noProof/>
        </w:rPr>
      </w:pPr>
      <w:r>
        <w:rPr>
          <w:noProof/>
        </w:rPr>
        <w:t xml:space="preserve">When looking at cross-country differences in the percentages of young people living in households with very low work intensity, it should be kept in mind that there are differences in calculating this indicator for the different age groups. In the 18-24 age group, households comprising only students are excluded from the sample; however, these households are included for the 25-29 age group. This means that in countries where students tend to stay in higher education for a longer period of time or where many start studying at a later age, the percentages of low work intensity households will be higher. </w:t>
      </w:r>
    </w:p>
    <w:p>
      <w:pPr>
        <w:pStyle w:val="Yo1Textpara"/>
        <w:rPr>
          <w:noProof/>
        </w:rPr>
      </w:pPr>
      <w:r>
        <w:rPr>
          <w:noProof/>
        </w:rPr>
        <w:t>The largest percentages of young people aged 18 to 24 living in households with very low work intensity can be found in Greece (21.9 %) and Serbia (20.5 %), while the smallest percentages are in Estonia (5.6 %), Malta (5.7 %), Poland (5.5 %) and Slovakia (5.8 %). In this age group, students do not count as being part of the working-age population, so they are only included in the sample if they still live with their parents.</w:t>
      </w:r>
    </w:p>
    <w:p>
      <w:pPr>
        <w:pStyle w:val="Yo1Textpara"/>
        <w:rPr>
          <w:noProof/>
        </w:rPr>
      </w:pPr>
      <w:r>
        <w:rPr>
          <w:noProof/>
        </w:rPr>
        <w:t>In the 25 to 29 age group, the highest proportions of young people living in households with very low work intensity can be found in Denmark (31.9 %), Greece (22.5 %), Serbia (19.2 %) and Italy (19.0 %). The lowest proportions are in Czech Republic (3.8 %) and Estonia (3.2 %).</w:t>
      </w:r>
    </w:p>
    <w:p>
      <w:pPr>
        <w:pStyle w:val="Yo5TitleFigure"/>
        <w:jc w:val="both"/>
      </w:pPr>
      <w:r>
        <w:rPr>
          <w:b/>
        </w:rPr>
        <w:t xml:space="preserve">Figure 7-G: </w:t>
      </w:r>
      <w:r>
        <w:t>Proportion of</w:t>
      </w:r>
      <w:r>
        <w:rPr>
          <w:b/>
        </w:rPr>
        <w:t xml:space="preserve"> </w:t>
      </w:r>
      <w:r>
        <w:t>people living in households with very low work intensity, by country and age, 2016</w:t>
      </w: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472"/>
        <w:gridCol w:w="4032"/>
        <w:gridCol w:w="6059"/>
      </w:tblGrid>
      <w:tr>
        <w:trPr>
          <w:trHeight w:val="2949"/>
        </w:trPr>
        <w:tc>
          <w:tcPr>
            <w:tcW w:w="0" w:type="auto"/>
            <w:vMerge w:val="restart"/>
            <w:tcBorders>
              <w:top w:val="single" w:sz="4" w:space="0" w:color="auto"/>
              <w:left w:val="single" w:sz="4" w:space="0" w:color="auto"/>
              <w:bottom w:val="single" w:sz="4" w:space="0" w:color="auto"/>
              <w:right w:val="single" w:sz="4" w:space="0" w:color="auto"/>
            </w:tcBorders>
            <w:shd w:val="clear" w:color="auto" w:fill="FB5F5F"/>
            <w:textDirection w:val="btLr"/>
            <w:vAlign w:val="bottom"/>
            <w:hideMark/>
          </w:tcPr>
          <w:p>
            <w:pPr>
              <w:pStyle w:val="Yo13YouthIndicator"/>
              <w:jc w:val="center"/>
              <w:rPr>
                <w:noProof/>
                <w:lang w:eastAsia="fr-BE"/>
              </w:rPr>
            </w:pPr>
            <w:r>
              <w:rPr>
                <w:noProof/>
              </w:rPr>
              <w:t>EU youth indicator</w:t>
            </w:r>
          </w:p>
        </w:tc>
        <w:tc>
          <w:tcPr>
            <w:tcW w:w="10092" w:type="dxa"/>
            <w:gridSpan w:val="2"/>
            <w:tcBorders>
              <w:top w:val="single" w:sz="4" w:space="0" w:color="auto"/>
              <w:left w:val="single" w:sz="4" w:space="0" w:color="auto"/>
              <w:bottom w:val="nil"/>
              <w:right w:val="single" w:sz="4" w:space="0" w:color="auto"/>
            </w:tcBorders>
            <w:hideMark/>
          </w:tcPr>
          <w:p>
            <w:pPr>
              <w:pStyle w:val="Yo5TextNotes"/>
              <w:tabs>
                <w:tab w:val="clear" w:pos="1985"/>
                <w:tab w:val="left" w:pos="9094"/>
              </w:tabs>
              <w:ind w:left="457"/>
              <w:rPr>
                <w:noProof/>
                <w:lang w:eastAsia="en-GB"/>
              </w:rPr>
            </w:pPr>
            <w:r>
              <w:rPr>
                <w:noProof/>
                <w:lang w:eastAsia="en-GB"/>
              </w:rPr>
              <w:t xml:space="preserve">  %</w:t>
            </w:r>
            <w:r>
              <w:rPr>
                <w:noProof/>
                <w:lang w:eastAsia="en-GB"/>
              </w:rPr>
              <w:tab/>
              <w:t>%</w:t>
            </w:r>
          </w:p>
          <w:p>
            <w:pPr>
              <w:pStyle w:val="Yo5TextNotesafter"/>
              <w:jc w:val="center"/>
              <w:rPr>
                <w:noProof/>
                <w:sz w:val="16"/>
              </w:rPr>
            </w:pPr>
            <w:r>
              <w:rPr>
                <w:noProof/>
                <w:snapToGrid/>
              </w:rPr>
              <mc:AlternateContent>
                <mc:Choice Requires="wps">
                  <w:drawing>
                    <wp:anchor distT="0" distB="0" distL="114300" distR="114300" simplePos="0" relativeHeight="251657216" behindDoc="0" locked="0" layoutInCell="1" allowOverlap="1">
                      <wp:simplePos x="0" y="0"/>
                      <wp:positionH relativeFrom="column">
                        <wp:posOffset>2883535</wp:posOffset>
                      </wp:positionH>
                      <wp:positionV relativeFrom="paragraph">
                        <wp:posOffset>213995</wp:posOffset>
                      </wp:positionV>
                      <wp:extent cx="2677160" cy="266700"/>
                      <wp:effectExtent l="0" t="4445" r="1905"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insideH w:val="single" w:sz="4" w:space="0" w:color="auto"/>
                                    </w:tblBorders>
                                    <w:tblLook w:val="04A0" w:firstRow="1" w:lastRow="0" w:firstColumn="1" w:lastColumn="0" w:noHBand="0" w:noVBand="1"/>
                                  </w:tblPr>
                                  <w:tblGrid>
                                    <w:gridCol w:w="354"/>
                                    <w:gridCol w:w="937"/>
                                    <w:gridCol w:w="354"/>
                                    <w:gridCol w:w="937"/>
                                    <w:gridCol w:w="377"/>
                                    <w:gridCol w:w="937"/>
                                  </w:tblGrid>
                                  <w:tr>
                                    <w:trPr>
                                      <w:trHeight w:val="368"/>
                                    </w:trPr>
                                    <w:tc>
                                      <w:tcPr>
                                        <w:tcW w:w="0" w:type="auto"/>
                                        <w:shd w:val="clear" w:color="auto" w:fill="auto"/>
                                        <w:tcMar>
                                          <w:left w:w="57" w:type="dxa"/>
                                          <w:right w:w="57" w:type="dxa"/>
                                        </w:tcMar>
                                        <w:vAlign w:val="center"/>
                                      </w:tcPr>
                                      <w:p>
                                        <w:pPr>
                                          <w:spacing w:after="0"/>
                                          <w:rPr>
                                            <w:rFonts w:ascii="Verdana" w:hAnsi="Verdana"/>
                                            <w:sz w:val="14"/>
                                            <w:szCs w:val="14"/>
                                          </w:rPr>
                                        </w:pPr>
                                        <w:r>
                                          <w:rPr>
                                            <w:noProof/>
                                            <w:lang w:val="en-US"/>
                                          </w:rPr>
                                          <w:drawing>
                                            <wp:inline distT="0" distB="0" distL="0" distR="0">
                                              <wp:extent cx="142875" cy="142875"/>
                                              <wp:effectExtent l="0" t="0" r="9525" b="9525"/>
                                              <wp:docPr id="103" name="Picture 103" descr="G:\YOUTH\TOOLS\key_youth\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YOUTH\TOOLS\key_youth\R2.jpg"/>
                                                      <pic:cNvPicPr>
                                                        <a:picLocks noChangeAspect="1" noChangeArrowheads="1"/>
                                                      </pic:cNvPicPr>
                                                    </pic:nvPicPr>
                                                    <pic:blipFill>
                                                      <a:blip r:embed="rId63" r:link="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shd w:val="clear" w:color="auto" w:fill="auto"/>
                                        <w:tcMar>
                                          <w:left w:w="57" w:type="dxa"/>
                                          <w:right w:w="57" w:type="dxa"/>
                                        </w:tcMar>
                                        <w:vAlign w:val="center"/>
                                      </w:tcPr>
                                      <w:p>
                                        <w:pPr>
                                          <w:spacing w:after="0"/>
                                          <w:rPr>
                                            <w:rFonts w:ascii="Verdana" w:hAnsi="Verdana"/>
                                            <w:sz w:val="14"/>
                                            <w:szCs w:val="14"/>
                                          </w:rPr>
                                        </w:pPr>
                                        <w:r>
                                          <w:rPr>
                                            <w:rFonts w:ascii="Verdana" w:hAnsi="Verdana"/>
                                            <w:noProof/>
                                            <w:sz w:val="14"/>
                                            <w:szCs w:val="14"/>
                                            <w:lang w:eastAsia="en-GB"/>
                                          </w:rPr>
                                          <w:t>Aged 18-24</w:t>
                                        </w:r>
                                      </w:p>
                                    </w:tc>
                                    <w:tc>
                                      <w:tcPr>
                                        <w:tcW w:w="0" w:type="auto"/>
                                        <w:shd w:val="clear" w:color="auto" w:fill="auto"/>
                                        <w:tcMar>
                                          <w:left w:w="57" w:type="dxa"/>
                                          <w:right w:w="57" w:type="dxa"/>
                                        </w:tcMar>
                                        <w:vAlign w:val="center"/>
                                      </w:tcPr>
                                      <w:p>
                                        <w:pPr>
                                          <w:spacing w:after="0"/>
                                          <w:rPr>
                                            <w:rFonts w:ascii="Verdana" w:hAnsi="Verdana"/>
                                            <w:sz w:val="14"/>
                                            <w:szCs w:val="14"/>
                                          </w:rPr>
                                        </w:pPr>
                                        <w:r>
                                          <w:rPr>
                                            <w:rFonts w:ascii="Verdana" w:hAnsi="Verdana"/>
                                            <w:noProof/>
                                            <w:sz w:val="14"/>
                                            <w:szCs w:val="14"/>
                                            <w:lang w:val="en-US"/>
                                          </w:rPr>
                                          <w:drawing>
                                            <wp:inline distT="0" distB="0" distL="0" distR="0">
                                              <wp:extent cx="142875" cy="142875"/>
                                              <wp:effectExtent l="0" t="0" r="9525" b="9525"/>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shd w:val="clear" w:color="auto" w:fill="auto"/>
                                        <w:tcMar>
                                          <w:left w:w="57" w:type="dxa"/>
                                          <w:right w:w="57" w:type="dxa"/>
                                        </w:tcMar>
                                        <w:vAlign w:val="center"/>
                                      </w:tcPr>
                                      <w:p>
                                        <w:pPr>
                                          <w:spacing w:after="0"/>
                                          <w:rPr>
                                            <w:rFonts w:ascii="Verdana" w:hAnsi="Verdana"/>
                                            <w:sz w:val="14"/>
                                            <w:szCs w:val="14"/>
                                          </w:rPr>
                                        </w:pPr>
                                        <w:r>
                                          <w:rPr>
                                            <w:rFonts w:ascii="Verdana" w:hAnsi="Verdana"/>
                                            <w:sz w:val="14"/>
                                            <w:szCs w:val="14"/>
                                          </w:rPr>
                                          <w:t>Aged 25-29</w:t>
                                        </w:r>
                                      </w:p>
                                    </w:tc>
                                    <w:tc>
                                      <w:tcPr>
                                        <w:tcW w:w="0" w:type="auto"/>
                                        <w:shd w:val="clear" w:color="auto" w:fill="auto"/>
                                        <w:tcMar>
                                          <w:left w:w="57" w:type="dxa"/>
                                          <w:right w:w="57" w:type="dxa"/>
                                        </w:tcMar>
                                      </w:tcPr>
                                      <w:p>
                                        <w:pPr>
                                          <w:spacing w:after="0"/>
                                          <w:rPr>
                                            <w:rFonts w:ascii="Verdana" w:hAnsi="Verdana"/>
                                            <w:sz w:val="14"/>
                                            <w:szCs w:val="14"/>
                                          </w:rPr>
                                        </w:pPr>
                                        <w:r>
                                          <w:rPr>
                                            <w:rFonts w:ascii="Verdana" w:hAnsi="Verdana"/>
                                            <w:noProof/>
                                            <w:sz w:val="14"/>
                                            <w:szCs w:val="14"/>
                                            <w:lang w:val="en-US"/>
                                          </w:rPr>
                                          <w:drawing>
                                            <wp:inline distT="0" distB="0" distL="0" distR="0">
                                              <wp:extent cx="167005" cy="4000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005" cy="40005"/>
                                                      </a:xfrm>
                                                      <a:prstGeom prst="rect">
                                                        <a:avLst/>
                                                      </a:prstGeom>
                                                      <a:noFill/>
                                                      <a:ln>
                                                        <a:noFill/>
                                                      </a:ln>
                                                    </pic:spPr>
                                                  </pic:pic>
                                                </a:graphicData>
                                              </a:graphic>
                                            </wp:inline>
                                          </w:drawing>
                                        </w:r>
                                      </w:p>
                                    </w:tc>
                                    <w:tc>
                                      <w:tcPr>
                                        <w:tcW w:w="0" w:type="auto"/>
                                        <w:shd w:val="clear" w:color="auto" w:fill="auto"/>
                                        <w:tcMar>
                                          <w:left w:w="57" w:type="dxa"/>
                                          <w:right w:w="57" w:type="dxa"/>
                                        </w:tcMar>
                                        <w:vAlign w:val="center"/>
                                      </w:tcPr>
                                      <w:p>
                                        <w:pPr>
                                          <w:spacing w:after="0"/>
                                          <w:rPr>
                                            <w:rFonts w:ascii="Verdana" w:hAnsi="Verdana"/>
                                            <w:sz w:val="14"/>
                                            <w:szCs w:val="14"/>
                                          </w:rPr>
                                        </w:pPr>
                                        <w:r>
                                          <w:rPr>
                                            <w:rFonts w:ascii="Verdana" w:hAnsi="Verdana"/>
                                            <w:noProof/>
                                            <w:sz w:val="14"/>
                                            <w:szCs w:val="14"/>
                                            <w:lang w:eastAsia="en-GB"/>
                                          </w:rPr>
                                          <w:t>Aged 25-59</w:t>
                                        </w:r>
                                      </w:p>
                                    </w:tc>
                                  </w:tr>
                                </w:tb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7.05pt;margin-top:16.85pt;width:210.8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G2QhQIAABc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" stroked="f">
                      <v:textbox>
                        <w:txbxContent>
                          <w:tbl>
                            <w:tblPr>
                              <w:tblW w:w="0" w:type="auto"/>
                              <w:tblBorders>
                                <w:insideH w:val="single" w:sz="4" w:space="0" w:color="auto"/>
                              </w:tblBorders>
                              <w:tblLook w:val="04A0" w:firstRow="1" w:lastRow="0" w:firstColumn="1" w:lastColumn="0" w:noHBand="0" w:noVBand="1"/>
                            </w:tblPr>
                            <w:tblGrid>
                              <w:gridCol w:w="354"/>
                              <w:gridCol w:w="937"/>
                              <w:gridCol w:w="354"/>
                              <w:gridCol w:w="937"/>
                              <w:gridCol w:w="377"/>
                              <w:gridCol w:w="937"/>
                            </w:tblGrid>
                            <w:tr>
                              <w:trPr>
                                <w:trHeight w:val="368"/>
                              </w:trPr>
                              <w:tc>
                                <w:tcPr>
                                  <w:tcW w:w="0" w:type="auto"/>
                                  <w:shd w:val="clear" w:color="auto" w:fill="auto"/>
                                  <w:tcMar>
                                    <w:left w:w="57" w:type="dxa"/>
                                    <w:right w:w="57" w:type="dxa"/>
                                  </w:tcMar>
                                  <w:vAlign w:val="center"/>
                                </w:tcPr>
                                <w:p>
                                  <w:pPr>
                                    <w:spacing w:after="0"/>
                                    <w:rPr>
                                      <w:rFonts w:ascii="Verdana" w:hAnsi="Verdana"/>
                                      <w:sz w:val="14"/>
                                      <w:szCs w:val="14"/>
                                    </w:rPr>
                                  </w:pPr>
                                  <w:r>
                                    <w:rPr>
                                      <w:noProof/>
                                      <w:lang w:val="en-US"/>
                                    </w:rPr>
                                    <w:drawing>
                                      <wp:inline distT="0" distB="0" distL="0" distR="0">
                                        <wp:extent cx="142875" cy="142875"/>
                                        <wp:effectExtent l="0" t="0" r="9525" b="9525"/>
                                        <wp:docPr id="103" name="Picture 103" descr="G:\YOUTH\TOOLS\key_youth\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YOUTH\TOOLS\key_youth\R2.jpg"/>
                                                <pic:cNvPicPr>
                                                  <a:picLocks noChangeAspect="1" noChangeArrowheads="1"/>
                                                </pic:cNvPicPr>
                                              </pic:nvPicPr>
                                              <pic:blipFill>
                                                <a:blip r:embed="rId63" r:link="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shd w:val="clear" w:color="auto" w:fill="auto"/>
                                  <w:tcMar>
                                    <w:left w:w="57" w:type="dxa"/>
                                    <w:right w:w="57" w:type="dxa"/>
                                  </w:tcMar>
                                  <w:vAlign w:val="center"/>
                                </w:tcPr>
                                <w:p>
                                  <w:pPr>
                                    <w:spacing w:after="0"/>
                                    <w:rPr>
                                      <w:rFonts w:ascii="Verdana" w:hAnsi="Verdana"/>
                                      <w:sz w:val="14"/>
                                      <w:szCs w:val="14"/>
                                    </w:rPr>
                                  </w:pPr>
                                  <w:r>
                                    <w:rPr>
                                      <w:rFonts w:ascii="Verdana" w:hAnsi="Verdana"/>
                                      <w:noProof/>
                                      <w:sz w:val="14"/>
                                      <w:szCs w:val="14"/>
                                      <w:lang w:eastAsia="en-GB"/>
                                    </w:rPr>
                                    <w:t>Aged 18-24</w:t>
                                  </w:r>
                                </w:p>
                              </w:tc>
                              <w:tc>
                                <w:tcPr>
                                  <w:tcW w:w="0" w:type="auto"/>
                                  <w:shd w:val="clear" w:color="auto" w:fill="auto"/>
                                  <w:tcMar>
                                    <w:left w:w="57" w:type="dxa"/>
                                    <w:right w:w="57" w:type="dxa"/>
                                  </w:tcMar>
                                  <w:vAlign w:val="center"/>
                                </w:tcPr>
                                <w:p>
                                  <w:pPr>
                                    <w:spacing w:after="0"/>
                                    <w:rPr>
                                      <w:rFonts w:ascii="Verdana" w:hAnsi="Verdana"/>
                                      <w:sz w:val="14"/>
                                      <w:szCs w:val="14"/>
                                    </w:rPr>
                                  </w:pPr>
                                  <w:r>
                                    <w:rPr>
                                      <w:rFonts w:ascii="Verdana" w:hAnsi="Verdana"/>
                                      <w:noProof/>
                                      <w:sz w:val="14"/>
                                      <w:szCs w:val="14"/>
                                      <w:lang w:val="en-US"/>
                                    </w:rPr>
                                    <w:drawing>
                                      <wp:inline distT="0" distB="0" distL="0" distR="0">
                                        <wp:extent cx="142875" cy="142875"/>
                                        <wp:effectExtent l="0" t="0" r="9525" b="9525"/>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shd w:val="clear" w:color="auto" w:fill="auto"/>
                                  <w:tcMar>
                                    <w:left w:w="57" w:type="dxa"/>
                                    <w:right w:w="57" w:type="dxa"/>
                                  </w:tcMar>
                                  <w:vAlign w:val="center"/>
                                </w:tcPr>
                                <w:p>
                                  <w:pPr>
                                    <w:spacing w:after="0"/>
                                    <w:rPr>
                                      <w:rFonts w:ascii="Verdana" w:hAnsi="Verdana"/>
                                      <w:sz w:val="14"/>
                                      <w:szCs w:val="14"/>
                                    </w:rPr>
                                  </w:pPr>
                                  <w:r>
                                    <w:rPr>
                                      <w:rFonts w:ascii="Verdana" w:hAnsi="Verdana"/>
                                      <w:sz w:val="14"/>
                                      <w:szCs w:val="14"/>
                                    </w:rPr>
                                    <w:t>Aged 25-29</w:t>
                                  </w:r>
                                </w:p>
                              </w:tc>
                              <w:tc>
                                <w:tcPr>
                                  <w:tcW w:w="0" w:type="auto"/>
                                  <w:shd w:val="clear" w:color="auto" w:fill="auto"/>
                                  <w:tcMar>
                                    <w:left w:w="57" w:type="dxa"/>
                                    <w:right w:w="57" w:type="dxa"/>
                                  </w:tcMar>
                                </w:tcPr>
                                <w:p>
                                  <w:pPr>
                                    <w:spacing w:after="0"/>
                                    <w:rPr>
                                      <w:rFonts w:ascii="Verdana" w:hAnsi="Verdana"/>
                                      <w:sz w:val="14"/>
                                      <w:szCs w:val="14"/>
                                    </w:rPr>
                                  </w:pPr>
                                  <w:r>
                                    <w:rPr>
                                      <w:rFonts w:ascii="Verdana" w:hAnsi="Verdana"/>
                                      <w:noProof/>
                                      <w:sz w:val="14"/>
                                      <w:szCs w:val="14"/>
                                      <w:lang w:val="en-US"/>
                                    </w:rPr>
                                    <w:drawing>
                                      <wp:inline distT="0" distB="0" distL="0" distR="0">
                                        <wp:extent cx="167005" cy="4000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005" cy="40005"/>
                                                </a:xfrm>
                                                <a:prstGeom prst="rect">
                                                  <a:avLst/>
                                                </a:prstGeom>
                                                <a:noFill/>
                                                <a:ln>
                                                  <a:noFill/>
                                                </a:ln>
                                              </pic:spPr>
                                            </pic:pic>
                                          </a:graphicData>
                                        </a:graphic>
                                      </wp:inline>
                                    </w:drawing>
                                  </w:r>
                                </w:p>
                              </w:tc>
                              <w:tc>
                                <w:tcPr>
                                  <w:tcW w:w="0" w:type="auto"/>
                                  <w:shd w:val="clear" w:color="auto" w:fill="auto"/>
                                  <w:tcMar>
                                    <w:left w:w="57" w:type="dxa"/>
                                    <w:right w:w="57" w:type="dxa"/>
                                  </w:tcMar>
                                  <w:vAlign w:val="center"/>
                                </w:tcPr>
                                <w:p>
                                  <w:pPr>
                                    <w:spacing w:after="0"/>
                                    <w:rPr>
                                      <w:rFonts w:ascii="Verdana" w:hAnsi="Verdana"/>
                                      <w:sz w:val="14"/>
                                      <w:szCs w:val="14"/>
                                    </w:rPr>
                                  </w:pPr>
                                  <w:r>
                                    <w:rPr>
                                      <w:rFonts w:ascii="Verdana" w:hAnsi="Verdana"/>
                                      <w:noProof/>
                                      <w:sz w:val="14"/>
                                      <w:szCs w:val="14"/>
                                      <w:lang w:eastAsia="en-GB"/>
                                    </w:rPr>
                                    <w:t>Aged 25-59</w:t>
                                  </w:r>
                                </w:p>
                              </w:tc>
                            </w:tr>
                          </w:tbl>
                          <w:p/>
                        </w:txbxContent>
                      </v:textbox>
                    </v:shape>
                  </w:pict>
                </mc:Fallback>
              </mc:AlternateContent>
            </w:r>
            <w:r>
              <w:rPr>
                <w:noProof/>
                <w:snapToGrid/>
                <w:sz w:val="16"/>
              </w:rPr>
              <w:drawing>
                <wp:inline distT="0" distB="0" distL="0" distR="0">
                  <wp:extent cx="5923915" cy="2035810"/>
                  <wp:effectExtent l="0" t="0" r="635" b="2540"/>
                  <wp:docPr id="31" name="Picture 31" descr="\\s-eacea-fs03-p\EACEA.A7\Youth\04_Reports\a_EU_Youth_Reports\2018\03_graph\7_G_low_work_inten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acea-fs03-p\EACEA.A7\Youth\04_Reports\a_EU_Youth_Reports\2018\03_graph\7_G_low_work_intensity.jpg"/>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5923915" cy="2035810"/>
                          </a:xfrm>
                          <a:prstGeom prst="rect">
                            <a:avLst/>
                          </a:prstGeom>
                          <a:noFill/>
                          <a:ln>
                            <a:noFill/>
                          </a:ln>
                        </pic:spPr>
                      </pic:pic>
                    </a:graphicData>
                  </a:graphic>
                </wp:inline>
              </w:drawing>
            </w:r>
          </w:p>
        </w:tc>
      </w:tr>
      <w:tr>
        <w:trPr>
          <w:trHeight w:val="20"/>
        </w:trPr>
        <w:tc>
          <w:tcPr>
            <w:tcW w:w="0" w:type="auto"/>
            <w:vMerge/>
            <w:tcBorders>
              <w:top w:val="nil"/>
              <w:left w:val="single" w:sz="4" w:space="0" w:color="auto"/>
              <w:bottom w:val="single" w:sz="4" w:space="0" w:color="auto"/>
              <w:right w:val="single" w:sz="4" w:space="0" w:color="auto"/>
            </w:tcBorders>
            <w:vAlign w:val="center"/>
            <w:hideMark/>
          </w:tcPr>
          <w:p>
            <w:pPr>
              <w:spacing w:after="0" w:line="240" w:lineRule="auto"/>
              <w:rPr>
                <w:b/>
                <w:noProof/>
                <w:color w:val="FFFFFF"/>
                <w:sz w:val="16"/>
                <w:lang w:eastAsia="fr-BE"/>
              </w:rPr>
            </w:pPr>
          </w:p>
        </w:tc>
        <w:tc>
          <w:tcPr>
            <w:tcW w:w="3503" w:type="dxa"/>
            <w:tcBorders>
              <w:top w:val="nil"/>
              <w:left w:val="single" w:sz="4" w:space="0" w:color="auto"/>
              <w:bottom w:val="single" w:sz="4" w:space="0" w:color="auto"/>
              <w:right w:val="nil"/>
            </w:tcBorders>
            <w:tcMar>
              <w:top w:w="57" w:type="dxa"/>
              <w:left w:w="255" w:type="dxa"/>
              <w:bottom w:w="0" w:type="dxa"/>
              <w:right w:w="108" w:type="dxa"/>
            </w:tcMar>
            <w:hideMark/>
          </w:tcPr>
          <w:p>
            <w:pPr>
              <w:pStyle w:val="Yo5TitleFigure"/>
              <w:spacing w:before="60"/>
              <w:ind w:right="467"/>
              <w:jc w:val="center"/>
              <w:rPr>
                <w:sz w:val="14"/>
                <w:szCs w:val="14"/>
              </w:rPr>
            </w:pPr>
            <w:r>
              <w:rPr>
                <w:sz w:val="14"/>
                <w:szCs w:val="14"/>
              </w:rPr>
              <w:t>EU-28 average, by age, 2010-2016</w:t>
            </w:r>
          </w:p>
          <w:p>
            <w:pPr>
              <w:pStyle w:val="Yo5TitleFigure"/>
              <w:tabs>
                <w:tab w:val="left" w:pos="3265"/>
              </w:tabs>
              <w:spacing w:before="0" w:after="0" w:line="240" w:lineRule="auto"/>
              <w:ind w:left="165"/>
              <w:rPr>
                <w:b/>
                <w:color w:val="auto"/>
                <w:sz w:val="14"/>
                <w:szCs w:val="14"/>
              </w:rPr>
            </w:pPr>
            <w:r>
              <w:rPr>
                <w:color w:val="auto"/>
                <w:sz w:val="14"/>
                <w:szCs w:val="14"/>
              </w:rPr>
              <w:t xml:space="preserve">  %</w:t>
            </w:r>
            <w:r>
              <w:rPr>
                <w:lang w:eastAsia="en-GB"/>
              </w:rPr>
              <w:tab/>
              <w:t xml:space="preserve"> </w:t>
            </w:r>
            <w:r>
              <w:rPr>
                <w:color w:val="auto"/>
                <w:sz w:val="14"/>
                <w:szCs w:val="14"/>
                <w:lang w:eastAsia="en-GB"/>
              </w:rPr>
              <w:t>%</w:t>
            </w:r>
          </w:p>
          <w:p>
            <w:pPr>
              <w:pStyle w:val="Yo5TextNotes"/>
              <w:tabs>
                <w:tab w:val="clear" w:pos="1985"/>
                <w:tab w:val="right" w:pos="8722"/>
              </w:tabs>
              <w:spacing w:after="120"/>
              <w:rPr>
                <w:noProof/>
                <w:lang w:eastAsia="en-GB"/>
              </w:rPr>
            </w:pPr>
            <w:r>
              <w:rPr>
                <w:noProof/>
                <w:snapToGrid/>
                <w:lang w:val="en-US"/>
              </w:rPr>
              <w:drawing>
                <wp:inline distT="0" distB="0" distL="0" distR="0">
                  <wp:extent cx="2329815" cy="1741170"/>
                  <wp:effectExtent l="0" t="0" r="0" b="0"/>
                  <wp:docPr id="32" name="Picture 32" descr="\\s-eacea-fs03-p\EACEA.A7\Youth\04_Reports\a_EU_Youth_Reports\2018\03_graph\7_G_b_low_work_intensity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acea-fs03-p\EACEA.A7\Youth\04_Reports\a_EU_Youth_Reports\2018\03_graph\7_G_b_low_work_intensity_EU.jpg"/>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2329815" cy="1741170"/>
                          </a:xfrm>
                          <a:prstGeom prst="rect">
                            <a:avLst/>
                          </a:prstGeom>
                          <a:noFill/>
                          <a:ln>
                            <a:noFill/>
                          </a:ln>
                        </pic:spPr>
                      </pic:pic>
                    </a:graphicData>
                  </a:graphic>
                </wp:inline>
              </w:drawing>
            </w:r>
          </w:p>
        </w:tc>
        <w:tc>
          <w:tcPr>
            <w:tcW w:w="0" w:type="auto"/>
            <w:tcBorders>
              <w:top w:val="nil"/>
              <w:left w:val="nil"/>
              <w:bottom w:val="single" w:sz="4" w:space="0" w:color="auto"/>
              <w:right w:val="single" w:sz="4" w:space="0" w:color="auto"/>
            </w:tcBorders>
            <w:hideMark/>
          </w:tcPr>
          <w:p>
            <w:pPr>
              <w:pStyle w:val="Yo5TextNotes"/>
              <w:tabs>
                <w:tab w:val="clear" w:pos="1985"/>
                <w:tab w:val="right" w:pos="8722"/>
              </w:tabs>
              <w:ind w:left="175"/>
              <w:rPr>
                <w:noProof/>
                <w:lang w:val="en-GB" w:eastAsia="en-GB"/>
              </w:rPr>
            </w:pPr>
          </w:p>
          <w:p>
            <w:pPr>
              <w:pStyle w:val="Yo5TextNotes"/>
              <w:tabs>
                <w:tab w:val="clear" w:pos="1985"/>
                <w:tab w:val="right" w:pos="8722"/>
              </w:tabs>
              <w:ind w:left="175"/>
              <w:rPr>
                <w:noProof/>
                <w:lang w:val="en-GB" w:eastAsia="en-GB"/>
              </w:rPr>
            </w:pPr>
          </w:p>
          <w:p>
            <w:pPr>
              <w:pStyle w:val="Yo5TextNotes"/>
              <w:tabs>
                <w:tab w:val="clear" w:pos="1985"/>
                <w:tab w:val="right" w:pos="8722"/>
              </w:tabs>
              <w:spacing w:after="120"/>
              <w:ind w:left="176"/>
              <w:rPr>
                <w:noProof/>
                <w:szCs w:val="14"/>
                <w:lang w:val="en-GB"/>
              </w:rPr>
            </w:pPr>
            <w:r>
              <w:rPr>
                <w:i/>
                <w:noProof/>
                <w:lang w:val="en-GB" w:eastAsia="en-GB"/>
              </w:rPr>
              <w:t xml:space="preserve">Notes: </w:t>
            </w:r>
            <w:r>
              <w:rPr>
                <w:noProof/>
                <w:szCs w:val="14"/>
                <w:lang w:val="en-GB"/>
              </w:rPr>
              <w:t>A low work-intensity household is one where working-age household members worked only 20 % or less of the total number of months they could potentially have worked within a given reference period.</w:t>
            </w:r>
          </w:p>
          <w:p>
            <w:pPr>
              <w:pStyle w:val="Yo5TextNotes"/>
              <w:tabs>
                <w:tab w:val="clear" w:pos="1985"/>
                <w:tab w:val="right" w:pos="8722"/>
              </w:tabs>
              <w:spacing w:after="120"/>
              <w:ind w:left="176"/>
              <w:rPr>
                <w:noProof/>
                <w:szCs w:val="14"/>
                <w:lang w:val="en-GB" w:eastAsia="en-GB"/>
              </w:rPr>
            </w:pPr>
            <w:r>
              <w:rPr>
                <w:noProof/>
                <w:lang w:val="en-GB" w:eastAsia="en-GB"/>
              </w:rPr>
              <w:t>Proportion</w:t>
            </w:r>
            <w:r>
              <w:rPr>
                <w:i/>
                <w:noProof/>
                <w:lang w:val="en-GB" w:eastAsia="en-GB"/>
              </w:rPr>
              <w:t xml:space="preserve"> </w:t>
            </w:r>
            <w:r>
              <w:rPr>
                <w:noProof/>
                <w:lang w:val="en-GB" w:eastAsia="en-GB"/>
              </w:rPr>
              <w:t>a</w:t>
            </w:r>
            <w:r>
              <w:rPr>
                <w:noProof/>
                <w:szCs w:val="14"/>
                <w:lang w:val="en-GB" w:eastAsia="en-GB"/>
              </w:rPr>
              <w:t>s percentage of the population aged under 60.</w:t>
            </w:r>
          </w:p>
          <w:p>
            <w:pPr>
              <w:pStyle w:val="Yo5TextNotes"/>
              <w:tabs>
                <w:tab w:val="clear" w:pos="1985"/>
                <w:tab w:val="right" w:pos="8722"/>
              </w:tabs>
              <w:ind w:left="175"/>
              <w:rPr>
                <w:noProof/>
                <w:lang w:val="en-GB" w:eastAsia="en-GB"/>
              </w:rPr>
            </w:pPr>
            <w:r>
              <w:rPr>
                <w:i/>
                <w:noProof/>
                <w:lang w:val="en-GB" w:eastAsia="en-GB"/>
              </w:rPr>
              <w:t xml:space="preserve">Source: </w:t>
            </w:r>
            <w:r>
              <w:rPr>
                <w:noProof/>
                <w:lang w:val="en-GB" w:eastAsia="en-GB"/>
              </w:rPr>
              <w:t>Eurostat, Statistics on income and living conditions (SILC) [ilc_lvhl11]. Data extracted on 09.01.2018.</w:t>
            </w:r>
          </w:p>
          <w:p>
            <w:pPr>
              <w:pStyle w:val="Yo5TextNotes"/>
              <w:tabs>
                <w:tab w:val="clear" w:pos="1985"/>
                <w:tab w:val="right" w:pos="8722"/>
              </w:tabs>
              <w:ind w:left="175"/>
              <w:rPr>
                <w:noProof/>
                <w:lang w:val="en-GB" w:eastAsia="en-GB"/>
              </w:rPr>
            </w:pPr>
          </w:p>
          <w:p>
            <w:pPr>
              <w:pStyle w:val="Yo5TextNotes"/>
              <w:tabs>
                <w:tab w:val="clear" w:pos="1985"/>
                <w:tab w:val="right" w:pos="8722"/>
              </w:tabs>
              <w:ind w:left="175"/>
              <w:rPr>
                <w:noProof/>
                <w:lang w:val="en-GB" w:eastAsia="en-GB"/>
              </w:rPr>
            </w:pPr>
          </w:p>
          <w:p>
            <w:pPr>
              <w:pStyle w:val="Yo5TextNotes"/>
              <w:tabs>
                <w:tab w:val="clear" w:pos="1985"/>
                <w:tab w:val="right" w:pos="8722"/>
              </w:tabs>
              <w:ind w:left="175"/>
              <w:rPr>
                <w:noProof/>
                <w:lang w:val="en-GB" w:eastAsia="en-GB"/>
              </w:rPr>
            </w:pPr>
          </w:p>
          <w:p>
            <w:pPr>
              <w:pStyle w:val="Yo5TextNotes"/>
              <w:tabs>
                <w:tab w:val="clear" w:pos="1985"/>
                <w:tab w:val="right" w:pos="8722"/>
              </w:tabs>
              <w:ind w:left="175"/>
              <w:rPr>
                <w:noProof/>
                <w:lang w:val="en-GB" w:eastAsia="en-GB"/>
              </w:rPr>
            </w:pPr>
          </w:p>
          <w:p>
            <w:pPr>
              <w:pStyle w:val="Yo5TextNotes"/>
              <w:tabs>
                <w:tab w:val="clear" w:pos="1985"/>
                <w:tab w:val="right" w:pos="8722"/>
              </w:tabs>
              <w:ind w:left="175"/>
              <w:rPr>
                <w:noProof/>
                <w:lang w:val="en-GB" w:eastAsia="en-GB"/>
              </w:rPr>
            </w:pPr>
          </w:p>
          <w:p>
            <w:pPr>
              <w:pStyle w:val="Yo5TextNotes"/>
              <w:tabs>
                <w:tab w:val="clear" w:pos="1985"/>
                <w:tab w:val="right" w:pos="8722"/>
              </w:tabs>
              <w:ind w:left="175"/>
              <w:rPr>
                <w:noProof/>
                <w:lang w:val="en-GB" w:eastAsia="en-GB"/>
              </w:rPr>
            </w:pPr>
          </w:p>
          <w:p>
            <w:pPr>
              <w:pStyle w:val="Yo5TextNotes"/>
              <w:tabs>
                <w:tab w:val="clear" w:pos="1985"/>
                <w:tab w:val="right" w:pos="8722"/>
              </w:tabs>
              <w:ind w:left="175"/>
              <w:rPr>
                <w:noProof/>
                <w:lang w:val="en-GB" w:eastAsia="en-GB"/>
              </w:rPr>
            </w:pPr>
          </w:p>
          <w:p>
            <w:pPr>
              <w:pStyle w:val="Yo5TextNotes"/>
              <w:tabs>
                <w:tab w:val="clear" w:pos="1985"/>
                <w:tab w:val="right" w:pos="8722"/>
              </w:tabs>
              <w:ind w:left="175"/>
              <w:rPr>
                <w:noProof/>
                <w:lang w:val="en-GB" w:eastAsia="en-GB"/>
              </w:rPr>
            </w:pPr>
          </w:p>
          <w:tbl>
            <w:tblPr>
              <w:tblW w:w="0" w:type="auto"/>
              <w:tblInd w:w="126" w:type="dxa"/>
              <w:tblLook w:val="04A0" w:firstRow="1" w:lastRow="0" w:firstColumn="1" w:lastColumn="0" w:noHBand="0" w:noVBand="1"/>
            </w:tblPr>
            <w:tblGrid>
              <w:gridCol w:w="293"/>
              <w:gridCol w:w="879"/>
              <w:gridCol w:w="291"/>
              <w:gridCol w:w="1127"/>
              <w:gridCol w:w="310"/>
              <w:gridCol w:w="957"/>
              <w:gridCol w:w="311"/>
              <w:gridCol w:w="1281"/>
            </w:tblGrid>
            <w:tr>
              <w:tc>
                <w:tcPr>
                  <w:tcW w:w="0" w:type="auto"/>
                  <w:shd w:val="clear" w:color="auto" w:fill="auto"/>
                  <w:tcMar>
                    <w:left w:w="57" w:type="dxa"/>
                    <w:right w:w="57" w:type="dxa"/>
                  </w:tcMar>
                  <w:vAlign w:val="center"/>
                </w:tcPr>
                <w:p>
                  <w:pPr>
                    <w:pStyle w:val="Yo5TextNotes"/>
                    <w:tabs>
                      <w:tab w:val="clear" w:pos="1985"/>
                      <w:tab w:val="right" w:pos="8722"/>
                    </w:tabs>
                    <w:jc w:val="center"/>
                    <w:rPr>
                      <w:noProof/>
                      <w:sz w:val="20"/>
                      <w:szCs w:val="20"/>
                      <w:lang w:eastAsia="en-GB"/>
                    </w:rPr>
                  </w:pPr>
                  <w:r>
                    <w:rPr>
                      <w:noProof/>
                      <w:color w:val="FFA3A4"/>
                      <w:sz w:val="20"/>
                      <w:szCs w:val="20"/>
                      <w:lang w:val="en-GB"/>
                    </w:rPr>
                    <w:sym w:font="Wingdings 2" w:char="F098"/>
                  </w:r>
                </w:p>
              </w:tc>
              <w:tc>
                <w:tcPr>
                  <w:tcW w:w="879" w:type="dxa"/>
                  <w:shd w:val="clear" w:color="auto" w:fill="auto"/>
                  <w:tcMar>
                    <w:left w:w="57" w:type="dxa"/>
                    <w:right w:w="57" w:type="dxa"/>
                  </w:tcMar>
                  <w:vAlign w:val="center"/>
                </w:tcPr>
                <w:p>
                  <w:pPr>
                    <w:pStyle w:val="Yo5TextNotes"/>
                    <w:tabs>
                      <w:tab w:val="clear" w:pos="1985"/>
                      <w:tab w:val="right" w:pos="8722"/>
                    </w:tabs>
                    <w:jc w:val="left"/>
                    <w:rPr>
                      <w:noProof/>
                      <w:szCs w:val="14"/>
                      <w:lang w:val="en-GB" w:eastAsia="en-GB"/>
                    </w:rPr>
                  </w:pPr>
                  <w:r>
                    <w:rPr>
                      <w:noProof/>
                      <w:szCs w:val="14"/>
                      <w:lang w:val="en-GB" w:eastAsia="en-GB"/>
                    </w:rPr>
                    <w:t>Aged &lt;18</w:t>
                  </w:r>
                </w:p>
              </w:tc>
              <w:tc>
                <w:tcPr>
                  <w:tcW w:w="291" w:type="dxa"/>
                  <w:shd w:val="clear" w:color="auto" w:fill="auto"/>
                  <w:tcMar>
                    <w:left w:w="57" w:type="dxa"/>
                    <w:right w:w="57" w:type="dxa"/>
                  </w:tcMar>
                  <w:vAlign w:val="center"/>
                </w:tcPr>
                <w:p>
                  <w:pPr>
                    <w:pStyle w:val="Yo5TextNotes"/>
                    <w:tabs>
                      <w:tab w:val="clear" w:pos="1985"/>
                      <w:tab w:val="right" w:pos="8722"/>
                    </w:tabs>
                    <w:jc w:val="center"/>
                    <w:rPr>
                      <w:noProof/>
                      <w:lang w:eastAsia="en-GB"/>
                    </w:rPr>
                  </w:pPr>
                  <w:r>
                    <w:rPr>
                      <w:noProof/>
                      <w:snapToGrid/>
                      <w:lang w:val="en-US"/>
                    </w:rPr>
                    <w:drawing>
                      <wp:inline distT="0" distB="0" distL="0" distR="0">
                        <wp:extent cx="103505" cy="103505"/>
                        <wp:effectExtent l="0" t="0" r="0" b="0"/>
                        <wp:docPr id="33" name="Picture 33" descr="G:\YOUTH\TOOLS\key_youth\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YOUTH\TOOLS\key_youth\R2.jpg"/>
                                <pic:cNvPicPr>
                                  <a:picLocks noChangeAspect="1" noChangeArrowheads="1"/>
                                </pic:cNvPicPr>
                              </pic:nvPicPr>
                              <pic:blipFill>
                                <a:blip r:embed="rId68" r:link="rId47" cstate="print">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p>
              </w:tc>
              <w:tc>
                <w:tcPr>
                  <w:tcW w:w="1127" w:type="dxa"/>
                  <w:shd w:val="clear" w:color="auto" w:fill="auto"/>
                  <w:tcMar>
                    <w:left w:w="57" w:type="dxa"/>
                    <w:right w:w="57" w:type="dxa"/>
                  </w:tcMar>
                  <w:vAlign w:val="center"/>
                </w:tcPr>
                <w:p>
                  <w:pPr>
                    <w:pStyle w:val="Yo5TextNotes"/>
                    <w:tabs>
                      <w:tab w:val="clear" w:pos="1985"/>
                      <w:tab w:val="right" w:pos="8722"/>
                    </w:tabs>
                    <w:jc w:val="left"/>
                    <w:rPr>
                      <w:noProof/>
                      <w:szCs w:val="14"/>
                      <w:lang w:eastAsia="en-GB"/>
                    </w:rPr>
                  </w:pPr>
                  <w:r>
                    <w:rPr>
                      <w:noProof/>
                      <w:szCs w:val="14"/>
                      <w:lang w:val="en-GB" w:eastAsia="en-GB"/>
                    </w:rPr>
                    <w:t>Aged 18-24</w:t>
                  </w:r>
                </w:p>
              </w:tc>
              <w:tc>
                <w:tcPr>
                  <w:tcW w:w="310" w:type="dxa"/>
                  <w:shd w:val="clear" w:color="auto" w:fill="auto"/>
                  <w:tcMar>
                    <w:left w:w="57" w:type="dxa"/>
                    <w:right w:w="57" w:type="dxa"/>
                  </w:tcMar>
                  <w:vAlign w:val="center"/>
                </w:tcPr>
                <w:p>
                  <w:pPr>
                    <w:pStyle w:val="Yo5TextNotes"/>
                    <w:tabs>
                      <w:tab w:val="clear" w:pos="1985"/>
                      <w:tab w:val="right" w:pos="8722"/>
                    </w:tabs>
                    <w:jc w:val="left"/>
                    <w:rPr>
                      <w:noProof/>
                      <w:color w:val="C00000"/>
                      <w:sz w:val="20"/>
                      <w:szCs w:val="20"/>
                      <w:lang w:eastAsia="en-GB"/>
                    </w:rPr>
                  </w:pPr>
                  <w:r>
                    <w:rPr>
                      <w:noProof/>
                      <w:color w:val="C00000"/>
                      <w:sz w:val="20"/>
                      <w:szCs w:val="20"/>
                      <w:lang w:val="en-GB"/>
                    </w:rPr>
                    <w:sym w:font="Wingdings 3" w:char="F070"/>
                  </w:r>
                </w:p>
              </w:tc>
              <w:tc>
                <w:tcPr>
                  <w:tcW w:w="957" w:type="dxa"/>
                  <w:shd w:val="clear" w:color="auto" w:fill="auto"/>
                  <w:tcMar>
                    <w:left w:w="57" w:type="dxa"/>
                    <w:right w:w="57" w:type="dxa"/>
                  </w:tcMar>
                  <w:vAlign w:val="center"/>
                </w:tcPr>
                <w:p>
                  <w:pPr>
                    <w:pStyle w:val="Yo5TextNotes"/>
                    <w:tabs>
                      <w:tab w:val="clear" w:pos="1985"/>
                      <w:tab w:val="right" w:pos="8722"/>
                    </w:tabs>
                    <w:jc w:val="left"/>
                    <w:rPr>
                      <w:noProof/>
                      <w:lang w:eastAsia="en-GB"/>
                    </w:rPr>
                  </w:pPr>
                  <w:r>
                    <w:rPr>
                      <w:noProof/>
                      <w:lang w:eastAsia="en-GB"/>
                    </w:rPr>
                    <w:t>Aged 25-29</w:t>
                  </w:r>
                </w:p>
              </w:tc>
              <w:tc>
                <w:tcPr>
                  <w:tcW w:w="311" w:type="dxa"/>
                  <w:tcMar>
                    <w:left w:w="57" w:type="dxa"/>
                    <w:right w:w="57" w:type="dxa"/>
                  </w:tcMar>
                  <w:vAlign w:val="center"/>
                </w:tcPr>
                <w:p>
                  <w:pPr>
                    <w:pStyle w:val="Yo5TextNotes"/>
                    <w:tabs>
                      <w:tab w:val="clear" w:pos="1985"/>
                      <w:tab w:val="right" w:pos="8722"/>
                    </w:tabs>
                    <w:jc w:val="left"/>
                    <w:rPr>
                      <w:noProof/>
                      <w:sz w:val="12"/>
                      <w:szCs w:val="12"/>
                      <w:lang w:val="en-GB" w:eastAsia="en-GB"/>
                    </w:rPr>
                  </w:pPr>
                  <w:r>
                    <w:rPr>
                      <w:noProof/>
                      <w:color w:val="5F0312"/>
                      <w:sz w:val="22"/>
                      <w:szCs w:val="22"/>
                      <w:lang w:val="en-GB"/>
                    </w:rPr>
                    <w:sym w:font="Wingdings 2" w:char="F0BF"/>
                  </w:r>
                </w:p>
              </w:tc>
              <w:tc>
                <w:tcPr>
                  <w:tcW w:w="1281" w:type="dxa"/>
                  <w:vAlign w:val="center"/>
                </w:tcPr>
                <w:p>
                  <w:pPr>
                    <w:pStyle w:val="Yo5TextNotes"/>
                    <w:tabs>
                      <w:tab w:val="clear" w:pos="1985"/>
                      <w:tab w:val="right" w:pos="8722"/>
                    </w:tabs>
                    <w:jc w:val="left"/>
                    <w:rPr>
                      <w:noProof/>
                      <w:szCs w:val="14"/>
                      <w:lang w:val="en-GB" w:eastAsia="en-GB"/>
                    </w:rPr>
                  </w:pPr>
                  <w:r>
                    <w:rPr>
                      <w:noProof/>
                      <w:szCs w:val="14"/>
                      <w:lang w:val="en-GB" w:eastAsia="en-GB"/>
                    </w:rPr>
                    <w:t>Aged 25-59</w:t>
                  </w:r>
                </w:p>
              </w:tc>
            </w:tr>
          </w:tbl>
          <w:p>
            <w:pPr>
              <w:pStyle w:val="Yo5TextNotes"/>
              <w:tabs>
                <w:tab w:val="clear" w:pos="1985"/>
                <w:tab w:val="right" w:pos="8722"/>
              </w:tabs>
              <w:ind w:left="175"/>
              <w:rPr>
                <w:noProof/>
                <w:lang w:val="en-GB" w:eastAsia="en-GB"/>
              </w:rPr>
            </w:pPr>
          </w:p>
        </w:tc>
      </w:tr>
    </w:tbl>
    <w:p>
      <w:pPr>
        <w:pStyle w:val="Yo1Textpara"/>
        <w:spacing w:before="0" w:line="240" w:lineRule="auto"/>
        <w:rPr>
          <w:noProof/>
          <w:sz w:val="16"/>
          <w:szCs w:val="16"/>
        </w:rPr>
      </w:pPr>
    </w:p>
    <w:p>
      <w:pPr>
        <w:pStyle w:val="Yo1Textpara"/>
        <w:rPr>
          <w:noProof/>
        </w:rPr>
      </w:pPr>
      <w:r>
        <w:rPr>
          <w:noProof/>
        </w:rPr>
        <w:t>Interestingly, there is no straightforward relationship between living in a household with very low work intensity and the average age of leaving the parental household: in some of the countries with high proportions of young people living in households with very low work intensity, young people become independent relatively early, while in others they are dependent on their parents for much longer. An interesting example is Denmark, where young people tend to leave the parental household relatively early, and the proportion of those aged 25-29 living in households with very low work intensity is more than the double that of the prime working age population; possibly due to the relatively high proportion of students in this age group (</w:t>
      </w:r>
      <w:r>
        <w:rPr>
          <w:rStyle w:val="FootnoteReference"/>
          <w:noProof/>
        </w:rPr>
        <w:footnoteReference w:id="24"/>
      </w:r>
      <w:r>
        <w:rPr>
          <w:noProof/>
        </w:rPr>
        <w:t>).</w:t>
      </w:r>
    </w:p>
    <w:p>
      <w:pPr>
        <w:pStyle w:val="Yo1Textpara"/>
        <w:rPr>
          <w:noProof/>
        </w:rPr>
      </w:pPr>
      <w:r>
        <w:rPr>
          <w:noProof/>
        </w:rPr>
        <w:t>Regarding changes over time, as with earlier indicators, Latvia and Greece have experienced the most extreme fluctuations. Between 2010 and 2016, Latvia was the country with the largest decrease in the proportion of young people living in households with very low work intensity (4.3 percentage points for young people aged 18-24 and 5.0 percentage points for 25-29-year-olds), while the largest increases occurred in Greece and some other countries hardest hit by the economic crisis. The largest increases were 10.7 percentage points for the 18-24 age group and 14.7 percentage points for those aged 25-29 in Greece, 8.6 percentage points for 18-24 year-olds in Spain and 9.1 percentage points for the 25-29 age group in Cyprus (</w:t>
      </w:r>
      <w:r>
        <w:rPr>
          <w:rStyle w:val="FootnoteReference"/>
          <w:noProof/>
        </w:rPr>
        <w:footnoteReference w:id="25"/>
      </w:r>
      <w:r>
        <w:rPr>
          <w:noProof/>
        </w:rPr>
        <w:t>).</w:t>
      </w:r>
    </w:p>
    <w:p>
      <w:pPr>
        <w:pStyle w:val="Yo0H2"/>
        <w:rPr>
          <w:noProof/>
          <w:lang w:val="en-GB"/>
        </w:rPr>
      </w:pPr>
      <w:r>
        <w:rPr>
          <w:noProof/>
          <w:lang w:val="en-GB"/>
        </w:rPr>
        <w:t>7.4. Living conditions</w:t>
      </w:r>
    </w:p>
    <w:p>
      <w:pPr>
        <w:pStyle w:val="Yo1Textpara"/>
        <w:rPr>
          <w:noProof/>
        </w:rPr>
      </w:pPr>
      <w:r>
        <w:rPr>
          <w:noProof/>
        </w:rPr>
        <w:t xml:space="preserve">Poverty and social exclusion are multi-dimensional phenomena which cannot be understood solely in terms of people's income. The other dimensions that should be taken into account include access not only to basic services such as housing and healthcare, but also to good education, and good, well-paid jobs. Limited access to these basic necessities contributes to the root causes of poverty and help to explain how individuals and families become socially excluded. </w:t>
      </w:r>
    </w:p>
    <w:p>
      <w:pPr>
        <w:pStyle w:val="Yo1Textpara"/>
        <w:rPr>
          <w:noProof/>
        </w:rPr>
      </w:pPr>
      <w:r>
        <w:rPr>
          <w:noProof/>
        </w:rPr>
        <w:t>Homelessness and housing exclusion represents one of the most extreme forms of poverty and deprivation. In a resolution on a European Pillar of Social Rights, the European Parliament calls on the Member States 'to deliver on the right to adequate housing by ensuring access to quality and affordable housing of adequate size for all' (</w:t>
      </w:r>
      <w:r>
        <w:rPr>
          <w:rStyle w:val="FootnoteReference"/>
          <w:noProof/>
        </w:rPr>
        <w:footnoteReference w:id="26"/>
      </w:r>
      <w:r>
        <w:rPr>
          <w:noProof/>
        </w:rPr>
        <w:t xml:space="preserve">). Given the significance of moving out of the parental home in a young person's life, the cost and quality of housing are important contributing factors in ensuring young people's well-being. </w:t>
      </w:r>
    </w:p>
    <w:p>
      <w:pPr>
        <w:pStyle w:val="Yo1Textpara"/>
        <w:rPr>
          <w:noProof/>
        </w:rPr>
      </w:pPr>
      <w:r>
        <w:rPr>
          <w:noProof/>
        </w:rPr>
        <w:t>A second important aspect of social inclusion is access to health care. Barriers to accessing care contribute to the deterioration of people's health and can have repercussions on their ability to work. The relatively high cost of medical examinations and treatments represents a barrier to individuals on low incomes and, as such, becomes an important driver of social exclusion.</w:t>
      </w:r>
    </w:p>
    <w:p>
      <w:pPr>
        <w:pStyle w:val="Yo1Textpara"/>
        <w:rPr>
          <w:noProof/>
        </w:rPr>
      </w:pPr>
      <w:r>
        <w:rPr>
          <w:noProof/>
        </w:rPr>
        <w:t xml:space="preserve">Finally, when assessing poverty and social exclusion, it must be remembered that these phenomena do not only affect those who are economically inactive or unemployed. Indeed, employment does not necessarily make the risk of poverty disappear. 'In-work poverty' is poverty among employed people, often resulting from adverse employment conditions; it is particularly pertinent to young people who often work on temporary or part-time contracts (Chapter 3). </w:t>
      </w:r>
    </w:p>
    <w:p>
      <w:pPr>
        <w:pStyle w:val="Yo5TextEUYouthTOC"/>
        <w:framePr w:hSpace="0" w:wrap="auto" w:vAnchor="margin" w:hAnchor="text" w:xAlign="left" w:yAlign="inline"/>
        <w:spacing w:before="240"/>
        <w:rPr>
          <w:rFonts w:eastAsia="Times New Roman"/>
          <w:color w:val="DA1E48"/>
          <w:spacing w:val="20"/>
          <w:sz w:val="24"/>
          <w:szCs w:val="24"/>
        </w:rPr>
      </w:pPr>
      <w:r>
        <w:rPr>
          <w:rFonts w:eastAsia="Times New Roman"/>
          <w:color w:val="DA1E48"/>
          <w:spacing w:val="20"/>
          <w:sz w:val="24"/>
          <w:szCs w:val="24"/>
        </w:rPr>
        <w:t>7.4.1. Housing conditions and homelessness</w:t>
      </w:r>
    </w:p>
    <w:p>
      <w:pPr>
        <w:pStyle w:val="Yo1Textpara"/>
        <w:rPr>
          <w:noProof/>
        </w:rPr>
      </w:pPr>
      <w:r>
        <w:rPr>
          <w:noProof/>
        </w:rPr>
        <w:t xml:space="preserve">The cost and quality of housing are important for living standards and well-being. Having access to decent housing and being part of a community is crucial for people to feel they are integrated into society. However, most European countries continue to have some shortages of adequate housing. </w:t>
      </w:r>
      <w:r>
        <w:rPr>
          <w:rFonts w:eastAsia="Times New Roman"/>
          <w:noProof/>
        </w:rPr>
        <w:t>This section explores the levels of inadequate housing through indicators on 'severe housing deprivation', 'overcrowding' and the 'housing cost overburden rate'.</w:t>
      </w:r>
    </w:p>
    <w:p>
      <w:pPr>
        <w:pStyle w:val="Yo1Textpara"/>
        <w:rPr>
          <w:rFonts w:eastAsia="Times New Roman"/>
          <w:noProof/>
        </w:rPr>
      </w:pPr>
      <w:r>
        <w:rPr>
          <w:rFonts w:eastAsia="Times New Roman"/>
          <w:noProof/>
        </w:rPr>
        <w:t>Severe housing deprivation is a useful indicator of inadequate housing. It is defined as living in a dwelling which, as well as being overcrowded, also has at least one of the following shortcomings: a leaking roof, no bath/shower or indoor toilet, or is considered too dark (</w:t>
      </w:r>
      <w:r>
        <w:rPr>
          <w:rFonts w:eastAsia="Times New Roman"/>
          <w:noProof/>
          <w:vertAlign w:val="superscript"/>
        </w:rPr>
        <w:footnoteReference w:id="27"/>
      </w:r>
      <w:r>
        <w:rPr>
          <w:rFonts w:eastAsia="Times New Roman"/>
          <w:noProof/>
        </w:rPr>
        <w:t xml:space="preserve">). </w:t>
      </w:r>
    </w:p>
    <w:p>
      <w:pPr>
        <w:pStyle w:val="Yo1Textpara"/>
        <w:rPr>
          <w:rFonts w:eastAsia="Times New Roman"/>
          <w:noProof/>
        </w:rPr>
      </w:pPr>
      <w:r>
        <w:rPr>
          <w:rFonts w:eastAsia="Times New Roman"/>
          <w:noProof/>
        </w:rPr>
        <w:t>In the EU-28, the severe housing deprivation rate for young people is 7.2 %, which is 1.5 times higher than for the total population (Figure 7-H). The countries most seriously affected are Romania (with a 27.3 % severe housing deprivation rate for young people), Hungary (with 22.6 %), Latvia (with 18.8 %) and Bulgaria (with 17.9 %). Nevertheless, there has been a significant decrease since 2010 in the proportion of young people experiencing severe housing deprivation in three out of these four countries (Romania, Latvia and Bulgaria). Between 2010 and 2016, the severe housing deprivation rate for young people decreased the most in Slovenia (12.3 percentage points) and Estonia (9.2 percentage points).</w:t>
      </w:r>
    </w:p>
    <w:p>
      <w:pPr>
        <w:pStyle w:val="Yo5TitleFigure"/>
        <w:jc w:val="both"/>
      </w:pPr>
      <w:r>
        <w:rPr>
          <w:b/>
        </w:rPr>
        <w:t>Figure 7-H:</w:t>
      </w:r>
      <w:r>
        <w:t xml:space="preserve"> Severe housing deprivation rate for young people (aged 15-29), by country, 2010 and 2016</w:t>
      </w:r>
    </w:p>
    <w:p>
      <w:pPr>
        <w:pStyle w:val="Yo5TextNotes"/>
        <w:tabs>
          <w:tab w:val="clear" w:pos="1985"/>
          <w:tab w:val="left" w:pos="9085"/>
        </w:tabs>
        <w:ind w:left="490"/>
        <w:rPr>
          <w:noProof/>
          <w:lang w:eastAsia="en-GB"/>
        </w:rPr>
      </w:pPr>
      <w:r>
        <w:rPr>
          <w:noProof/>
          <w:lang w:val="en-GB" w:eastAsia="en-GB"/>
        </w:rPr>
        <w:t xml:space="preserve">  </w:t>
      </w:r>
      <w:r>
        <w:rPr>
          <w:noProof/>
          <w:lang w:eastAsia="en-GB"/>
        </w:rPr>
        <w:t>%</w:t>
      </w:r>
      <w:r>
        <w:rPr>
          <w:noProof/>
          <w:lang w:eastAsia="en-GB"/>
        </w:rPr>
        <w:tab/>
        <w:t xml:space="preserve">  %</w:t>
      </w:r>
    </w:p>
    <w:p>
      <w:pPr>
        <w:pStyle w:val="Yo5TextNotesbeforeafter"/>
        <w:spacing w:before="0"/>
        <w:jc w:val="center"/>
        <w:rPr>
          <w:i/>
          <w:noProof/>
          <w:lang w:val="en-GB"/>
        </w:rPr>
      </w:pPr>
      <w:r>
        <w:rPr>
          <w:i/>
          <w:noProof/>
          <w:snapToGrid/>
          <w:lang w:val="en-US"/>
        </w:rPr>
        <mc:AlternateContent>
          <mc:Choice Requires="wps">
            <w:drawing>
              <wp:anchor distT="0" distB="0" distL="114300" distR="114300" simplePos="0" relativeHeight="251654144" behindDoc="0" locked="0" layoutInCell="1" allowOverlap="1">
                <wp:simplePos x="0" y="0"/>
                <wp:positionH relativeFrom="column">
                  <wp:posOffset>4446270</wp:posOffset>
                </wp:positionH>
                <wp:positionV relativeFrom="paragraph">
                  <wp:posOffset>137795</wp:posOffset>
                </wp:positionV>
                <wp:extent cx="1176020" cy="1160780"/>
                <wp:effectExtent l="0" t="4445"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1160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142"/>
                              <w:rPr>
                                <w:rFonts w:ascii="Arial Narrow" w:hAnsi="Arial Narrow"/>
                                <w:sz w:val="14"/>
                                <w:szCs w:val="14"/>
                              </w:rPr>
                            </w:pPr>
                            <w:r>
                              <w:rPr>
                                <w:rFonts w:ascii="Arial Narrow" w:hAnsi="Arial Narrow"/>
                                <w:sz w:val="14"/>
                                <w:szCs w:val="14"/>
                              </w:rPr>
                              <w:t xml:space="preserve">  %</w:t>
                            </w:r>
                          </w:p>
                          <w:p>
                            <w:r>
                              <w:rPr>
                                <w:noProof/>
                                <w:lang w:val="en-US"/>
                              </w:rPr>
                              <w:drawing>
                                <wp:inline distT="0" distB="0" distL="0" distR="0">
                                  <wp:extent cx="993775" cy="1025525"/>
                                  <wp:effectExtent l="0" t="0" r="0" b="3175"/>
                                  <wp:docPr id="106" name="Picture 106" descr="\\s-eacea-fs03-p\EACEA.A7\Youth\04_Reports\a_EU_Youth_Reports\2018\03_graph\7_H_housing_deprivation_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acea-fs03-p\EACEA.A7\Youth\04_Reports\a_EU_Youth_Reports\2018\03_graph\7_H_housing_deprivation_age.jpg"/>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993775" cy="10255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0.1pt;margin-top:10.85pt;width:92.6pt;height:91.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" stroked="f">
                <v:textbox>
                  <w:txbxContent>
                    <w:p>
                      <w:pPr>
                        <w:spacing w:after="0" w:line="240" w:lineRule="auto"/>
                        <w:ind w:left="142"/>
                        <w:rPr>
                          <w:rFonts w:ascii="Arial Narrow" w:hAnsi="Arial Narrow"/>
                          <w:sz w:val="14"/>
                          <w:szCs w:val="14"/>
                        </w:rPr>
                      </w:pPr>
                      <w:r>
                        <w:rPr>
                          <w:rFonts w:ascii="Arial Narrow" w:hAnsi="Arial Narrow"/>
                          <w:sz w:val="14"/>
                          <w:szCs w:val="14"/>
                        </w:rPr>
                        <w:t xml:space="preserve">  %</w:t>
                      </w:r>
                    </w:p>
                    <w:p>
                      <w:r>
                        <w:rPr>
                          <w:noProof/>
                          <w:lang w:val="en-US"/>
                        </w:rPr>
                        <w:drawing>
                          <wp:inline distT="0" distB="0" distL="0" distR="0">
                            <wp:extent cx="993775" cy="1025525"/>
                            <wp:effectExtent l="0" t="0" r="0" b="3175"/>
                            <wp:docPr id="106" name="Picture 106" descr="\\s-eacea-fs03-p\EACEA.A7\Youth\04_Reports\a_EU_Youth_Reports\2018\03_graph\7_H_housing_deprivation_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acea-fs03-p\EACEA.A7\Youth\04_Reports\a_EU_Youth_Reports\2018\03_graph\7_H_housing_deprivation_age.jpg"/>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993775" cy="1025525"/>
                                    </a:xfrm>
                                    <a:prstGeom prst="rect">
                                      <a:avLst/>
                                    </a:prstGeom>
                                    <a:noFill/>
                                    <a:ln>
                                      <a:noFill/>
                                    </a:ln>
                                  </pic:spPr>
                                </pic:pic>
                              </a:graphicData>
                            </a:graphic>
                          </wp:inline>
                        </w:drawing>
                      </w:r>
                    </w:p>
                  </w:txbxContent>
                </v:textbox>
              </v:shape>
            </w:pict>
          </mc:Fallback>
        </mc:AlternateContent>
      </w:r>
      <w:r>
        <w:rPr>
          <w:i/>
          <w:noProof/>
          <w:snapToGrid/>
          <w:lang w:val="en-US"/>
        </w:rPr>
        <w:drawing>
          <wp:inline distT="0" distB="0" distL="0" distR="0">
            <wp:extent cx="5908040" cy="2043430"/>
            <wp:effectExtent l="0" t="0" r="0" b="0"/>
            <wp:docPr id="34" name="Picture 34" descr="\\s-eacea-fs03-p\EACEA.A7\Youth\04_Reports\a_EU_Youth_Reports\2018\03_graph\7_H_housing_depr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cea-fs03-p\EACEA.A7\Youth\04_Reports\a_EU_Youth_Reports\2018\03_graph\7_H_housing_deprivation.jpg"/>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5908040" cy="2043430"/>
                    </a:xfrm>
                    <a:prstGeom prst="rect">
                      <a:avLst/>
                    </a:prstGeom>
                    <a:noFill/>
                    <a:ln>
                      <a:noFill/>
                    </a:ln>
                  </pic:spPr>
                </pic:pic>
              </a:graphicData>
            </a:graphic>
          </wp:inline>
        </w:drawing>
      </w:r>
    </w:p>
    <w:p>
      <w:pPr>
        <w:pStyle w:val="Yo5TextNotesbeforeafter"/>
        <w:spacing w:before="120"/>
        <w:rPr>
          <w:noProof/>
          <w:lang w:val="en-GB"/>
        </w:rPr>
      </w:pPr>
      <w:r>
        <w:rPr>
          <w:i/>
          <w:noProof/>
          <w:lang w:val="en-GB"/>
        </w:rPr>
        <w:t xml:space="preserve">Notes: </w:t>
      </w:r>
      <w:r>
        <w:rPr>
          <w:noProof/>
          <w:lang w:val="en-GB"/>
        </w:rPr>
        <w:t>Severe housing deprivation is defined as living in a dwelling which, as well as being overcrowded, has one of the following shortcomings: a leaking roof, no bath/shower or indoor toilet, or is considered too dark.</w:t>
      </w:r>
    </w:p>
    <w:p>
      <w:pPr>
        <w:pStyle w:val="Yo5TextNotesbeforeafter"/>
        <w:spacing w:before="120"/>
        <w:rPr>
          <w:noProof/>
          <w:lang w:val="en-GB"/>
        </w:rPr>
      </w:pPr>
      <w:r>
        <w:rPr>
          <w:noProof/>
          <w:lang w:val="en-GB"/>
        </w:rPr>
        <w:t>Bulgaria, Luxembourg and the Netherlands: break in time series (2016).</w:t>
      </w:r>
    </w:p>
    <w:p>
      <w:pPr>
        <w:pStyle w:val="Yo5TextNotesbeforeafter"/>
        <w:spacing w:before="120"/>
        <w:rPr>
          <w:noProof/>
          <w:lang w:val="en-GB"/>
        </w:rPr>
      </w:pPr>
      <w:r>
        <w:rPr>
          <w:i/>
          <w:noProof/>
          <w:lang w:val="en-GB"/>
        </w:rPr>
        <w:t xml:space="preserve">Source: </w:t>
      </w:r>
      <w:r>
        <w:rPr>
          <w:noProof/>
          <w:lang w:val="en-GB"/>
        </w:rPr>
        <w:t xml:space="preserve">Eurostat, Statistics on income and living conditions (SILC) [ilc_mdho06a]. </w:t>
      </w:r>
      <w:r>
        <w:rPr>
          <w:noProof/>
          <w:lang w:val="en-GB" w:eastAsia="en-GB"/>
        </w:rPr>
        <w:t>Data extracted on 09.01.2018.</w:t>
      </w:r>
    </w:p>
    <w:p>
      <w:pPr>
        <w:pStyle w:val="Yo5TextNotesbeforeafter"/>
        <w:spacing w:before="0" w:after="0"/>
        <w:rPr>
          <w:noProof/>
          <w:lang w:val="en-GB"/>
        </w:rPr>
      </w:pPr>
    </w:p>
    <w:p>
      <w:pPr>
        <w:pStyle w:val="Yo1Textpara"/>
        <w:rPr>
          <w:rFonts w:eastAsia="Times New Roman"/>
          <w:noProof/>
        </w:rPr>
      </w:pPr>
      <w:r>
        <w:rPr>
          <w:noProof/>
        </w:rPr>
        <w:t>The overcrowding rate, which focuses on the availability of sufficient space in the dwelling, can shed further light on the housing conditions of young people. The overcrowding rate is based on the number of rooms available in the household, the household's size, as well as its members' ages and family situation (</w:t>
      </w:r>
      <w:r>
        <w:rPr>
          <w:rStyle w:val="FootnoteReference"/>
          <w:rFonts w:eastAsia="Times New Roman"/>
          <w:noProof/>
        </w:rPr>
        <w:footnoteReference w:id="28"/>
      </w:r>
      <w:r>
        <w:rPr>
          <w:noProof/>
        </w:rPr>
        <w:t>). As Figure</w:t>
      </w:r>
      <w:r>
        <w:rPr>
          <w:rFonts w:eastAsia="Times New Roman"/>
          <w:noProof/>
        </w:rPr>
        <w:t> </w:t>
      </w:r>
      <w:r>
        <w:rPr>
          <w:noProof/>
        </w:rPr>
        <w:t>7-I shows, the overcrowding rate among young people is considerably higher than for the total population. One explanation is that many young people live in a transitional phase between leaving the parental household and establishing their own home. They may be living in student housing or in accommodation shared by peers to reduce housing costs. Nevertheless, differences between countries in this respect are enormous. In eight eastern European countries with available data (Bulgaria, Croatia, Latvia, Hungary, Poland, Romania, Slovakia and Serbia) more than 50</w:t>
      </w:r>
      <w:r>
        <w:rPr>
          <w:rFonts w:eastAsia="Times New Roman"/>
          <w:noProof/>
        </w:rPr>
        <w:t> % of young people live in overcrowded households. In contrast, in Belgium, Ireland, Spain, Cyprus and Malta, the proportion of young people living in such households is below 10 %.</w:t>
      </w:r>
    </w:p>
    <w:tbl>
      <w:tblPr>
        <w:tblpPr w:leftFromText="180" w:rightFromText="180" w:vertAnchor="text" w:horzAnchor="margin" w:tblpXSpec="right" w:tblpY="181"/>
        <w:tblOverlap w:val="never"/>
        <w:tblW w:w="0" w:type="auto"/>
        <w:shd w:val="clear" w:color="auto" w:fill="FFA3A4"/>
        <w:tblLook w:val="04A0" w:firstRow="1" w:lastRow="0" w:firstColumn="1" w:lastColumn="0" w:noHBand="0" w:noVBand="1"/>
      </w:tblPr>
      <w:tblGrid>
        <w:gridCol w:w="3896"/>
      </w:tblGrid>
      <w:tr>
        <w:tc>
          <w:tcPr>
            <w:tcW w:w="3896" w:type="dxa"/>
            <w:shd w:val="clear" w:color="auto" w:fill="FFA3A4"/>
            <w:hideMark/>
          </w:tcPr>
          <w:p>
            <w:pPr>
              <w:pStyle w:val="Yo12Encart"/>
              <w:framePr w:hSpace="0" w:wrap="auto" w:vAnchor="margin" w:hAnchor="text" w:xAlign="left" w:yAlign="inline"/>
              <w:suppressOverlap w:val="0"/>
              <w:rPr>
                <w:noProof/>
                <w:sz w:val="22"/>
                <w:szCs w:val="22"/>
              </w:rPr>
            </w:pPr>
            <w:r>
              <w:rPr>
                <w:noProof/>
                <w:sz w:val="22"/>
                <w:szCs w:val="22"/>
              </w:rPr>
              <w:t xml:space="preserve">While in the EU-28 there has been little change, on average, regarding young people’s access to adequate housing, there have been important improvements in the quality of housing in many countries. </w:t>
            </w:r>
          </w:p>
        </w:tc>
      </w:tr>
    </w:tbl>
    <w:p>
      <w:pPr>
        <w:pStyle w:val="Yo1Textpara"/>
        <w:rPr>
          <w:rFonts w:eastAsia="Times New Roman"/>
          <w:noProof/>
        </w:rPr>
      </w:pPr>
      <w:r>
        <w:rPr>
          <w:rFonts w:eastAsia="Times New Roman"/>
          <w:noProof/>
        </w:rPr>
        <w:t>The overcrowding rate for young people decreased in the majority of countries between 2010 and 2016. Countries registering the most significant decreases are the Baltic States (Estonia: 30.4 percentage points, Latvia: 12.5 percentage points and Lithuania: 24.4 percentage points) and Slovenia (26.7 percentage points). In contrast, the overcrowding rate increased the most in Greece (by 9.6 percentage points).</w:t>
      </w:r>
    </w:p>
    <w:p>
      <w:pPr>
        <w:pStyle w:val="Yo5TitleFigure"/>
        <w:jc w:val="both"/>
      </w:pPr>
      <w:r>
        <w:rPr>
          <w:b/>
        </w:rPr>
        <w:br w:type="page"/>
        <w:t>Figure 7-I:</w:t>
      </w:r>
      <w:r>
        <w:t xml:space="preserve"> Overcrowding rate for young people (aged 15-29), by country, 2010 and 2016</w:t>
      </w:r>
    </w:p>
    <w:p>
      <w:pPr>
        <w:pStyle w:val="Yo5TextNotes"/>
        <w:tabs>
          <w:tab w:val="clear" w:pos="1985"/>
          <w:tab w:val="left" w:pos="9085"/>
        </w:tabs>
        <w:ind w:left="518"/>
        <w:rPr>
          <w:noProof/>
          <w:lang w:eastAsia="en-GB"/>
        </w:rPr>
      </w:pPr>
      <w:r>
        <w:rPr>
          <w:noProof/>
          <w:lang w:val="en-GB" w:eastAsia="en-GB"/>
        </w:rPr>
        <w:t xml:space="preserve">  </w:t>
      </w:r>
      <w:r>
        <w:rPr>
          <w:noProof/>
          <w:lang w:eastAsia="en-GB"/>
        </w:rPr>
        <w:t>%</w:t>
      </w:r>
      <w:r>
        <w:rPr>
          <w:noProof/>
          <w:lang w:eastAsia="en-GB"/>
        </w:rPr>
        <w:tab/>
        <w:t xml:space="preserve">  %</w:t>
      </w:r>
    </w:p>
    <w:p>
      <w:pPr>
        <w:pStyle w:val="Yo5TextNotesbeforeafter"/>
        <w:spacing w:before="0"/>
        <w:jc w:val="center"/>
        <w:rPr>
          <w:i/>
          <w:noProof/>
          <w:lang w:val="en-GB"/>
        </w:rPr>
      </w:pPr>
      <w:r>
        <w:rPr>
          <w:i/>
          <w:noProof/>
          <w:snapToGrid/>
          <w:lang w:val="en-US"/>
        </w:rPr>
        <mc:AlternateContent>
          <mc:Choice Requires="wps">
            <w:drawing>
              <wp:anchor distT="0" distB="0" distL="114300" distR="114300" simplePos="0" relativeHeight="251655168" behindDoc="0" locked="0" layoutInCell="1" allowOverlap="1">
                <wp:simplePos x="0" y="0"/>
                <wp:positionH relativeFrom="column">
                  <wp:posOffset>4531995</wp:posOffset>
                </wp:positionH>
                <wp:positionV relativeFrom="paragraph">
                  <wp:posOffset>137795</wp:posOffset>
                </wp:positionV>
                <wp:extent cx="1163320" cy="1370965"/>
                <wp:effectExtent l="0" t="4445" r="635"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37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142"/>
                              <w:rPr>
                                <w:rFonts w:ascii="Arial Narrow" w:hAnsi="Arial Narrow"/>
                                <w:sz w:val="14"/>
                                <w:szCs w:val="14"/>
                              </w:rPr>
                            </w:pPr>
                            <w:r>
                              <w:rPr>
                                <w:rFonts w:ascii="Arial Narrow" w:hAnsi="Arial Narrow"/>
                                <w:sz w:val="14"/>
                                <w:szCs w:val="14"/>
                              </w:rPr>
                              <w:t xml:space="preserve">  %</w:t>
                            </w:r>
                          </w:p>
                          <w:p>
                            <w:r>
                              <w:rPr>
                                <w:noProof/>
                                <w:lang w:val="en-US"/>
                              </w:rPr>
                              <w:drawing>
                                <wp:inline distT="0" distB="0" distL="0" distR="0">
                                  <wp:extent cx="977900" cy="1248410"/>
                                  <wp:effectExtent l="0" t="0" r="0" b="8890"/>
                                  <wp:docPr id="107" name="Picture 107" descr="\\s-eacea-fs03-p\EACEA.A7\Youth\04_Reports\a_EU_Youth_Reports\2018\03_graph\7_I_overcrowding_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acea-fs03-p\EACEA.A7\Youth\04_Reports\a_EU_Youth_Reports\2018\03_graph\7_I_overcrowding_age.jpg"/>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977900" cy="124841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6.85pt;margin-top:10.85pt;width:91.6pt;height:107.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" stroked="f">
                <v:textbox>
                  <w:txbxContent>
                    <w:p>
                      <w:pPr>
                        <w:spacing w:after="0" w:line="240" w:lineRule="auto"/>
                        <w:ind w:left="142"/>
                        <w:rPr>
                          <w:rFonts w:ascii="Arial Narrow" w:hAnsi="Arial Narrow"/>
                          <w:sz w:val="14"/>
                          <w:szCs w:val="14"/>
                        </w:rPr>
                      </w:pPr>
                      <w:r>
                        <w:rPr>
                          <w:rFonts w:ascii="Arial Narrow" w:hAnsi="Arial Narrow"/>
                          <w:sz w:val="14"/>
                          <w:szCs w:val="14"/>
                        </w:rPr>
                        <w:t xml:space="preserve">  %</w:t>
                      </w:r>
                    </w:p>
                    <w:p>
                      <w:r>
                        <w:rPr>
                          <w:noProof/>
                          <w:lang w:val="en-US"/>
                        </w:rPr>
                        <w:drawing>
                          <wp:inline distT="0" distB="0" distL="0" distR="0">
                            <wp:extent cx="977900" cy="1248410"/>
                            <wp:effectExtent l="0" t="0" r="0" b="8890"/>
                            <wp:docPr id="107" name="Picture 107" descr="\\s-eacea-fs03-p\EACEA.A7\Youth\04_Reports\a_EU_Youth_Reports\2018\03_graph\7_I_overcrowding_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acea-fs03-p\EACEA.A7\Youth\04_Reports\a_EU_Youth_Reports\2018\03_graph\7_I_overcrowding_age.jpg"/>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977900" cy="1248410"/>
                                    </a:xfrm>
                                    <a:prstGeom prst="rect">
                                      <a:avLst/>
                                    </a:prstGeom>
                                    <a:noFill/>
                                    <a:ln>
                                      <a:noFill/>
                                    </a:ln>
                                  </pic:spPr>
                                </pic:pic>
                              </a:graphicData>
                            </a:graphic>
                          </wp:inline>
                        </w:drawing>
                      </w:r>
                    </w:p>
                  </w:txbxContent>
                </v:textbox>
              </v:shape>
            </w:pict>
          </mc:Fallback>
        </mc:AlternateContent>
      </w:r>
      <w:r>
        <w:rPr>
          <w:i/>
          <w:noProof/>
          <w:snapToGrid/>
          <w:lang w:val="en-US"/>
        </w:rPr>
        <w:drawing>
          <wp:inline distT="0" distB="0" distL="0" distR="0">
            <wp:extent cx="5908040" cy="2043430"/>
            <wp:effectExtent l="0" t="0" r="0" b="0"/>
            <wp:docPr id="35" name="Picture 35" descr="\\s-eacea-fs03-p\EACEA.A7\Youth\04_Reports\a_EU_Youth_Reports\2018\03_graph\7_I_overcrow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acea-fs03-p\EACEA.A7\Youth\04_Reports\a_EU_Youth_Reports\2018\03_graph\7_I_overcrowding.jpg"/>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5908040" cy="2043430"/>
                    </a:xfrm>
                    <a:prstGeom prst="rect">
                      <a:avLst/>
                    </a:prstGeom>
                    <a:noFill/>
                    <a:ln>
                      <a:noFill/>
                    </a:ln>
                  </pic:spPr>
                </pic:pic>
              </a:graphicData>
            </a:graphic>
          </wp:inline>
        </w:drawing>
      </w:r>
    </w:p>
    <w:p>
      <w:pPr>
        <w:pStyle w:val="Yo5TextNotesbeforeafter"/>
        <w:spacing w:before="120"/>
        <w:rPr>
          <w:noProof/>
          <w:szCs w:val="14"/>
          <w:lang w:val="en-GB" w:eastAsia="en-GB"/>
        </w:rPr>
      </w:pPr>
      <w:r>
        <w:rPr>
          <w:i/>
          <w:noProof/>
          <w:lang w:val="en-GB"/>
        </w:rPr>
        <w:t xml:space="preserve">Notes: </w:t>
      </w:r>
      <w:r>
        <w:rPr>
          <w:noProof/>
          <w:szCs w:val="14"/>
          <w:lang w:val="en-GB" w:eastAsia="en-GB"/>
        </w:rPr>
        <w:t xml:space="preserve">A person is considered to be living in an </w:t>
      </w:r>
      <w:r>
        <w:rPr>
          <w:bCs/>
          <w:noProof/>
          <w:szCs w:val="14"/>
          <w:lang w:val="en-GB" w:eastAsia="en-GB"/>
        </w:rPr>
        <w:t>overcrowded</w:t>
      </w:r>
      <w:r>
        <w:rPr>
          <w:noProof/>
          <w:szCs w:val="14"/>
          <w:lang w:val="en-GB" w:eastAsia="en-GB"/>
        </w:rPr>
        <w:t xml:space="preserve"> household if it does not have a minimum number of rooms including: one room for the household; one room per couple in the household; one room for each single person aged 18 or more; one room per pair of single people of the same gender between 12 and 17 years of age; one room for each single person between 12 and 17 years of age not of the same gender; one room per pair of children under 12 years of age.</w:t>
      </w:r>
    </w:p>
    <w:p>
      <w:pPr>
        <w:pStyle w:val="Yo5TextNotesbeforeafter"/>
        <w:spacing w:before="120"/>
        <w:rPr>
          <w:noProof/>
          <w:lang w:val="en-GB"/>
        </w:rPr>
      </w:pPr>
      <w:r>
        <w:rPr>
          <w:noProof/>
          <w:lang w:val="en-GB"/>
        </w:rPr>
        <w:t>Bulgaria, Luxembourg and the Netherlands: break in time series (2016).</w:t>
      </w:r>
    </w:p>
    <w:p>
      <w:pPr>
        <w:pStyle w:val="Yo5TextNotesbeforeafter"/>
        <w:spacing w:before="120"/>
        <w:rPr>
          <w:noProof/>
          <w:lang w:val="en-GB"/>
        </w:rPr>
      </w:pPr>
      <w:r>
        <w:rPr>
          <w:i/>
          <w:noProof/>
          <w:lang w:val="en-GB"/>
        </w:rPr>
        <w:t xml:space="preserve">Source: </w:t>
      </w:r>
      <w:r>
        <w:rPr>
          <w:noProof/>
          <w:lang w:val="en-GB"/>
        </w:rPr>
        <w:t xml:space="preserve">Eurostat, Statistics on income and living conditions (SILC) [ilc_lvho05a]. </w:t>
      </w:r>
      <w:r>
        <w:rPr>
          <w:noProof/>
          <w:lang w:val="en-GB" w:eastAsia="en-GB"/>
        </w:rPr>
        <w:t>Data extracted on 10.01.2018.</w:t>
      </w:r>
    </w:p>
    <w:p>
      <w:pPr>
        <w:pStyle w:val="Yo5TextNotesbeforeafter"/>
        <w:spacing w:before="0" w:after="0"/>
        <w:rPr>
          <w:i/>
          <w:noProof/>
          <w:lang w:val="en-GB"/>
        </w:rPr>
      </w:pPr>
    </w:p>
    <w:p>
      <w:pPr>
        <w:pStyle w:val="Yo1Textpara"/>
        <w:rPr>
          <w:noProof/>
        </w:rPr>
      </w:pPr>
      <w:r>
        <w:rPr>
          <w:noProof/>
        </w:rPr>
        <w:t xml:space="preserve">As explained in earlier sections, leaving the parental home and establishing a separate household is a crucial moment in young people's lives and has a strong influence on their risk of poverty (see section 7.3.2). In this respect, housing costs have a significant impact on young people's living conditions. Given that young people have to face many hurdles in their transition from education to work (Chapters 2 and 3), the question of affordable housing is becoming even more important. </w:t>
      </w:r>
    </w:p>
    <w:p>
      <w:pPr>
        <w:pStyle w:val="Yo1Textpara"/>
        <w:rPr>
          <w:noProof/>
        </w:rPr>
      </w:pPr>
      <w:r>
        <w:rPr>
          <w:noProof/>
        </w:rPr>
        <w:t>The proportion of young people facing excessive housing costs is shown in Eurostat's 'housing cost overburden rate'; it is the percentage of the population living in households where the total housing costs represent more than 40 % of disposable income (</w:t>
      </w:r>
      <w:r>
        <w:rPr>
          <w:noProof/>
          <w:vertAlign w:val="superscript"/>
        </w:rPr>
        <w:footnoteReference w:id="29"/>
      </w:r>
      <w:r>
        <w:rPr>
          <w:noProof/>
        </w:rPr>
        <w:t>). In 2016, this rate for young people aged 20-29 was 3.3 percentage points higher than for the total population (14.4 % vs. 11.1 %) (Figure 7-J).</w:t>
      </w:r>
    </w:p>
    <w:tbl>
      <w:tblPr>
        <w:tblpPr w:leftFromText="180" w:rightFromText="180" w:vertAnchor="text" w:horzAnchor="margin" w:tblpXSpec="right" w:tblpY="170"/>
        <w:tblOverlap w:val="never"/>
        <w:tblW w:w="0" w:type="auto"/>
        <w:shd w:val="clear" w:color="auto" w:fill="FFA3A4"/>
        <w:tblLook w:val="04A0" w:firstRow="1" w:lastRow="0" w:firstColumn="1" w:lastColumn="0" w:noHBand="0" w:noVBand="1"/>
      </w:tblPr>
      <w:tblGrid>
        <w:gridCol w:w="3896"/>
      </w:tblGrid>
      <w:tr>
        <w:tc>
          <w:tcPr>
            <w:tcW w:w="3896" w:type="dxa"/>
            <w:shd w:val="clear" w:color="auto" w:fill="FFA3A4"/>
            <w:hideMark/>
          </w:tcPr>
          <w:p>
            <w:pPr>
              <w:pStyle w:val="Yo12Encart"/>
              <w:framePr w:hSpace="0" w:wrap="auto" w:vAnchor="margin" w:hAnchor="text" w:xAlign="left" w:yAlign="inline"/>
              <w:suppressOverlap w:val="0"/>
              <w:rPr>
                <w:noProof/>
                <w:sz w:val="22"/>
                <w:szCs w:val="22"/>
              </w:rPr>
            </w:pPr>
            <w:r>
              <w:rPr>
                <w:noProof/>
                <w:sz w:val="22"/>
                <w:szCs w:val="22"/>
              </w:rPr>
              <w:t>In several Member States, young people had to spend much more on housing in 2016 than they did in 2010.</w:t>
            </w:r>
          </w:p>
        </w:tc>
      </w:tr>
    </w:tbl>
    <w:p>
      <w:pPr>
        <w:pStyle w:val="Yo1Textpara"/>
        <w:rPr>
          <w:noProof/>
        </w:rPr>
      </w:pPr>
      <w:r>
        <w:rPr>
          <w:noProof/>
        </w:rPr>
        <w:t>Housing costs place an excessive burden on more young people in Greece than in any other country, with almost 50 % of 20-29 year-olds having to spend more than 40 % of their disposable income on accommodation (Figure 7-J). This rate has almost doubled since 2010. The rate is also high in Denmark (39.6 %), Serbia (28.9 %), Norway (23.5 %) and the Netherlands (22.5 %). In addition, it has increased significantly in Bulgaria since 2010 (by 15.1 percentage points), but from a lower level. In contrast, young people suffer least from excessive housing costs in Malta where the proportion spending more than 40 % of their income is only 0.8 %. The rates are also low in Latvia (4.2 %), Cyprus (4.5 %) and Croatia (4.6 %).</w:t>
      </w:r>
    </w:p>
    <w:p>
      <w:pPr>
        <w:pStyle w:val="Yo5TitleFigure"/>
        <w:jc w:val="both"/>
      </w:pPr>
      <w:r>
        <w:rPr>
          <w:b/>
        </w:rPr>
        <w:br w:type="page"/>
        <w:t>Figure 7-J:</w:t>
      </w:r>
      <w:r>
        <w:t xml:space="preserve"> Proportion of young people (aged 20-29) facing excessive housing costs (housing cost overburden rate), by country, 2010 and 2016</w:t>
      </w:r>
    </w:p>
    <w:p>
      <w:pPr>
        <w:pStyle w:val="Yo5TextNotes"/>
        <w:tabs>
          <w:tab w:val="clear" w:pos="1985"/>
          <w:tab w:val="left" w:pos="9141"/>
        </w:tabs>
        <w:ind w:left="504"/>
        <w:rPr>
          <w:noProof/>
          <w:lang w:eastAsia="en-GB"/>
        </w:rPr>
      </w:pPr>
      <w:r>
        <w:rPr>
          <w:noProof/>
          <w:lang w:eastAsia="en-GB"/>
        </w:rPr>
        <w:t>%</w:t>
      </w:r>
      <w:r>
        <w:rPr>
          <w:noProof/>
          <w:lang w:eastAsia="en-GB"/>
        </w:rPr>
        <w:tab/>
        <w:t xml:space="preserve">  %</w:t>
      </w:r>
    </w:p>
    <w:p>
      <w:pPr>
        <w:pStyle w:val="Yo5TextNotesbeforeafter"/>
        <w:spacing w:before="0"/>
        <w:jc w:val="center"/>
        <w:rPr>
          <w:i/>
          <w:noProof/>
          <w:lang w:val="en-GB"/>
        </w:rPr>
      </w:pPr>
      <w:r>
        <w:rPr>
          <w:i/>
          <w:noProof/>
          <w:snapToGrid/>
          <w:lang w:val="en-US"/>
        </w:rPr>
        <mc:AlternateContent>
          <mc:Choice Requires="wps">
            <w:drawing>
              <wp:anchor distT="0" distB="0" distL="114300" distR="114300" simplePos="0" relativeHeight="251656192" behindDoc="0" locked="0" layoutInCell="1" allowOverlap="1">
                <wp:simplePos x="0" y="0"/>
                <wp:positionH relativeFrom="column">
                  <wp:posOffset>3773805</wp:posOffset>
                </wp:positionH>
                <wp:positionV relativeFrom="paragraph">
                  <wp:posOffset>130175</wp:posOffset>
                </wp:positionV>
                <wp:extent cx="1149985" cy="952500"/>
                <wp:effectExtent l="1905" t="0" r="63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95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142"/>
                              <w:rPr>
                                <w:rFonts w:ascii="Arial Narrow" w:hAnsi="Arial Narrow"/>
                                <w:sz w:val="14"/>
                                <w:szCs w:val="14"/>
                              </w:rPr>
                            </w:pPr>
                            <w:r>
                              <w:rPr>
                                <w:rFonts w:ascii="Arial Narrow" w:hAnsi="Arial Narrow"/>
                                <w:sz w:val="14"/>
                                <w:szCs w:val="14"/>
                              </w:rPr>
                              <w:t xml:space="preserve">  %</w:t>
                            </w:r>
                          </w:p>
                          <w:p>
                            <w:r>
                              <w:rPr>
                                <w:noProof/>
                                <w:lang w:val="en-US"/>
                              </w:rPr>
                              <w:drawing>
                                <wp:inline distT="0" distB="0" distL="0" distR="0">
                                  <wp:extent cx="970280" cy="810895"/>
                                  <wp:effectExtent l="0" t="0" r="1270" b="8255"/>
                                  <wp:docPr id="108" name="Picture 108" descr="\\s-eacea-fs03-p\EACEA.A7\Youth\04_Reports\a_EU_Youth_Reports\2018\03_graph\7_J_housing_cost_overburden_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acea-fs03-p\EACEA.A7\Youth\04_Reports\a_EU_Youth_Reports\2018\03_graph\7_J_housing_cost_overburden_age.jpg"/>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970280" cy="81089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97.15pt;margin-top:10.25pt;width:90.55pt;height:7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" stroked="f">
                <v:textbox>
                  <w:txbxContent>
                    <w:p>
                      <w:pPr>
                        <w:spacing w:after="0" w:line="240" w:lineRule="auto"/>
                        <w:ind w:left="142"/>
                        <w:rPr>
                          <w:rFonts w:ascii="Arial Narrow" w:hAnsi="Arial Narrow"/>
                          <w:sz w:val="14"/>
                          <w:szCs w:val="14"/>
                        </w:rPr>
                      </w:pPr>
                      <w:r>
                        <w:rPr>
                          <w:rFonts w:ascii="Arial Narrow" w:hAnsi="Arial Narrow"/>
                          <w:sz w:val="14"/>
                          <w:szCs w:val="14"/>
                        </w:rPr>
                        <w:t xml:space="preserve">  %</w:t>
                      </w:r>
                    </w:p>
                    <w:p>
                      <w:r>
                        <w:rPr>
                          <w:noProof/>
                          <w:lang w:val="en-US"/>
                        </w:rPr>
                        <w:drawing>
                          <wp:inline distT="0" distB="0" distL="0" distR="0">
                            <wp:extent cx="970280" cy="810895"/>
                            <wp:effectExtent l="0" t="0" r="1270" b="8255"/>
                            <wp:docPr id="108" name="Picture 108" descr="\\s-eacea-fs03-p\EACEA.A7\Youth\04_Reports\a_EU_Youth_Reports\2018\03_graph\7_J_housing_cost_overburden_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acea-fs03-p\EACEA.A7\Youth\04_Reports\a_EU_Youth_Reports\2018\03_graph\7_J_housing_cost_overburden_age.jpg"/>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970280" cy="810895"/>
                                    </a:xfrm>
                                    <a:prstGeom prst="rect">
                                      <a:avLst/>
                                    </a:prstGeom>
                                    <a:noFill/>
                                    <a:ln>
                                      <a:noFill/>
                                    </a:ln>
                                  </pic:spPr>
                                </pic:pic>
                              </a:graphicData>
                            </a:graphic>
                          </wp:inline>
                        </w:drawing>
                      </w:r>
                    </w:p>
                  </w:txbxContent>
                </v:textbox>
              </v:shape>
            </w:pict>
          </mc:Fallback>
        </mc:AlternateContent>
      </w:r>
      <w:r>
        <w:rPr>
          <w:i/>
          <w:noProof/>
          <w:snapToGrid/>
          <w:lang w:val="en-US"/>
        </w:rPr>
        <w:drawing>
          <wp:inline distT="0" distB="0" distL="0" distR="0">
            <wp:extent cx="5899785" cy="2043430"/>
            <wp:effectExtent l="0" t="0" r="5715" b="0"/>
            <wp:docPr id="36" name="Picture 36" descr="\\s-eacea-fs03-p\EACEA.A7\Youth\04_Reports\a_EU_Youth_Reports\2018\03_graph\7_J_housing_cost_overbu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acea-fs03-p\EACEA.A7\Youth\04_Reports\a_EU_Youth_Reports\2018\03_graph\7_J_housing_cost_overburden.jpg"/>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5899785" cy="2043430"/>
                    </a:xfrm>
                    <a:prstGeom prst="rect">
                      <a:avLst/>
                    </a:prstGeom>
                    <a:noFill/>
                    <a:ln>
                      <a:noFill/>
                    </a:ln>
                  </pic:spPr>
                </pic:pic>
              </a:graphicData>
            </a:graphic>
          </wp:inline>
        </w:drawing>
      </w:r>
    </w:p>
    <w:p>
      <w:pPr>
        <w:pStyle w:val="Yo5TextNotesbeforeafter"/>
        <w:spacing w:before="120" w:after="0"/>
        <w:ind w:left="518" w:hanging="518"/>
        <w:rPr>
          <w:noProof/>
          <w:lang w:val="en-GB"/>
        </w:rPr>
      </w:pPr>
      <w:r>
        <w:rPr>
          <w:i/>
          <w:noProof/>
          <w:lang w:val="en-GB"/>
        </w:rPr>
        <w:t xml:space="preserve">Notes: </w:t>
      </w:r>
      <w:r>
        <w:rPr>
          <w:noProof/>
          <w:lang w:val="en-GB"/>
        </w:rPr>
        <w:t>The housing cost overburden rate is the percentage of the population living in households where the total housing costs represent more than 40 % of disposable income.</w:t>
      </w:r>
    </w:p>
    <w:p>
      <w:pPr>
        <w:pStyle w:val="Yo5TextNotesbeforeafter"/>
        <w:tabs>
          <w:tab w:val="clear" w:pos="1985"/>
          <w:tab w:val="left" w:pos="490"/>
        </w:tabs>
        <w:spacing w:before="120" w:after="0"/>
        <w:ind w:left="518"/>
        <w:rPr>
          <w:noProof/>
          <w:lang w:val="en-GB"/>
        </w:rPr>
      </w:pPr>
      <w:r>
        <w:rPr>
          <w:noProof/>
          <w:lang w:val="en-GB"/>
        </w:rPr>
        <w:t xml:space="preserve">Bulgaria, Luxembourg and the Netherlands: break in time series (2016). Austria: low reliability (2010). </w:t>
      </w:r>
    </w:p>
    <w:p>
      <w:pPr>
        <w:pStyle w:val="Yo5TextNotesbeforeafter"/>
        <w:tabs>
          <w:tab w:val="clear" w:pos="1985"/>
          <w:tab w:val="left" w:pos="490"/>
        </w:tabs>
        <w:spacing w:before="0"/>
        <w:ind w:left="518"/>
        <w:rPr>
          <w:noProof/>
          <w:lang w:val="en-GB"/>
        </w:rPr>
      </w:pPr>
      <w:r>
        <w:rPr>
          <w:noProof/>
          <w:lang w:val="en-GB"/>
        </w:rPr>
        <w:t>European Union (EU-28): Estimate for 2010.</w:t>
      </w:r>
    </w:p>
    <w:p>
      <w:pPr>
        <w:pStyle w:val="Yo5TextNotesbeforeafter"/>
        <w:spacing w:before="120"/>
        <w:rPr>
          <w:noProof/>
          <w:lang w:val="en-GB"/>
        </w:rPr>
      </w:pPr>
      <w:r>
        <w:rPr>
          <w:i/>
          <w:noProof/>
          <w:lang w:val="en-GB"/>
        </w:rPr>
        <w:t xml:space="preserve">Source: </w:t>
      </w:r>
      <w:r>
        <w:rPr>
          <w:noProof/>
          <w:lang w:val="en-GB"/>
        </w:rPr>
        <w:t xml:space="preserve">Eurostat, Statistics on income and living conditions (SILC) [ilc_lvho07a]. </w:t>
      </w:r>
      <w:r>
        <w:rPr>
          <w:noProof/>
          <w:lang w:val="en-GB" w:eastAsia="en-GB"/>
        </w:rPr>
        <w:t>Data extracted on 10.01.2018.</w:t>
      </w:r>
    </w:p>
    <w:p>
      <w:pPr>
        <w:pStyle w:val="Yo5TextNotesbeforeafter"/>
        <w:spacing w:before="0" w:after="0"/>
        <w:rPr>
          <w:noProof/>
          <w:lang w:val="en-GB"/>
        </w:rPr>
      </w:pPr>
    </w:p>
    <w:p>
      <w:pPr>
        <w:pStyle w:val="Yo5TextEUYouthTOC"/>
        <w:framePr w:hSpace="0" w:wrap="auto" w:vAnchor="margin" w:hAnchor="text" w:xAlign="left" w:yAlign="inline"/>
        <w:spacing w:before="240"/>
        <w:rPr>
          <w:rFonts w:eastAsia="Times New Roman"/>
          <w:color w:val="DA1E48"/>
          <w:spacing w:val="20"/>
          <w:sz w:val="24"/>
          <w:szCs w:val="24"/>
        </w:rPr>
      </w:pPr>
      <w:r>
        <w:rPr>
          <w:rFonts w:eastAsia="Times New Roman"/>
          <w:color w:val="DA1E48"/>
          <w:spacing w:val="20"/>
          <w:sz w:val="24"/>
          <w:szCs w:val="24"/>
        </w:rPr>
        <w:t>7.4.2. Access to health care</w:t>
      </w:r>
    </w:p>
    <w:p>
      <w:pPr>
        <w:pStyle w:val="p91Textpara"/>
        <w:rPr>
          <w:rFonts w:ascii="Times New Roman" w:eastAsia="Times New Roman" w:hAnsi="Times New Roman" w:cs="Times New Roman"/>
          <w:noProof/>
          <w:color w:val="auto"/>
          <w:sz w:val="22"/>
          <w:szCs w:val="22"/>
        </w:rPr>
      </w:pPr>
      <w:r>
        <w:rPr>
          <w:rFonts w:ascii="Times New Roman" w:eastAsia="Times New Roman" w:hAnsi="Times New Roman" w:cs="Times New Roman"/>
          <w:noProof/>
          <w:color w:val="auto"/>
          <w:sz w:val="22"/>
          <w:szCs w:val="22"/>
        </w:rPr>
        <w:t xml:space="preserve">Another important aspect of social inclusion for young people is their access to health care. The self-reported unmet need for a medical examination is a good indicator by which to assess this and was therefore included among the EU youth indicators. The barriers to accessing medical care are various, including the expense, the distance needed to travel to receive care and the length of the waiting list. </w:t>
      </w:r>
    </w:p>
    <w:p>
      <w:pPr>
        <w:pStyle w:val="p91Textpara"/>
        <w:rPr>
          <w:rFonts w:ascii="Times New Roman" w:eastAsia="Times New Roman" w:hAnsi="Times New Roman" w:cs="Times New Roman"/>
          <w:noProof/>
          <w:color w:val="auto"/>
          <w:sz w:val="22"/>
          <w:szCs w:val="22"/>
        </w:rPr>
      </w:pPr>
      <w:r>
        <w:rPr>
          <w:rFonts w:ascii="Times New Roman" w:eastAsia="Times New Roman" w:hAnsi="Times New Roman" w:cs="Times New Roman"/>
          <w:noProof/>
          <w:color w:val="auto"/>
          <w:sz w:val="22"/>
          <w:szCs w:val="22"/>
        </w:rPr>
        <w:t>Figure 7-K depicts the proportion of young people aged 16 to 29 who reported having unmet needs for a medical examination in 2010 and 2016. In 2016, in the EU-28, on average, the proportion of young people who faced barriers to accessing medical care was relatively low, 1.4</w:t>
      </w:r>
      <w:r>
        <w:rPr>
          <w:noProof/>
        </w:rPr>
        <w:t> </w:t>
      </w:r>
      <w:r>
        <w:rPr>
          <w:rFonts w:ascii="Times New Roman" w:eastAsia="Times New Roman" w:hAnsi="Times New Roman" w:cs="Times New Roman"/>
          <w:noProof/>
          <w:color w:val="auto"/>
          <w:sz w:val="22"/>
          <w:szCs w:val="22"/>
        </w:rPr>
        <w:t xml:space="preserve">%. In most countries with available data, the proportion of the youth population with this problem was also low </w:t>
      </w:r>
      <w:r>
        <w:rPr>
          <w:rFonts w:ascii="Times New Roman" w:eastAsia="Times New Roman" w:hAnsi="Times New Roman" w:cs="Times New Roman"/>
          <w:noProof/>
          <w:color w:val="auto"/>
          <w:sz w:val="22"/>
          <w:szCs w:val="22"/>
        </w:rPr>
        <w:sym w:font="Symbol" w:char="F02D"/>
      </w:r>
      <w:r>
        <w:rPr>
          <w:rFonts w:ascii="Times New Roman" w:eastAsia="Times New Roman" w:hAnsi="Times New Roman" w:cs="Times New Roman"/>
          <w:noProof/>
          <w:color w:val="auto"/>
          <w:sz w:val="22"/>
          <w:szCs w:val="22"/>
        </w:rPr>
        <w:t xml:space="preserve"> below 2</w:t>
      </w:r>
      <w:r>
        <w:rPr>
          <w:noProof/>
        </w:rPr>
        <w:t> </w:t>
      </w:r>
      <w:r>
        <w:rPr>
          <w:rFonts w:ascii="Times New Roman" w:eastAsia="Times New Roman" w:hAnsi="Times New Roman" w:cs="Times New Roman"/>
          <w:noProof/>
          <w:color w:val="auto"/>
          <w:sz w:val="22"/>
          <w:szCs w:val="22"/>
        </w:rPr>
        <w:t>%. However, most remarkably, in Estonia and Greece, the proportion of young people who could not get medical care when needed due to these barriers was around 10</w:t>
      </w:r>
      <w:r>
        <w:rPr>
          <w:noProof/>
        </w:rPr>
        <w:t> </w:t>
      </w:r>
      <w:r>
        <w:rPr>
          <w:rFonts w:ascii="Times New Roman" w:eastAsia="Times New Roman" w:hAnsi="Times New Roman" w:cs="Times New Roman"/>
          <w:noProof/>
          <w:color w:val="auto"/>
          <w:sz w:val="22"/>
          <w:szCs w:val="22"/>
        </w:rPr>
        <w:t>%, which is significantly above the European average.</w:t>
      </w:r>
    </w:p>
    <w:p>
      <w:pPr>
        <w:pStyle w:val="p91Textpara"/>
        <w:rPr>
          <w:rFonts w:ascii="Times New Roman" w:eastAsia="Times New Roman" w:hAnsi="Times New Roman" w:cs="Times New Roman"/>
          <w:noProof/>
          <w:color w:val="auto"/>
          <w:sz w:val="22"/>
          <w:szCs w:val="22"/>
        </w:rPr>
      </w:pPr>
      <w:r>
        <w:rPr>
          <w:rFonts w:ascii="Times New Roman" w:eastAsia="Times New Roman" w:hAnsi="Times New Roman" w:cs="Times New Roman"/>
          <w:noProof/>
          <w:color w:val="auto"/>
          <w:sz w:val="22"/>
          <w:szCs w:val="22"/>
        </w:rPr>
        <w:t>As the figure shows, these two countries experienced a large increase in the proportion of young people reporting unmet needs for medical care between 2010 and 2016. The increase was 7.5</w:t>
      </w:r>
      <w:r>
        <w:rPr>
          <w:noProof/>
        </w:rPr>
        <w:t> </w:t>
      </w:r>
      <w:r>
        <w:rPr>
          <w:rFonts w:ascii="Times New Roman" w:eastAsia="Times New Roman" w:hAnsi="Times New Roman" w:cs="Times New Roman"/>
          <w:noProof/>
          <w:color w:val="auto"/>
          <w:sz w:val="22"/>
          <w:szCs w:val="22"/>
        </w:rPr>
        <w:t>percentage points in Estonia and 8.1</w:t>
      </w:r>
      <w:r>
        <w:rPr>
          <w:noProof/>
        </w:rPr>
        <w:t> </w:t>
      </w:r>
      <w:r>
        <w:rPr>
          <w:rFonts w:ascii="Times New Roman" w:eastAsia="Times New Roman" w:hAnsi="Times New Roman" w:cs="Times New Roman"/>
          <w:noProof/>
          <w:color w:val="auto"/>
          <w:sz w:val="22"/>
          <w:szCs w:val="22"/>
        </w:rPr>
        <w:t>percentage points in Greece, at a time when the proportion of young people facing such barriers was decreasing in most other countries. As Figure 7-K also illustrates, in the EU-28 on average, the proportion of young people with unmet needs for medical care had been increasing until 2013, but has been falling since 2014. The decreases have been the most significant in Bulgaria (5.7</w:t>
      </w:r>
      <w:r>
        <w:rPr>
          <w:noProof/>
        </w:rPr>
        <w:t> </w:t>
      </w:r>
      <w:r>
        <w:rPr>
          <w:rFonts w:ascii="Times New Roman" w:eastAsia="Times New Roman" w:hAnsi="Times New Roman" w:cs="Times New Roman"/>
          <w:noProof/>
          <w:color w:val="auto"/>
          <w:sz w:val="22"/>
          <w:szCs w:val="22"/>
        </w:rPr>
        <w:t>percentage points), Latvia (4.5</w:t>
      </w:r>
      <w:r>
        <w:rPr>
          <w:noProof/>
        </w:rPr>
        <w:t> </w:t>
      </w:r>
      <w:r>
        <w:rPr>
          <w:rFonts w:ascii="Times New Roman" w:eastAsia="Times New Roman" w:hAnsi="Times New Roman" w:cs="Times New Roman"/>
          <w:noProof/>
          <w:color w:val="auto"/>
          <w:sz w:val="22"/>
          <w:szCs w:val="22"/>
        </w:rPr>
        <w:t>percentage points) and the former Yugoslav Republic of Macedonia (3.6</w:t>
      </w:r>
      <w:r>
        <w:rPr>
          <w:noProof/>
        </w:rPr>
        <w:t> </w:t>
      </w:r>
      <w:r>
        <w:rPr>
          <w:rFonts w:ascii="Times New Roman" w:eastAsia="Times New Roman" w:hAnsi="Times New Roman" w:cs="Times New Roman"/>
          <w:noProof/>
          <w:color w:val="auto"/>
          <w:sz w:val="22"/>
          <w:szCs w:val="22"/>
        </w:rPr>
        <w:t>percentage points). In this context, the situation of Estonia and Greece is a source of concern.</w:t>
      </w:r>
    </w:p>
    <w:p>
      <w:pPr>
        <w:pStyle w:val="p91Textpara"/>
        <w:rPr>
          <w:rFonts w:ascii="Times New Roman" w:eastAsia="Times New Roman" w:hAnsi="Times New Roman" w:cs="Times New Roman"/>
          <w:noProof/>
          <w:color w:val="auto"/>
          <w:sz w:val="22"/>
          <w:szCs w:val="22"/>
        </w:rPr>
      </w:pPr>
      <w:r>
        <w:rPr>
          <w:rFonts w:ascii="Times New Roman" w:eastAsia="Times New Roman" w:hAnsi="Times New Roman" w:cs="Times New Roman"/>
          <w:noProof/>
          <w:color w:val="auto"/>
          <w:sz w:val="22"/>
          <w:szCs w:val="22"/>
        </w:rPr>
        <w:t>Figure 7-K also depicts gender differences in healthcare access in the EU-28 in the period between 2010 and 2016. As the figure shows, larger proportions of young women than young men report facing barriers when in need of a medical examination. This also reflects the tendency that, in general, women seek medical care more often than men (see also Chapter 4).</w:t>
      </w:r>
    </w:p>
    <w:p>
      <w:pPr>
        <w:pStyle w:val="Yo5TitleFigure"/>
        <w:jc w:val="both"/>
      </w:pPr>
      <w:r>
        <w:rPr>
          <w:b/>
        </w:rPr>
        <w:t>Figure 7-K:</w:t>
      </w:r>
      <w:r>
        <w:t xml:space="preserve"> Self-reported unmet needs for a medical examination due to barriers in accessing care, young people aged 16-29, by country, 2010 and 2016</w:t>
      </w: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472"/>
        <w:gridCol w:w="5364"/>
        <w:gridCol w:w="4727"/>
      </w:tblGrid>
      <w:tr>
        <w:trPr>
          <w:trHeight w:val="2949"/>
        </w:trPr>
        <w:tc>
          <w:tcPr>
            <w:tcW w:w="471" w:type="dxa"/>
            <w:vMerge w:val="restart"/>
            <w:tcBorders>
              <w:top w:val="single" w:sz="4" w:space="0" w:color="auto"/>
              <w:left w:val="single" w:sz="4" w:space="0" w:color="auto"/>
              <w:bottom w:val="single" w:sz="4" w:space="0" w:color="auto"/>
              <w:right w:val="single" w:sz="4" w:space="0" w:color="auto"/>
            </w:tcBorders>
            <w:shd w:val="clear" w:color="auto" w:fill="FB5F5F"/>
            <w:textDirection w:val="btLr"/>
            <w:vAlign w:val="bottom"/>
            <w:hideMark/>
          </w:tcPr>
          <w:p>
            <w:pPr>
              <w:pStyle w:val="Yo13YouthIndicator"/>
              <w:jc w:val="center"/>
              <w:rPr>
                <w:noProof/>
                <w:lang w:eastAsia="fr-BE"/>
              </w:rPr>
            </w:pPr>
            <w:r>
              <w:rPr>
                <w:noProof/>
              </w:rPr>
              <w:t>EU youth indicator</w:t>
            </w:r>
          </w:p>
        </w:tc>
        <w:tc>
          <w:tcPr>
            <w:tcW w:w="10092" w:type="dxa"/>
            <w:gridSpan w:val="2"/>
            <w:tcBorders>
              <w:top w:val="single" w:sz="4" w:space="0" w:color="auto"/>
              <w:left w:val="single" w:sz="4" w:space="0" w:color="auto"/>
              <w:bottom w:val="nil"/>
              <w:right w:val="single" w:sz="4" w:space="0" w:color="auto"/>
            </w:tcBorders>
            <w:hideMark/>
          </w:tcPr>
          <w:p>
            <w:pPr>
              <w:pStyle w:val="Yo5TextNotes"/>
              <w:tabs>
                <w:tab w:val="clear" w:pos="1985"/>
                <w:tab w:val="left" w:pos="9080"/>
              </w:tabs>
              <w:ind w:left="443"/>
              <w:rPr>
                <w:noProof/>
                <w:lang w:eastAsia="en-GB"/>
              </w:rPr>
            </w:pPr>
            <w:r>
              <w:rPr>
                <w:noProof/>
                <w:lang w:eastAsia="en-GB"/>
              </w:rPr>
              <w:t xml:space="preserve">  %</w:t>
            </w:r>
            <w:r>
              <w:rPr>
                <w:noProof/>
                <w:lang w:eastAsia="en-GB"/>
              </w:rPr>
              <w:tab/>
              <w:t>%</w:t>
            </w:r>
          </w:p>
          <w:p>
            <w:pPr>
              <w:pStyle w:val="Yo5TextNotesafter"/>
              <w:jc w:val="center"/>
              <w:rPr>
                <w:noProof/>
                <w:sz w:val="16"/>
              </w:rPr>
            </w:pPr>
            <w:r>
              <w:rPr>
                <w:noProof/>
                <w:snapToGrid/>
                <w:sz w:val="16"/>
              </w:rPr>
              <w:drawing>
                <wp:inline distT="0" distB="0" distL="0" distR="0">
                  <wp:extent cx="5923915" cy="2035810"/>
                  <wp:effectExtent l="0" t="0" r="635" b="2540"/>
                  <wp:docPr id="37" name="Picture 37" descr="\\s-eacea-fs03-p\EACEA.A7\Youth\04_Reports\a_EU_Youth_Reports\2018\03_graph\7_K_unmet_n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acea-fs03-p\EACEA.A7\Youth\04_Reports\a_EU_Youth_Reports\2018\03_graph\7_K_unmet_need.jpg"/>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5923915" cy="2035810"/>
                          </a:xfrm>
                          <a:prstGeom prst="rect">
                            <a:avLst/>
                          </a:prstGeom>
                          <a:noFill/>
                          <a:ln>
                            <a:noFill/>
                          </a:ln>
                        </pic:spPr>
                      </pic:pic>
                    </a:graphicData>
                  </a:graphic>
                </wp:inline>
              </w:drawing>
            </w:r>
          </w:p>
        </w:tc>
      </w:tr>
      <w:tr>
        <w:trPr>
          <w:trHeight w:val="20"/>
        </w:trPr>
        <w:tc>
          <w:tcPr>
            <w:tcW w:w="471" w:type="dxa"/>
            <w:vMerge/>
            <w:tcBorders>
              <w:top w:val="nil"/>
              <w:left w:val="single" w:sz="4" w:space="0" w:color="auto"/>
              <w:bottom w:val="single" w:sz="4" w:space="0" w:color="auto"/>
              <w:right w:val="single" w:sz="4" w:space="0" w:color="auto"/>
            </w:tcBorders>
            <w:vAlign w:val="center"/>
            <w:hideMark/>
          </w:tcPr>
          <w:p>
            <w:pPr>
              <w:spacing w:after="0" w:line="240" w:lineRule="auto"/>
              <w:rPr>
                <w:b/>
                <w:noProof/>
                <w:color w:val="FFFFFF"/>
                <w:sz w:val="16"/>
                <w:lang w:eastAsia="fr-BE"/>
              </w:rPr>
            </w:pPr>
          </w:p>
        </w:tc>
        <w:tc>
          <w:tcPr>
            <w:tcW w:w="5165" w:type="dxa"/>
            <w:tcBorders>
              <w:top w:val="nil"/>
              <w:left w:val="single" w:sz="4" w:space="0" w:color="auto"/>
              <w:bottom w:val="single" w:sz="4" w:space="0" w:color="auto"/>
              <w:right w:val="nil"/>
            </w:tcBorders>
            <w:tcMar>
              <w:top w:w="57" w:type="dxa"/>
              <w:left w:w="57" w:type="dxa"/>
              <w:bottom w:w="0" w:type="dxa"/>
              <w:right w:w="57" w:type="dxa"/>
            </w:tcMar>
            <w:hideMark/>
          </w:tcPr>
          <w:p>
            <w:pPr>
              <w:pStyle w:val="Yo5TitleFigure"/>
              <w:spacing w:before="60"/>
              <w:ind w:left="998" w:right="226"/>
              <w:rPr>
                <w:sz w:val="14"/>
                <w:szCs w:val="14"/>
              </w:rPr>
            </w:pPr>
            <w:r>
              <w:rPr>
                <w:sz w:val="14"/>
                <w:szCs w:val="14"/>
              </w:rPr>
              <w:t>EU-28 average, by sex, 2010-2016</w:t>
            </w:r>
          </w:p>
          <w:tbl>
            <w:tblPr>
              <w:tblW w:w="4819" w:type="dxa"/>
              <w:tblInd w:w="431" w:type="dxa"/>
              <w:tblBorders>
                <w:insideH w:val="single" w:sz="4" w:space="0" w:color="auto"/>
              </w:tblBorders>
              <w:tblLook w:val="04A0" w:firstRow="1" w:lastRow="0" w:firstColumn="1" w:lastColumn="0" w:noHBand="0" w:noVBand="1"/>
            </w:tblPr>
            <w:tblGrid>
              <w:gridCol w:w="3562"/>
              <w:gridCol w:w="1257"/>
            </w:tblGrid>
            <w:tr>
              <w:tc>
                <w:tcPr>
                  <w:tcW w:w="0" w:type="auto"/>
                  <w:shd w:val="clear" w:color="auto" w:fill="auto"/>
                </w:tcPr>
                <w:p>
                  <w:pPr>
                    <w:pStyle w:val="Yo5TitleFigure"/>
                    <w:tabs>
                      <w:tab w:val="left" w:pos="2863"/>
                    </w:tabs>
                    <w:spacing w:before="0" w:after="0" w:line="240" w:lineRule="auto"/>
                    <w:ind w:left="170"/>
                    <w:rPr>
                      <w:b/>
                      <w:color w:val="auto"/>
                      <w:sz w:val="14"/>
                      <w:szCs w:val="14"/>
                    </w:rPr>
                  </w:pPr>
                  <w:r>
                    <w:rPr>
                      <w:color w:val="auto"/>
                      <w:sz w:val="14"/>
                      <w:szCs w:val="14"/>
                    </w:rPr>
                    <w:t>%</w:t>
                  </w:r>
                  <w:r>
                    <w:rPr>
                      <w:lang w:eastAsia="en-GB"/>
                    </w:rPr>
                    <w:tab/>
                  </w:r>
                  <w:r>
                    <w:rPr>
                      <w:color w:val="auto"/>
                      <w:sz w:val="14"/>
                      <w:szCs w:val="14"/>
                      <w:lang w:eastAsia="en-GB"/>
                    </w:rPr>
                    <w:t>%</w:t>
                  </w:r>
                </w:p>
                <w:p>
                  <w:pPr>
                    <w:pStyle w:val="Yo5TitleFigure"/>
                    <w:spacing w:before="60"/>
                    <w:ind w:right="226"/>
                    <w:rPr>
                      <w:sz w:val="14"/>
                      <w:szCs w:val="14"/>
                    </w:rPr>
                  </w:pPr>
                  <w:r>
                    <w:rPr>
                      <w:sz w:val="14"/>
                      <w:szCs w:val="14"/>
                      <w:lang w:val="en-US"/>
                    </w:rPr>
                    <w:drawing>
                      <wp:inline distT="0" distB="0" distL="0" distR="0">
                        <wp:extent cx="1979930" cy="1463040"/>
                        <wp:effectExtent l="0" t="0" r="1270" b="3810"/>
                        <wp:docPr id="38" name="Picture 38" descr="\\s-eacea-fs03-p\EACEA.A7\Youth\04_Reports\a_EU_Youth_Reports\2018\03_graph\7_K_b_unmet_need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acea-fs03-p\EACEA.A7\Youth\04_Reports\a_EU_Youth_Reports\2018\03_graph\7_K_b_unmet_need_gender.jpg"/>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1979930" cy="1463040"/>
                                </a:xfrm>
                                <a:prstGeom prst="rect">
                                  <a:avLst/>
                                </a:prstGeom>
                                <a:noFill/>
                                <a:ln>
                                  <a:noFill/>
                                </a:ln>
                              </pic:spPr>
                            </pic:pic>
                          </a:graphicData>
                        </a:graphic>
                      </wp:inline>
                    </w:drawing>
                  </w:r>
                </w:p>
              </w:tc>
              <w:tc>
                <w:tcPr>
                  <w:tcW w:w="1257" w:type="dxa"/>
                  <w:shd w:val="clear" w:color="auto" w:fill="auto"/>
                </w:tcPr>
                <w:p>
                  <w:pPr>
                    <w:pStyle w:val="Yo5TitleFigure"/>
                    <w:spacing w:before="60"/>
                    <w:ind w:right="226"/>
                    <w:rPr>
                      <w:sz w:val="14"/>
                      <w:szCs w:val="14"/>
                    </w:rPr>
                  </w:pPr>
                </w:p>
                <w:p>
                  <w:pPr>
                    <w:pStyle w:val="Yo5TitleFigure"/>
                    <w:spacing w:before="60"/>
                    <w:ind w:right="226"/>
                    <w:rPr>
                      <w:sz w:val="14"/>
                      <w:szCs w:val="14"/>
                    </w:rPr>
                  </w:pPr>
                </w:p>
                <w:p>
                  <w:pPr>
                    <w:pStyle w:val="Yo5TitleFigure"/>
                    <w:spacing w:before="60"/>
                    <w:ind w:right="226"/>
                    <w:rPr>
                      <w:sz w:val="14"/>
                      <w:szCs w:val="14"/>
                    </w:rPr>
                  </w:pPr>
                </w:p>
                <w:tbl>
                  <w:tblPr>
                    <w:tblpPr w:leftFromText="180" w:rightFromText="180" w:vertAnchor="text" w:horzAnchor="margin" w:tblpY="-92"/>
                    <w:tblOverlap w:val="never"/>
                    <w:tblW w:w="0" w:type="auto"/>
                    <w:tblLook w:val="04A0" w:firstRow="1" w:lastRow="0" w:firstColumn="1" w:lastColumn="0" w:noHBand="0" w:noVBand="1"/>
                  </w:tblPr>
                  <w:tblGrid>
                    <w:gridCol w:w="377"/>
                    <w:gridCol w:w="664"/>
                  </w:tblGrid>
                  <w:tr>
                    <w:trPr>
                      <w:trHeight w:val="278"/>
                    </w:trPr>
                    <w:tc>
                      <w:tcPr>
                        <w:tcW w:w="377" w:type="dxa"/>
                        <w:shd w:val="clear" w:color="auto" w:fill="auto"/>
                        <w:vAlign w:val="center"/>
                      </w:tcPr>
                      <w:p>
                        <w:pPr>
                          <w:pStyle w:val="Yo5TextNotes"/>
                          <w:tabs>
                            <w:tab w:val="clear" w:pos="1985"/>
                            <w:tab w:val="right" w:pos="8722"/>
                          </w:tabs>
                          <w:jc w:val="center"/>
                          <w:rPr>
                            <w:noProof/>
                            <w:sz w:val="24"/>
                            <w:szCs w:val="24"/>
                            <w:lang w:eastAsia="en-GB"/>
                          </w:rPr>
                        </w:pPr>
                        <w:r>
                          <w:rPr>
                            <w:noProof/>
                            <w:color w:val="FF0000"/>
                            <w:sz w:val="18"/>
                            <w:szCs w:val="18"/>
                            <w:lang w:val="en-GB"/>
                          </w:rPr>
                          <w:sym w:font="Wingdings 2" w:char="F098"/>
                        </w:r>
                      </w:p>
                    </w:tc>
                    <w:tc>
                      <w:tcPr>
                        <w:tcW w:w="722" w:type="dxa"/>
                        <w:shd w:val="clear" w:color="auto" w:fill="auto"/>
                        <w:vAlign w:val="center"/>
                      </w:tcPr>
                      <w:p>
                        <w:pPr>
                          <w:pStyle w:val="Yo5TextNotes"/>
                          <w:tabs>
                            <w:tab w:val="clear" w:pos="1985"/>
                            <w:tab w:val="right" w:pos="8722"/>
                          </w:tabs>
                          <w:jc w:val="left"/>
                          <w:rPr>
                            <w:noProof/>
                            <w:sz w:val="12"/>
                            <w:szCs w:val="12"/>
                            <w:lang w:val="en-GB" w:eastAsia="en-GB"/>
                          </w:rPr>
                        </w:pPr>
                        <w:r>
                          <w:rPr>
                            <w:noProof/>
                            <w:sz w:val="12"/>
                            <w:szCs w:val="12"/>
                            <w:lang w:val="en-GB" w:eastAsia="en-GB"/>
                          </w:rPr>
                          <w:t>Female</w:t>
                        </w:r>
                      </w:p>
                    </w:tc>
                  </w:tr>
                  <w:tr>
                    <w:trPr>
                      <w:trHeight w:val="296"/>
                    </w:trPr>
                    <w:tc>
                      <w:tcPr>
                        <w:tcW w:w="377" w:type="dxa"/>
                        <w:shd w:val="clear" w:color="auto" w:fill="auto"/>
                        <w:vAlign w:val="center"/>
                      </w:tcPr>
                      <w:p>
                        <w:pPr>
                          <w:pStyle w:val="Yo5TextNotes"/>
                          <w:tabs>
                            <w:tab w:val="clear" w:pos="1985"/>
                            <w:tab w:val="right" w:pos="8722"/>
                          </w:tabs>
                          <w:jc w:val="center"/>
                          <w:rPr>
                            <w:noProof/>
                            <w:sz w:val="16"/>
                            <w:lang w:eastAsia="en-GB"/>
                          </w:rPr>
                        </w:pPr>
                        <w:r>
                          <w:rPr>
                            <w:noProof/>
                            <w:color w:val="5F0312"/>
                            <w:sz w:val="16"/>
                            <w:lang w:val="en-GB"/>
                          </w:rPr>
                          <w:sym w:font="Wingdings 2" w:char="F0A2"/>
                        </w:r>
                      </w:p>
                    </w:tc>
                    <w:tc>
                      <w:tcPr>
                        <w:tcW w:w="722" w:type="dxa"/>
                        <w:shd w:val="clear" w:color="auto" w:fill="auto"/>
                        <w:vAlign w:val="center"/>
                      </w:tcPr>
                      <w:p>
                        <w:pPr>
                          <w:pStyle w:val="Yo5TextNotes"/>
                          <w:tabs>
                            <w:tab w:val="clear" w:pos="1985"/>
                            <w:tab w:val="right" w:pos="8722"/>
                          </w:tabs>
                          <w:jc w:val="left"/>
                          <w:rPr>
                            <w:noProof/>
                            <w:sz w:val="12"/>
                            <w:szCs w:val="12"/>
                            <w:lang w:eastAsia="en-GB"/>
                          </w:rPr>
                        </w:pPr>
                        <w:r>
                          <w:rPr>
                            <w:noProof/>
                            <w:sz w:val="12"/>
                            <w:szCs w:val="12"/>
                            <w:lang w:eastAsia="en-GB"/>
                          </w:rPr>
                          <w:t>Total</w:t>
                        </w:r>
                      </w:p>
                    </w:tc>
                  </w:tr>
                  <w:tr>
                    <w:trPr>
                      <w:trHeight w:val="272"/>
                    </w:trPr>
                    <w:tc>
                      <w:tcPr>
                        <w:tcW w:w="377" w:type="dxa"/>
                        <w:shd w:val="clear" w:color="auto" w:fill="auto"/>
                        <w:vAlign w:val="center"/>
                      </w:tcPr>
                      <w:p>
                        <w:pPr>
                          <w:pStyle w:val="Yo5TextNotes"/>
                          <w:tabs>
                            <w:tab w:val="clear" w:pos="1985"/>
                            <w:tab w:val="right" w:pos="8722"/>
                          </w:tabs>
                          <w:jc w:val="center"/>
                          <w:rPr>
                            <w:noProof/>
                            <w:sz w:val="18"/>
                            <w:szCs w:val="18"/>
                            <w:lang w:eastAsia="en-GB"/>
                          </w:rPr>
                        </w:pPr>
                        <w:r>
                          <w:rPr>
                            <w:noProof/>
                            <w:color w:val="1B4298"/>
                            <w:sz w:val="18"/>
                            <w:szCs w:val="18"/>
                            <w:lang w:val="en-GB"/>
                          </w:rPr>
                          <w:sym w:font="Wingdings 2" w:char="F0BF"/>
                        </w:r>
                      </w:p>
                    </w:tc>
                    <w:tc>
                      <w:tcPr>
                        <w:tcW w:w="722" w:type="dxa"/>
                        <w:shd w:val="clear" w:color="auto" w:fill="auto"/>
                        <w:vAlign w:val="center"/>
                      </w:tcPr>
                      <w:p>
                        <w:pPr>
                          <w:pStyle w:val="Yo5TextNotes"/>
                          <w:tabs>
                            <w:tab w:val="clear" w:pos="1985"/>
                            <w:tab w:val="right" w:pos="8722"/>
                          </w:tabs>
                          <w:jc w:val="left"/>
                          <w:rPr>
                            <w:noProof/>
                            <w:sz w:val="12"/>
                            <w:szCs w:val="12"/>
                            <w:lang w:eastAsia="en-GB"/>
                          </w:rPr>
                        </w:pPr>
                        <w:r>
                          <w:rPr>
                            <w:noProof/>
                            <w:sz w:val="12"/>
                            <w:szCs w:val="12"/>
                            <w:lang w:eastAsia="en-GB"/>
                          </w:rPr>
                          <w:t>Male</w:t>
                        </w:r>
                      </w:p>
                    </w:tc>
                  </w:tr>
                </w:tbl>
                <w:p>
                  <w:pPr>
                    <w:pStyle w:val="Yo5TitleFigure"/>
                    <w:spacing w:before="60"/>
                    <w:ind w:right="226"/>
                    <w:rPr>
                      <w:sz w:val="14"/>
                      <w:szCs w:val="14"/>
                    </w:rPr>
                  </w:pPr>
                </w:p>
                <w:p>
                  <w:pPr>
                    <w:pStyle w:val="Yo5TitleFigure"/>
                    <w:spacing w:before="60"/>
                    <w:ind w:right="226"/>
                    <w:rPr>
                      <w:sz w:val="14"/>
                      <w:szCs w:val="14"/>
                    </w:rPr>
                  </w:pPr>
                </w:p>
              </w:tc>
            </w:tr>
          </w:tbl>
          <w:p>
            <w:pPr>
              <w:pStyle w:val="Yo5TextNotes"/>
              <w:tabs>
                <w:tab w:val="clear" w:pos="1985"/>
                <w:tab w:val="right" w:pos="8722"/>
              </w:tabs>
              <w:rPr>
                <w:noProof/>
                <w:lang w:eastAsia="en-GB"/>
              </w:rPr>
            </w:pPr>
          </w:p>
        </w:tc>
        <w:tc>
          <w:tcPr>
            <w:tcW w:w="4927" w:type="dxa"/>
            <w:tcBorders>
              <w:top w:val="nil"/>
              <w:left w:val="nil"/>
              <w:bottom w:val="single" w:sz="4" w:space="0" w:color="auto"/>
              <w:right w:val="single" w:sz="4" w:space="0" w:color="auto"/>
            </w:tcBorders>
            <w:hideMark/>
          </w:tcPr>
          <w:p>
            <w:pPr>
              <w:pStyle w:val="Yo5TextNotes"/>
              <w:tabs>
                <w:tab w:val="clear" w:pos="1985"/>
                <w:tab w:val="right" w:pos="8722"/>
              </w:tabs>
              <w:ind w:left="175"/>
              <w:rPr>
                <w:noProof/>
                <w:lang w:val="en-GB" w:eastAsia="en-GB"/>
              </w:rPr>
            </w:pPr>
          </w:p>
          <w:p>
            <w:pPr>
              <w:pStyle w:val="Yo5TextNotes"/>
              <w:tabs>
                <w:tab w:val="clear" w:pos="1985"/>
                <w:tab w:val="right" w:pos="8722"/>
              </w:tabs>
              <w:ind w:left="175"/>
              <w:rPr>
                <w:noProof/>
                <w:lang w:val="en-GB" w:eastAsia="en-GB"/>
              </w:rPr>
            </w:pPr>
          </w:p>
          <w:p>
            <w:pPr>
              <w:pStyle w:val="Yo5TextNotes"/>
              <w:tabs>
                <w:tab w:val="clear" w:pos="1985"/>
                <w:tab w:val="right" w:pos="8722"/>
              </w:tabs>
              <w:spacing w:after="40"/>
              <w:ind w:left="176"/>
              <w:rPr>
                <w:noProof/>
                <w:lang w:val="en-GB" w:eastAsia="en-GB"/>
              </w:rPr>
            </w:pPr>
            <w:r>
              <w:rPr>
                <w:i/>
                <w:noProof/>
                <w:lang w:val="en-GB" w:eastAsia="en-GB"/>
              </w:rPr>
              <w:t xml:space="preserve">Notes: </w:t>
            </w:r>
            <w:r>
              <w:rPr>
                <w:noProof/>
                <w:lang w:val="en-GB" w:eastAsia="en-GB"/>
              </w:rPr>
              <w:t>Barriers to accessing care: the medical examination was too expensive, it was too far to travel to receive care or there was a waiting list.</w:t>
            </w:r>
          </w:p>
          <w:p>
            <w:pPr>
              <w:pStyle w:val="Yo5TextNotes"/>
              <w:tabs>
                <w:tab w:val="clear" w:pos="1985"/>
                <w:tab w:val="right" w:pos="8722"/>
              </w:tabs>
              <w:spacing w:after="120"/>
              <w:ind w:left="176"/>
              <w:rPr>
                <w:noProof/>
                <w:lang w:val="en-GB" w:eastAsia="en-GB"/>
              </w:rPr>
            </w:pPr>
            <w:r>
              <w:rPr>
                <w:noProof/>
                <w:lang w:val="en-GB"/>
              </w:rPr>
              <w:t>Breaks in time series: Belgium: 2011; Bulgaria, Luxembourg and the Netherlands: 2016; Lithuania and Finland: 2015; Sweden: 2014.</w:t>
            </w:r>
          </w:p>
          <w:p>
            <w:pPr>
              <w:pStyle w:val="Yo5TextNotes"/>
              <w:tabs>
                <w:tab w:val="clear" w:pos="1985"/>
                <w:tab w:val="right" w:pos="8722"/>
              </w:tabs>
              <w:ind w:left="175"/>
              <w:rPr>
                <w:noProof/>
                <w:lang w:val="en-GB" w:eastAsia="en-GB"/>
              </w:rPr>
            </w:pPr>
            <w:r>
              <w:rPr>
                <w:i/>
                <w:noProof/>
                <w:lang w:val="en-GB" w:eastAsia="en-GB"/>
              </w:rPr>
              <w:t xml:space="preserve">Source: </w:t>
            </w:r>
            <w:r>
              <w:rPr>
                <w:noProof/>
                <w:lang w:val="en-GB" w:eastAsia="en-GB"/>
              </w:rPr>
              <w:t>Eurostat, Statistics on income and living conditions (SILC) [hlth_silc_08]. Data extracted on 08.02.2018.</w:t>
            </w:r>
          </w:p>
          <w:p>
            <w:pPr>
              <w:pStyle w:val="Yo5TextNotes"/>
              <w:tabs>
                <w:tab w:val="clear" w:pos="1985"/>
                <w:tab w:val="right" w:pos="8722"/>
              </w:tabs>
              <w:ind w:left="175"/>
              <w:rPr>
                <w:noProof/>
                <w:lang w:val="en-GB" w:eastAsia="en-GB"/>
              </w:rPr>
            </w:pPr>
          </w:p>
          <w:p>
            <w:pPr>
              <w:pStyle w:val="Yo5TextNotes"/>
              <w:tabs>
                <w:tab w:val="clear" w:pos="1985"/>
                <w:tab w:val="right" w:pos="8722"/>
              </w:tabs>
              <w:ind w:left="175"/>
              <w:rPr>
                <w:noProof/>
                <w:lang w:val="en-GB" w:eastAsia="en-GB"/>
              </w:rPr>
            </w:pPr>
          </w:p>
        </w:tc>
      </w:tr>
    </w:tbl>
    <w:p>
      <w:pPr>
        <w:pStyle w:val="p91Textpara"/>
        <w:spacing w:before="0"/>
        <w:rPr>
          <w:rFonts w:ascii="Times New Roman" w:eastAsia="Times New Roman" w:hAnsi="Times New Roman" w:cs="Times New Roman"/>
          <w:noProof/>
          <w:color w:val="auto"/>
          <w:sz w:val="16"/>
          <w:szCs w:val="16"/>
        </w:rPr>
      </w:pPr>
    </w:p>
    <w:p>
      <w:pPr>
        <w:pStyle w:val="Yo5TextEUYouthTOC"/>
        <w:framePr w:hSpace="0" w:wrap="auto" w:vAnchor="margin" w:hAnchor="text" w:xAlign="left" w:yAlign="inline"/>
        <w:spacing w:before="240"/>
        <w:rPr>
          <w:rFonts w:eastAsia="Times New Roman"/>
          <w:color w:val="DA1E48"/>
          <w:spacing w:val="20"/>
          <w:sz w:val="24"/>
          <w:szCs w:val="24"/>
        </w:rPr>
      </w:pPr>
      <w:r>
        <w:rPr>
          <w:rFonts w:eastAsia="Times New Roman"/>
          <w:color w:val="DA1E48"/>
          <w:spacing w:val="20"/>
          <w:sz w:val="24"/>
          <w:szCs w:val="24"/>
        </w:rPr>
        <w:t xml:space="preserve">7.4.3. In-work poverty </w:t>
      </w:r>
    </w:p>
    <w:p>
      <w:pPr>
        <w:pStyle w:val="Yo1Textpara"/>
        <w:rPr>
          <w:noProof/>
        </w:rPr>
      </w:pPr>
      <w:r>
        <w:rPr>
          <w:noProof/>
        </w:rPr>
        <w:t>Poverty among those of working age can be rooted in either unemployment or in-work poverty. In-work poverty means being in employment, but not earning enough to make a living, for example, while working in low-paid temporary, part-time or hourly paid jobs. The in-work at-risk-of-poverty rate is the percentage of the working-age population (aged 18-64) who are classified as employed according to their most frequent activity status and yet are at risk of poverty (see also section 7.3.1). Given the difficulties that young people face in entering the labour market (Chapter 3), it is particularly important to examine the effect this transition has on their risk of poverty.</w:t>
      </w:r>
    </w:p>
    <w:tbl>
      <w:tblPr>
        <w:tblpPr w:leftFromText="180" w:rightFromText="180" w:vertAnchor="text" w:horzAnchor="margin" w:tblpXSpec="right" w:tblpY="493"/>
        <w:tblOverlap w:val="never"/>
        <w:tblW w:w="0" w:type="auto"/>
        <w:shd w:val="clear" w:color="auto" w:fill="FFA3A4"/>
        <w:tblLook w:val="04A0" w:firstRow="1" w:lastRow="0" w:firstColumn="1" w:lastColumn="0" w:noHBand="0" w:noVBand="1"/>
      </w:tblPr>
      <w:tblGrid>
        <w:gridCol w:w="2653"/>
      </w:tblGrid>
      <w:tr>
        <w:tc>
          <w:tcPr>
            <w:tcW w:w="2653" w:type="dxa"/>
            <w:shd w:val="clear" w:color="auto" w:fill="FFA3A4"/>
            <w:hideMark/>
          </w:tcPr>
          <w:p>
            <w:pPr>
              <w:pStyle w:val="Yo12Encart"/>
              <w:framePr w:hSpace="0" w:wrap="auto" w:vAnchor="margin" w:hAnchor="text" w:xAlign="left" w:yAlign="inline"/>
              <w:suppressOverlap w:val="0"/>
              <w:rPr>
                <w:noProof/>
                <w:sz w:val="22"/>
                <w:szCs w:val="22"/>
              </w:rPr>
            </w:pPr>
            <w:r>
              <w:rPr>
                <w:noProof/>
                <w:sz w:val="22"/>
                <w:szCs w:val="22"/>
              </w:rPr>
              <w:t>In-work poverty is a growing concern in the European Union.</w:t>
            </w:r>
          </w:p>
        </w:tc>
      </w:tr>
    </w:tbl>
    <w:p>
      <w:pPr>
        <w:pStyle w:val="Yo1Textpara"/>
        <w:rPr>
          <w:noProof/>
        </w:rPr>
      </w:pPr>
      <w:r>
        <w:rPr>
          <w:noProof/>
        </w:rPr>
        <w:t>In-work poverty affects 10.4 % of young people aged 16 to 29 in the European Union on average, while the rate in the prime working-age population aged 25 to 54 is 9.7 % (Figure 7-L). This type of poverty is mostly a concern in Romania, where almost 24 % of employed young people are at risk of poverty. However, between 2010 and 2016, in-work poverty rates increased in the large majority of countries with available data (both for young people and the prime working-age population), so this phenomenon is of growing concern in the European Union and beyond. Increases of over 4 percentage points in the youth cohort took place in Bulgaria, Greece, Spain, Hungary, Portugal, Romania and Slovenia.</w:t>
      </w:r>
    </w:p>
    <w:p>
      <w:pPr>
        <w:pStyle w:val="Yo5TitleFigure"/>
        <w:jc w:val="both"/>
      </w:pPr>
      <w:r>
        <w:rPr>
          <w:b/>
        </w:rPr>
        <w:t>Figure 7-L:</w:t>
      </w:r>
      <w:r>
        <w:t xml:space="preserve"> In-work at-risk-of-poverty rate for young people aged 16-29, by country, 2010 and 2016</w:t>
      </w: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4503"/>
        <w:gridCol w:w="5526"/>
      </w:tblGrid>
      <w:tr>
        <w:trPr>
          <w:trHeight w:val="2949"/>
        </w:trPr>
        <w:tc>
          <w:tcPr>
            <w:tcW w:w="9650" w:type="dxa"/>
            <w:gridSpan w:val="2"/>
            <w:tcBorders>
              <w:top w:val="single" w:sz="4" w:space="0" w:color="auto"/>
              <w:left w:val="single" w:sz="4" w:space="0" w:color="auto"/>
              <w:bottom w:val="nil"/>
              <w:right w:val="single" w:sz="4" w:space="0" w:color="auto"/>
            </w:tcBorders>
            <w:hideMark/>
          </w:tcPr>
          <w:p>
            <w:pPr>
              <w:pStyle w:val="Yo5TextNotes"/>
              <w:tabs>
                <w:tab w:val="clear" w:pos="1985"/>
                <w:tab w:val="left" w:pos="9032"/>
              </w:tabs>
              <w:ind w:left="451"/>
              <w:rPr>
                <w:noProof/>
                <w:lang w:eastAsia="en-GB"/>
              </w:rPr>
            </w:pPr>
            <w:r>
              <w:rPr>
                <w:noProof/>
                <w:lang w:val="en-GB" w:eastAsia="en-GB"/>
              </w:rPr>
              <w:t xml:space="preserve">  </w:t>
            </w:r>
            <w:r>
              <w:rPr>
                <w:noProof/>
                <w:lang w:eastAsia="en-GB"/>
              </w:rPr>
              <w:t>%</w:t>
            </w:r>
            <w:r>
              <w:rPr>
                <w:noProof/>
                <w:lang w:eastAsia="en-GB"/>
              </w:rPr>
              <w:tab/>
              <w:t>%</w:t>
            </w:r>
          </w:p>
          <w:p>
            <w:pPr>
              <w:pStyle w:val="Yo5TextNotesafter"/>
              <w:jc w:val="center"/>
              <w:rPr>
                <w:noProof/>
                <w:sz w:val="16"/>
              </w:rPr>
            </w:pPr>
            <w:r>
              <w:rPr>
                <w:noProof/>
                <w:snapToGrid/>
                <w:sz w:val="16"/>
              </w:rPr>
              <w:drawing>
                <wp:inline distT="0" distB="0" distL="0" distR="0">
                  <wp:extent cx="5908040" cy="2043430"/>
                  <wp:effectExtent l="0" t="0" r="0" b="0"/>
                  <wp:docPr id="39" name="Picture 39" descr="\\s-eacea-fs03-p\EACEA.A7\Youth\04_Reports\a_EU_Youth_Reports\2018\03_graph\7_L_in_work_p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acea-fs03-p\EACEA.A7\Youth\04_Reports\a_EU_Youth_Reports\2018\03_graph\7_L_in_work_poverty.jpg"/>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5908040" cy="2043430"/>
                          </a:xfrm>
                          <a:prstGeom prst="rect">
                            <a:avLst/>
                          </a:prstGeom>
                          <a:noFill/>
                          <a:ln>
                            <a:noFill/>
                          </a:ln>
                        </pic:spPr>
                      </pic:pic>
                    </a:graphicData>
                  </a:graphic>
                </wp:inline>
              </w:drawing>
            </w:r>
          </w:p>
        </w:tc>
      </w:tr>
      <w:tr>
        <w:trPr>
          <w:trHeight w:val="20"/>
        </w:trPr>
        <w:tc>
          <w:tcPr>
            <w:tcW w:w="2959" w:type="dxa"/>
            <w:tcBorders>
              <w:top w:val="nil"/>
              <w:left w:val="single" w:sz="4" w:space="0" w:color="auto"/>
              <w:bottom w:val="single" w:sz="4" w:space="0" w:color="auto"/>
              <w:right w:val="nil"/>
            </w:tcBorders>
            <w:tcMar>
              <w:top w:w="57" w:type="dxa"/>
              <w:left w:w="255" w:type="dxa"/>
              <w:bottom w:w="0" w:type="dxa"/>
              <w:right w:w="108" w:type="dxa"/>
            </w:tcMar>
            <w:hideMark/>
          </w:tcPr>
          <w:p>
            <w:pPr>
              <w:pStyle w:val="Yo5TitleFigure"/>
              <w:spacing w:before="60"/>
              <w:ind w:right="467"/>
              <w:jc w:val="center"/>
              <w:rPr>
                <w:sz w:val="14"/>
                <w:szCs w:val="14"/>
              </w:rPr>
            </w:pPr>
            <w:r>
              <w:rPr>
                <w:sz w:val="14"/>
                <w:szCs w:val="14"/>
              </w:rPr>
              <w:t>EU-28 average, by age, 2010-2016</w:t>
            </w:r>
          </w:p>
          <w:p>
            <w:pPr>
              <w:pStyle w:val="Yo5TitleFigure"/>
              <w:tabs>
                <w:tab w:val="left" w:pos="3713"/>
              </w:tabs>
              <w:spacing w:before="0" w:after="0" w:line="240" w:lineRule="auto"/>
              <w:rPr>
                <w:b/>
                <w:color w:val="auto"/>
                <w:sz w:val="14"/>
                <w:szCs w:val="14"/>
              </w:rPr>
            </w:pPr>
            <w:r>
              <w:rPr>
                <w:color w:val="auto"/>
                <w:sz w:val="14"/>
                <w:szCs w:val="14"/>
              </w:rPr>
              <w:t xml:space="preserve">       %</w:t>
            </w:r>
            <w:r>
              <w:rPr>
                <w:lang w:eastAsia="en-GB"/>
              </w:rPr>
              <w:tab/>
              <w:t xml:space="preserve"> </w:t>
            </w:r>
            <w:r>
              <w:rPr>
                <w:color w:val="auto"/>
                <w:sz w:val="14"/>
                <w:szCs w:val="14"/>
                <w:lang w:eastAsia="en-GB"/>
              </w:rPr>
              <w:t>%</w:t>
            </w:r>
          </w:p>
          <w:p>
            <w:pPr>
              <w:pStyle w:val="Yo5TextNotes"/>
              <w:tabs>
                <w:tab w:val="clear" w:pos="1985"/>
                <w:tab w:val="right" w:pos="8722"/>
              </w:tabs>
              <w:spacing w:after="120"/>
              <w:rPr>
                <w:noProof/>
                <w:lang w:eastAsia="en-GB"/>
              </w:rPr>
            </w:pPr>
            <w:r>
              <w:rPr>
                <w:noProof/>
                <w:snapToGrid/>
                <w:lang w:val="en-US"/>
              </w:rPr>
              <w:drawing>
                <wp:inline distT="0" distB="0" distL="0" distR="0">
                  <wp:extent cx="2623820" cy="1280160"/>
                  <wp:effectExtent l="0" t="0" r="5080" b="0"/>
                  <wp:docPr id="40" name="Picture 40" descr="\\s-eacea-fs03-p\EACEA.A7\Youth\04_Reports\a_EU_Youth_Reports\2018\03_graph\7_L_b_in_work_poverty_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acea-fs03-p\EACEA.A7\Youth\04_Reports\a_EU_Youth_Reports\2018\03_graph\7_L_b_in_work_poverty_age.jpg"/>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2623820" cy="1280160"/>
                          </a:xfrm>
                          <a:prstGeom prst="rect">
                            <a:avLst/>
                          </a:prstGeom>
                          <a:noFill/>
                          <a:ln>
                            <a:noFill/>
                          </a:ln>
                        </pic:spPr>
                      </pic:pic>
                    </a:graphicData>
                  </a:graphic>
                </wp:inline>
              </w:drawing>
            </w:r>
          </w:p>
          <w:tbl>
            <w:tblPr>
              <w:tblW w:w="0" w:type="auto"/>
              <w:jc w:val="center"/>
              <w:tblBorders>
                <w:insideH w:val="single" w:sz="4" w:space="0" w:color="auto"/>
              </w:tblBorders>
              <w:tblLook w:val="04A0" w:firstRow="1" w:lastRow="0" w:firstColumn="1" w:lastColumn="0" w:noHBand="0" w:noVBand="1"/>
            </w:tblPr>
            <w:tblGrid>
              <w:gridCol w:w="430"/>
              <w:gridCol w:w="1108"/>
              <w:gridCol w:w="413"/>
              <w:gridCol w:w="1047"/>
            </w:tblGrid>
            <w:tr>
              <w:trPr>
                <w:jc w:val="center"/>
              </w:trPr>
              <w:tc>
                <w:tcPr>
                  <w:tcW w:w="430" w:type="dxa"/>
                  <w:shd w:val="clear" w:color="auto" w:fill="auto"/>
                </w:tcPr>
                <w:p>
                  <w:pPr>
                    <w:pStyle w:val="Yo5TextNotes"/>
                    <w:tabs>
                      <w:tab w:val="clear" w:pos="1985"/>
                      <w:tab w:val="right" w:pos="8722"/>
                    </w:tabs>
                    <w:spacing w:before="20" w:after="20"/>
                    <w:jc w:val="left"/>
                    <w:rPr>
                      <w:noProof/>
                      <w:color w:val="EF413D"/>
                      <w:sz w:val="20"/>
                      <w:szCs w:val="20"/>
                      <w:lang w:val="en-GB" w:eastAsia="en-GB"/>
                    </w:rPr>
                  </w:pPr>
                  <w:r>
                    <w:rPr>
                      <w:noProof/>
                      <w:snapToGrid/>
                      <w:szCs w:val="14"/>
                      <w:lang w:val="en-US"/>
                    </w:rPr>
                    <w:drawing>
                      <wp:inline distT="0" distB="0" distL="0" distR="0">
                        <wp:extent cx="111125" cy="111125"/>
                        <wp:effectExtent l="0" t="0" r="3175" b="3175"/>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1108" w:type="dxa"/>
                  <w:shd w:val="clear" w:color="auto" w:fill="auto"/>
                  <w:vAlign w:val="center"/>
                </w:tcPr>
                <w:p>
                  <w:pPr>
                    <w:pStyle w:val="Yo5TextNotes"/>
                    <w:tabs>
                      <w:tab w:val="clear" w:pos="1985"/>
                      <w:tab w:val="right" w:pos="8722"/>
                    </w:tabs>
                    <w:spacing w:before="20" w:after="20"/>
                    <w:jc w:val="left"/>
                    <w:rPr>
                      <w:noProof/>
                      <w:szCs w:val="14"/>
                      <w:lang w:val="en-GB" w:eastAsia="en-GB"/>
                    </w:rPr>
                  </w:pPr>
                  <w:r>
                    <w:rPr>
                      <w:noProof/>
                      <w:szCs w:val="14"/>
                      <w:lang w:val="en-GB" w:eastAsia="en-GB"/>
                    </w:rPr>
                    <w:t>Aged 16-29</w:t>
                  </w:r>
                </w:p>
              </w:tc>
              <w:tc>
                <w:tcPr>
                  <w:tcW w:w="413" w:type="dxa"/>
                  <w:shd w:val="clear" w:color="auto" w:fill="auto"/>
                  <w:vAlign w:val="center"/>
                </w:tcPr>
                <w:p>
                  <w:pPr>
                    <w:pStyle w:val="Yo5TextNotes"/>
                    <w:tabs>
                      <w:tab w:val="clear" w:pos="1985"/>
                      <w:tab w:val="right" w:pos="8722"/>
                    </w:tabs>
                    <w:spacing w:before="20" w:after="20"/>
                    <w:jc w:val="left"/>
                    <w:rPr>
                      <w:noProof/>
                      <w:color w:val="5F0312"/>
                      <w:sz w:val="22"/>
                      <w:szCs w:val="22"/>
                      <w:lang w:val="en-GB" w:eastAsia="en-GB"/>
                    </w:rPr>
                  </w:pPr>
                  <w:r>
                    <w:rPr>
                      <w:noProof/>
                      <w:color w:val="5F0312"/>
                      <w:sz w:val="22"/>
                      <w:szCs w:val="22"/>
                      <w:lang w:val="en-GB"/>
                    </w:rPr>
                    <w:sym w:font="Wingdings 2" w:char="F0BF"/>
                  </w:r>
                </w:p>
              </w:tc>
              <w:tc>
                <w:tcPr>
                  <w:tcW w:w="1047" w:type="dxa"/>
                  <w:shd w:val="clear" w:color="auto" w:fill="auto"/>
                  <w:vAlign w:val="center"/>
                </w:tcPr>
                <w:p>
                  <w:pPr>
                    <w:pStyle w:val="Yo5TextNotes"/>
                    <w:tabs>
                      <w:tab w:val="clear" w:pos="1985"/>
                      <w:tab w:val="right" w:pos="8722"/>
                    </w:tabs>
                    <w:spacing w:before="20" w:after="20"/>
                    <w:jc w:val="left"/>
                    <w:rPr>
                      <w:noProof/>
                      <w:lang w:val="en-GB" w:eastAsia="en-GB"/>
                    </w:rPr>
                  </w:pPr>
                  <w:r>
                    <w:rPr>
                      <w:noProof/>
                      <w:lang w:val="en-GB" w:eastAsia="en-GB"/>
                    </w:rPr>
                    <w:t>Aged 25-54</w:t>
                  </w:r>
                </w:p>
              </w:tc>
            </w:tr>
          </w:tbl>
          <w:p>
            <w:pPr>
              <w:pStyle w:val="Yo5TextNotes"/>
              <w:tabs>
                <w:tab w:val="clear" w:pos="1985"/>
                <w:tab w:val="right" w:pos="8722"/>
              </w:tabs>
              <w:rPr>
                <w:noProof/>
                <w:lang w:eastAsia="en-GB"/>
              </w:rPr>
            </w:pPr>
          </w:p>
        </w:tc>
        <w:tc>
          <w:tcPr>
            <w:tcW w:w="0" w:type="auto"/>
            <w:tcBorders>
              <w:top w:val="nil"/>
              <w:left w:val="nil"/>
              <w:bottom w:val="single" w:sz="4" w:space="0" w:color="auto"/>
              <w:right w:val="single" w:sz="4" w:space="0" w:color="auto"/>
            </w:tcBorders>
            <w:vAlign w:val="bottom"/>
            <w:hideMark/>
          </w:tcPr>
          <w:p>
            <w:pPr>
              <w:pStyle w:val="Yo5TextNotes"/>
              <w:tabs>
                <w:tab w:val="clear" w:pos="1985"/>
                <w:tab w:val="right" w:pos="8722"/>
              </w:tabs>
              <w:ind w:left="175"/>
              <w:jc w:val="left"/>
              <w:rPr>
                <w:noProof/>
                <w:lang w:val="en-GB" w:eastAsia="en-GB"/>
              </w:rPr>
            </w:pPr>
          </w:p>
          <w:p>
            <w:pPr>
              <w:pStyle w:val="Yo5TextNotes"/>
              <w:tabs>
                <w:tab w:val="clear" w:pos="1985"/>
                <w:tab w:val="right" w:pos="8722"/>
              </w:tabs>
              <w:ind w:left="175"/>
              <w:jc w:val="left"/>
              <w:rPr>
                <w:noProof/>
                <w:lang w:val="en-GB" w:eastAsia="en-GB"/>
              </w:rPr>
            </w:pPr>
          </w:p>
          <w:p>
            <w:pPr>
              <w:pStyle w:val="Yo5TextNotes"/>
              <w:tabs>
                <w:tab w:val="clear" w:pos="1985"/>
                <w:tab w:val="right" w:pos="8722"/>
              </w:tabs>
              <w:ind w:left="175"/>
              <w:jc w:val="left"/>
              <w:rPr>
                <w:noProof/>
                <w:lang w:val="en-GB"/>
              </w:rPr>
            </w:pPr>
            <w:r>
              <w:rPr>
                <w:i/>
                <w:noProof/>
                <w:lang w:val="en-GB"/>
              </w:rPr>
              <w:t xml:space="preserve">Notes: </w:t>
            </w:r>
            <w:r>
              <w:rPr>
                <w:noProof/>
                <w:lang w:val="en-GB"/>
              </w:rPr>
              <w:t>The in-work at-risk-of-poverty rate is the percentage of the working-age population who are classified as employed according to their most frequent activity status and yet are at risk of poverty.</w:t>
            </w:r>
          </w:p>
          <w:p>
            <w:pPr>
              <w:pStyle w:val="Yo5TextNotes"/>
              <w:tabs>
                <w:tab w:val="clear" w:pos="1985"/>
                <w:tab w:val="right" w:pos="8722"/>
              </w:tabs>
              <w:ind w:left="175"/>
              <w:jc w:val="left"/>
              <w:rPr>
                <w:i/>
                <w:noProof/>
                <w:lang w:val="en-GB"/>
              </w:rPr>
            </w:pPr>
          </w:p>
          <w:p>
            <w:pPr>
              <w:pStyle w:val="Yo5TextNotes"/>
              <w:tabs>
                <w:tab w:val="clear" w:pos="1985"/>
                <w:tab w:val="right" w:pos="8722"/>
              </w:tabs>
              <w:ind w:left="175"/>
              <w:jc w:val="left"/>
              <w:rPr>
                <w:noProof/>
                <w:lang w:val="en-GB"/>
              </w:rPr>
            </w:pPr>
            <w:r>
              <w:rPr>
                <w:noProof/>
                <w:lang w:val="en-GB"/>
              </w:rPr>
              <w:t>Breaks in time series: Bulgaria, Luxembourg and the Netherlands: 2016; Denmark: 2011; Estonia: 2014; Sweden: 2015; United Kingdom: 2012.</w:t>
            </w:r>
          </w:p>
          <w:p>
            <w:pPr>
              <w:pStyle w:val="Yo5TextNotes"/>
              <w:tabs>
                <w:tab w:val="clear" w:pos="1985"/>
                <w:tab w:val="right" w:pos="8722"/>
              </w:tabs>
              <w:ind w:left="175"/>
              <w:jc w:val="left"/>
              <w:rPr>
                <w:i/>
                <w:noProof/>
                <w:lang w:val="en-GB" w:eastAsia="en-GB"/>
              </w:rPr>
            </w:pPr>
          </w:p>
          <w:p>
            <w:pPr>
              <w:pStyle w:val="Yo5TextNotes"/>
              <w:tabs>
                <w:tab w:val="clear" w:pos="1985"/>
                <w:tab w:val="right" w:pos="8722"/>
              </w:tabs>
              <w:ind w:left="175"/>
              <w:jc w:val="left"/>
              <w:rPr>
                <w:noProof/>
                <w:lang w:val="en-GB" w:eastAsia="en-GB"/>
              </w:rPr>
            </w:pPr>
            <w:r>
              <w:rPr>
                <w:i/>
                <w:noProof/>
                <w:lang w:val="en-GB" w:eastAsia="en-GB"/>
              </w:rPr>
              <w:t xml:space="preserve">Source: </w:t>
            </w:r>
            <w:r>
              <w:rPr>
                <w:noProof/>
                <w:lang w:val="en-GB" w:eastAsia="en-GB"/>
              </w:rPr>
              <w:t>Eurostat, Statistics on income and living conditions (SILC) [ilc_iw01]. Data extracted on 10.01.2018.</w:t>
            </w:r>
          </w:p>
          <w:p>
            <w:pPr>
              <w:pStyle w:val="Yo5TextNotes"/>
              <w:tabs>
                <w:tab w:val="clear" w:pos="1985"/>
                <w:tab w:val="right" w:pos="8722"/>
              </w:tabs>
              <w:ind w:left="175"/>
              <w:jc w:val="left"/>
              <w:rPr>
                <w:noProof/>
                <w:lang w:val="en-GB" w:eastAsia="en-GB"/>
              </w:rPr>
            </w:pPr>
          </w:p>
        </w:tc>
      </w:tr>
    </w:tbl>
    <w:p>
      <w:pPr>
        <w:pStyle w:val="p91Textpara"/>
        <w:spacing w:before="0"/>
        <w:rPr>
          <w:rFonts w:ascii="Times New Roman" w:eastAsia="Times New Roman" w:hAnsi="Times New Roman" w:cs="Times New Roman"/>
          <w:noProof/>
          <w:color w:val="auto"/>
          <w:sz w:val="16"/>
          <w:szCs w:val="16"/>
        </w:rPr>
      </w:pPr>
    </w:p>
    <w:p>
      <w:pPr>
        <w:pStyle w:val="Yo0H2"/>
        <w:rPr>
          <w:noProof/>
          <w:lang w:val="en-GB"/>
        </w:rPr>
      </w:pPr>
      <w:r>
        <w:rPr>
          <w:noProof/>
          <w:lang w:val="en-GB"/>
        </w:rPr>
        <w:t>7.5. Groups at risk of social exclusion</w:t>
      </w:r>
    </w:p>
    <w:p>
      <w:pPr>
        <w:pStyle w:val="Yo1Textpara"/>
        <w:rPr>
          <w:noProof/>
        </w:rPr>
      </w:pPr>
      <w:r>
        <w:rPr>
          <w:noProof/>
        </w:rPr>
        <w:t xml:space="preserve">After discussing the main poverty and social exclusion indicators as well as some specific dimensions of poverty and young people's living conditions, the last section of this chapter turns to specific groups of young people who are more vulnerable to poverty and social exclusion than others. Two groups of young people were selected for this section: young people who are neither in education and training nor in employment (NEETs) and young people from a migrant background. </w:t>
      </w:r>
    </w:p>
    <w:p>
      <w:pPr>
        <w:pStyle w:val="Yo5TextEUYouthTOC"/>
        <w:framePr w:hSpace="0" w:wrap="auto" w:vAnchor="margin" w:hAnchor="text" w:xAlign="left" w:yAlign="inline"/>
        <w:spacing w:before="240"/>
        <w:rPr>
          <w:rFonts w:eastAsia="Times New Roman"/>
          <w:color w:val="DA1E48"/>
          <w:spacing w:val="20"/>
          <w:sz w:val="24"/>
          <w:szCs w:val="24"/>
        </w:rPr>
      </w:pPr>
      <w:r>
        <w:rPr>
          <w:rFonts w:eastAsia="Times New Roman"/>
          <w:color w:val="DA1E48"/>
          <w:spacing w:val="20"/>
          <w:sz w:val="24"/>
          <w:szCs w:val="24"/>
        </w:rPr>
        <w:t>7.5.1. Young people not in employment, education or training (NEETs)</w:t>
      </w:r>
    </w:p>
    <w:p>
      <w:pPr>
        <w:pStyle w:val="Yo1Textpara"/>
        <w:rPr>
          <w:noProof/>
        </w:rPr>
      </w:pPr>
      <w:r>
        <w:rPr>
          <w:noProof/>
        </w:rPr>
        <w:t>'NEETs' is the term used to describe young people who are neither in employment, nor in education and training. The indicator on NEETs aims to capture the situation of young people in transition between education and the labour market. This transition between school and work is increasingly complex and individualised for today's young people (Chapters 2 and 3). While being 'NEET' can also be just a temporary status, facing difficulties in entering and gaining a solid foothold in the labour market can lead to young people's disengagement from the world of work, making them vulnerable to social exclusion.</w:t>
      </w:r>
    </w:p>
    <w:p>
      <w:pPr>
        <w:pStyle w:val="Yo1Textpara"/>
        <w:rPr>
          <w:noProof/>
        </w:rPr>
      </w:pPr>
      <w:r>
        <w:rPr>
          <w:noProof/>
        </w:rPr>
        <w:t>The NEET group includes not only the conventional unemployed job-seekers, but also those who are disengaged from both education and work and are therefore not looking for a job (</w:t>
      </w:r>
      <w:r>
        <w:rPr>
          <w:rStyle w:val="FootnoteReference"/>
          <w:rFonts w:ascii="Arial" w:hAnsi="Arial" w:cs="Arial"/>
          <w:noProof/>
          <w:sz w:val="20"/>
        </w:rPr>
        <w:footnoteReference w:id="30"/>
      </w:r>
      <w:r>
        <w:rPr>
          <w:noProof/>
        </w:rPr>
        <w:t>). Being economically inactive, nevertheless, does not always imply disengagement: NEETs also include those unavailable for work (e.g. young carers or those who are sick or disabled), the 'opportunity-seekers' (those who are waiting for better opportunities), and the 'voluntary NEETs' (those who choose to be inactive while travelling or engaging in activities such as the arts or self-directed learning) (</w:t>
      </w:r>
      <w:r>
        <w:rPr>
          <w:rStyle w:val="FootnoteReference"/>
          <w:rFonts w:ascii="Arial" w:hAnsi="Arial" w:cs="Arial"/>
          <w:noProof/>
          <w:sz w:val="20"/>
        </w:rPr>
        <w:footnoteReference w:id="31"/>
      </w:r>
      <w:r>
        <w:rPr>
          <w:noProof/>
        </w:rPr>
        <w:t>). However, attention must be drawn to the fact that if young people are not accumulating the human capital needed for work, even those in these last three subgroups may be at risk of future social exclusion (</w:t>
      </w:r>
      <w:r>
        <w:rPr>
          <w:rStyle w:val="FootnoteReference"/>
          <w:rFonts w:ascii="Arial" w:hAnsi="Arial" w:cs="Arial"/>
          <w:noProof/>
          <w:sz w:val="20"/>
        </w:rPr>
        <w:footnoteReference w:id="32"/>
      </w:r>
      <w:r>
        <w:rPr>
          <w:noProof/>
        </w:rPr>
        <w:t xml:space="preserve">). </w:t>
      </w:r>
    </w:p>
    <w:p>
      <w:pPr>
        <w:pStyle w:val="Yo1Textpara"/>
        <w:rPr>
          <w:noProof/>
        </w:rPr>
      </w:pPr>
      <w:r>
        <w:rPr>
          <w:noProof/>
        </w:rPr>
        <w:t>After a steady rise in the NEET rates of 15-24 year-olds in the EU-28 from 2009 due to the economic crisis (</w:t>
      </w:r>
      <w:r>
        <w:rPr>
          <w:rStyle w:val="FootnoteReference"/>
          <w:rFonts w:ascii="Arial" w:hAnsi="Arial" w:cs="Arial"/>
          <w:noProof/>
          <w:sz w:val="20"/>
        </w:rPr>
        <w:footnoteReference w:id="33"/>
      </w:r>
      <w:r>
        <w:rPr>
          <w:noProof/>
        </w:rPr>
        <w:t>), the NEET rate reached its peak of 13.2 % in 2012 and then started to decline (Figure 7-M). In 2016, the NEET rate was 11.6 %. This rate is still above the 2008, pre-crisis level of 10.9 % (</w:t>
      </w:r>
      <w:r>
        <w:rPr>
          <w:rStyle w:val="FootnoteReference"/>
          <w:noProof/>
        </w:rPr>
        <w:footnoteReference w:id="34"/>
      </w:r>
      <w:r>
        <w:rPr>
          <w:noProof/>
        </w:rPr>
        <w:t>), but the difference is now only 0.7 percentage points.</w:t>
      </w:r>
    </w:p>
    <w:p>
      <w:pPr>
        <w:pStyle w:val="Yo5TitleFigure"/>
        <w:jc w:val="both"/>
      </w:pPr>
      <w:r>
        <w:rPr>
          <w:b/>
        </w:rPr>
        <w:t>Figure 7-M:</w:t>
      </w:r>
      <w:r>
        <w:t xml:space="preserve"> Proportion of young people (aged 15-24) not in employment, education or training (NEET rate), EU-28 average, 2010-2016</w:t>
      </w:r>
    </w:p>
    <w:tbl>
      <w:tblPr>
        <w:tblpPr w:leftFromText="181" w:rightFromText="181" w:vertAnchor="text" w:tblpX="-424"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3180"/>
        <w:gridCol w:w="3260"/>
        <w:gridCol w:w="3402"/>
      </w:tblGrid>
      <w:tr>
        <w:tc>
          <w:tcPr>
            <w:tcW w:w="472" w:type="dxa"/>
            <w:vMerge w:val="restart"/>
            <w:tcBorders>
              <w:top w:val="single" w:sz="4" w:space="0" w:color="auto"/>
              <w:right w:val="single" w:sz="4" w:space="0" w:color="auto"/>
            </w:tcBorders>
            <w:shd w:val="clear" w:color="auto" w:fill="FB5F5F"/>
            <w:textDirection w:val="btLr"/>
            <w:vAlign w:val="bottom"/>
          </w:tcPr>
          <w:p>
            <w:pPr>
              <w:spacing w:after="0" w:line="240" w:lineRule="auto"/>
              <w:ind w:left="113" w:right="113"/>
              <w:jc w:val="center"/>
              <w:rPr>
                <w:rFonts w:ascii="Verdana" w:hAnsi="Verdana"/>
                <w:b/>
                <w:noProof/>
                <w:color w:val="FFFFFF"/>
                <w:sz w:val="16"/>
                <w:szCs w:val="16"/>
              </w:rPr>
            </w:pPr>
            <w:r>
              <w:rPr>
                <w:rFonts w:ascii="Verdana" w:hAnsi="Verdana"/>
                <w:b/>
                <w:noProof/>
                <w:color w:val="FFFFFF"/>
                <w:sz w:val="16"/>
                <w:szCs w:val="16"/>
              </w:rPr>
              <w:t>EU youth indicator</w:t>
            </w:r>
          </w:p>
        </w:tc>
        <w:tc>
          <w:tcPr>
            <w:tcW w:w="3180" w:type="dxa"/>
            <w:tcBorders>
              <w:top w:val="single" w:sz="4" w:space="0" w:color="auto"/>
              <w:left w:val="single" w:sz="4" w:space="0" w:color="auto"/>
              <w:bottom w:val="nil"/>
              <w:right w:val="nil"/>
            </w:tcBorders>
            <w:shd w:val="clear" w:color="auto" w:fill="auto"/>
          </w:tcPr>
          <w:p>
            <w:pPr>
              <w:pStyle w:val="Yo5TextNotesbeforeafter"/>
              <w:spacing w:before="120"/>
              <w:jc w:val="center"/>
              <w:rPr>
                <w:b/>
                <w:noProof/>
                <w:sz w:val="20"/>
                <w:szCs w:val="20"/>
                <w:lang w:val="en-GB" w:eastAsia="en-GB"/>
              </w:rPr>
            </w:pPr>
            <w:r>
              <w:rPr>
                <w:rFonts w:eastAsia="Cambria" w:cs="Calibri"/>
                <w:bCs/>
                <w:noProof/>
                <w:snapToGrid/>
                <w:color w:val="7F7F7F"/>
                <w:w w:val="80"/>
                <w:sz w:val="20"/>
                <w:szCs w:val="20"/>
                <w:lang w:val="en-GB"/>
              </w:rPr>
              <w:t>a) by labour market status</w:t>
            </w:r>
          </w:p>
        </w:tc>
        <w:tc>
          <w:tcPr>
            <w:tcW w:w="3260" w:type="dxa"/>
            <w:tcBorders>
              <w:top w:val="single" w:sz="4" w:space="0" w:color="auto"/>
              <w:left w:val="nil"/>
              <w:bottom w:val="nil"/>
              <w:right w:val="nil"/>
            </w:tcBorders>
            <w:shd w:val="clear" w:color="auto" w:fill="auto"/>
          </w:tcPr>
          <w:p>
            <w:pPr>
              <w:pStyle w:val="Yo5TextNotesbeforeafter"/>
              <w:spacing w:before="120"/>
              <w:jc w:val="center"/>
              <w:rPr>
                <w:rFonts w:eastAsia="Cambria" w:cs="Calibri"/>
                <w:bCs/>
                <w:noProof/>
                <w:snapToGrid/>
                <w:color w:val="7F7F7F"/>
                <w:w w:val="80"/>
                <w:sz w:val="20"/>
                <w:szCs w:val="20"/>
                <w:lang w:val="en-GB"/>
              </w:rPr>
            </w:pPr>
            <w:r>
              <w:rPr>
                <w:rFonts w:eastAsia="Cambria" w:cs="Calibri"/>
                <w:bCs/>
                <w:noProof/>
                <w:snapToGrid/>
                <w:color w:val="7F7F7F"/>
                <w:w w:val="80"/>
                <w:sz w:val="20"/>
                <w:szCs w:val="20"/>
                <w:lang w:val="en-GB"/>
              </w:rPr>
              <w:t>b) by attitudes towards work</w:t>
            </w:r>
          </w:p>
        </w:tc>
        <w:tc>
          <w:tcPr>
            <w:tcW w:w="3402" w:type="dxa"/>
            <w:tcBorders>
              <w:top w:val="single" w:sz="4" w:space="0" w:color="auto"/>
              <w:left w:val="nil"/>
              <w:bottom w:val="nil"/>
              <w:right w:val="single" w:sz="4" w:space="0" w:color="auto"/>
            </w:tcBorders>
            <w:shd w:val="clear" w:color="auto" w:fill="auto"/>
          </w:tcPr>
          <w:p>
            <w:pPr>
              <w:pStyle w:val="Yo5TextNotesbeforeafter"/>
              <w:spacing w:before="120"/>
              <w:jc w:val="center"/>
              <w:rPr>
                <w:b/>
                <w:noProof/>
                <w:sz w:val="18"/>
                <w:lang w:val="en-GB" w:eastAsia="en-GB"/>
              </w:rPr>
            </w:pPr>
            <w:r>
              <w:rPr>
                <w:rFonts w:eastAsia="Cambria" w:cs="Calibri"/>
                <w:bCs/>
                <w:noProof/>
                <w:snapToGrid/>
                <w:color w:val="7F7F7F"/>
                <w:w w:val="80"/>
                <w:sz w:val="20"/>
                <w:szCs w:val="20"/>
                <w:lang w:val="en-GB"/>
              </w:rPr>
              <w:t>c) by sex</w:t>
            </w:r>
          </w:p>
        </w:tc>
      </w:tr>
      <w:tr>
        <w:trPr>
          <w:trHeight w:val="297"/>
        </w:trPr>
        <w:tc>
          <w:tcPr>
            <w:tcW w:w="472" w:type="dxa"/>
            <w:vMerge/>
            <w:tcBorders>
              <w:right w:val="single" w:sz="4" w:space="0" w:color="auto"/>
            </w:tcBorders>
            <w:shd w:val="clear" w:color="auto" w:fill="FB5F5F"/>
            <w:textDirection w:val="btLr"/>
            <w:vAlign w:val="bottom"/>
          </w:tcPr>
          <w:p>
            <w:pPr>
              <w:spacing w:after="0" w:line="240" w:lineRule="auto"/>
              <w:ind w:left="113" w:right="113"/>
              <w:rPr>
                <w:rFonts w:ascii="Verdana" w:hAnsi="Verdana"/>
                <w:b/>
                <w:noProof/>
                <w:color w:val="FFFFFF"/>
                <w:sz w:val="16"/>
                <w:szCs w:val="16"/>
              </w:rPr>
            </w:pPr>
          </w:p>
        </w:tc>
        <w:tc>
          <w:tcPr>
            <w:tcW w:w="3180" w:type="dxa"/>
            <w:tcBorders>
              <w:top w:val="nil"/>
              <w:left w:val="single" w:sz="4" w:space="0" w:color="auto"/>
              <w:bottom w:val="nil"/>
              <w:right w:val="nil"/>
            </w:tcBorders>
            <w:shd w:val="clear" w:color="auto" w:fill="auto"/>
          </w:tcPr>
          <w:p>
            <w:pPr>
              <w:pStyle w:val="Yo5TextNotesbeforeafter"/>
              <w:tabs>
                <w:tab w:val="clear" w:pos="1985"/>
                <w:tab w:val="left" w:pos="2647"/>
              </w:tabs>
              <w:spacing w:after="0"/>
              <w:ind w:left="238"/>
              <w:jc w:val="left"/>
              <w:rPr>
                <w:rFonts w:ascii="Arial Narrow" w:hAnsi="Arial Narrow"/>
                <w:b/>
                <w:noProof/>
                <w:sz w:val="18"/>
                <w:lang w:val="en-GB" w:eastAsia="en-GB"/>
              </w:rPr>
            </w:pPr>
            <w:r>
              <w:rPr>
                <w:rFonts w:ascii="Arial Narrow" w:hAnsi="Arial Narrow"/>
                <w:noProof/>
                <w:sz w:val="16"/>
                <w:lang w:val="en-GB" w:eastAsia="en-GB"/>
              </w:rPr>
              <w:t>%</w:t>
            </w:r>
            <w:r>
              <w:rPr>
                <w:rFonts w:ascii="Arial Narrow" w:hAnsi="Arial Narrow"/>
                <w:noProof/>
                <w:sz w:val="16"/>
                <w:lang w:val="en-GB" w:eastAsia="en-GB"/>
              </w:rPr>
              <w:tab/>
              <w:t>%</w:t>
            </w:r>
          </w:p>
        </w:tc>
        <w:tc>
          <w:tcPr>
            <w:tcW w:w="3260" w:type="dxa"/>
            <w:tcBorders>
              <w:top w:val="nil"/>
              <w:left w:val="nil"/>
              <w:bottom w:val="nil"/>
              <w:right w:val="nil"/>
            </w:tcBorders>
            <w:shd w:val="clear" w:color="auto" w:fill="auto"/>
          </w:tcPr>
          <w:p>
            <w:pPr>
              <w:pStyle w:val="Yo5TextNotesbeforeafter"/>
              <w:tabs>
                <w:tab w:val="clear" w:pos="1985"/>
                <w:tab w:val="left" w:pos="2647"/>
              </w:tabs>
              <w:spacing w:after="0"/>
              <w:ind w:left="238"/>
              <w:jc w:val="left"/>
              <w:rPr>
                <w:rFonts w:ascii="Arial Narrow" w:hAnsi="Arial Narrow"/>
                <w:b/>
                <w:noProof/>
                <w:sz w:val="18"/>
                <w:lang w:val="en-GB" w:eastAsia="en-GB"/>
              </w:rPr>
            </w:pPr>
            <w:r>
              <w:rPr>
                <w:rFonts w:ascii="Arial Narrow" w:hAnsi="Arial Narrow"/>
                <w:noProof/>
                <w:sz w:val="16"/>
                <w:lang w:val="en-GB" w:eastAsia="en-GB"/>
              </w:rPr>
              <w:t>%</w:t>
            </w:r>
            <w:r>
              <w:rPr>
                <w:rFonts w:ascii="Arial Narrow" w:hAnsi="Arial Narrow"/>
                <w:noProof/>
                <w:sz w:val="16"/>
                <w:lang w:val="en-GB" w:eastAsia="en-GB"/>
              </w:rPr>
              <w:tab/>
              <w:t>%</w:t>
            </w:r>
          </w:p>
        </w:tc>
        <w:tc>
          <w:tcPr>
            <w:tcW w:w="3402" w:type="dxa"/>
            <w:tcBorders>
              <w:top w:val="nil"/>
              <w:left w:val="nil"/>
              <w:bottom w:val="nil"/>
              <w:right w:val="single" w:sz="4" w:space="0" w:color="auto"/>
            </w:tcBorders>
            <w:shd w:val="clear" w:color="auto" w:fill="auto"/>
          </w:tcPr>
          <w:p>
            <w:pPr>
              <w:pStyle w:val="Yo5TextNotesbeforeafter"/>
              <w:tabs>
                <w:tab w:val="clear" w:pos="1985"/>
                <w:tab w:val="left" w:pos="2593"/>
              </w:tabs>
              <w:spacing w:after="0"/>
              <w:ind w:left="238"/>
              <w:jc w:val="left"/>
              <w:rPr>
                <w:rFonts w:ascii="Arial Narrow" w:hAnsi="Arial Narrow"/>
                <w:b/>
                <w:noProof/>
                <w:sz w:val="18"/>
                <w:lang w:val="en-GB" w:eastAsia="en-GB"/>
              </w:rPr>
            </w:pPr>
            <w:r>
              <w:rPr>
                <w:rFonts w:ascii="Arial Narrow" w:hAnsi="Arial Narrow"/>
                <w:noProof/>
                <w:sz w:val="16"/>
                <w:lang w:val="en-GB" w:eastAsia="en-GB"/>
              </w:rPr>
              <w:t>%</w:t>
            </w:r>
            <w:r>
              <w:rPr>
                <w:rFonts w:ascii="Arial Narrow" w:hAnsi="Arial Narrow"/>
                <w:noProof/>
                <w:sz w:val="16"/>
                <w:lang w:val="en-GB" w:eastAsia="en-GB"/>
              </w:rPr>
              <w:tab/>
              <w:t>%</w:t>
            </w:r>
          </w:p>
        </w:tc>
      </w:tr>
      <w:tr>
        <w:tc>
          <w:tcPr>
            <w:tcW w:w="472" w:type="dxa"/>
            <w:vMerge/>
            <w:tcBorders>
              <w:right w:val="single" w:sz="4" w:space="0" w:color="auto"/>
            </w:tcBorders>
            <w:shd w:val="clear" w:color="auto" w:fill="FB5F5F"/>
            <w:textDirection w:val="btLr"/>
            <w:vAlign w:val="bottom"/>
          </w:tcPr>
          <w:p>
            <w:pPr>
              <w:spacing w:after="0" w:line="240" w:lineRule="auto"/>
              <w:ind w:left="113" w:right="113"/>
              <w:rPr>
                <w:rFonts w:ascii="Verdana" w:hAnsi="Verdana"/>
                <w:b/>
                <w:noProof/>
                <w:color w:val="FFFFFF"/>
                <w:sz w:val="16"/>
                <w:szCs w:val="16"/>
              </w:rPr>
            </w:pPr>
          </w:p>
        </w:tc>
        <w:tc>
          <w:tcPr>
            <w:tcW w:w="3180" w:type="dxa"/>
            <w:tcBorders>
              <w:top w:val="nil"/>
              <w:left w:val="single" w:sz="4" w:space="0" w:color="auto"/>
              <w:bottom w:val="nil"/>
              <w:right w:val="nil"/>
            </w:tcBorders>
            <w:shd w:val="clear" w:color="auto" w:fill="auto"/>
          </w:tcPr>
          <w:p>
            <w:pPr>
              <w:pStyle w:val="Yo5TextNotesbeforeafter"/>
              <w:jc w:val="left"/>
              <w:rPr>
                <w:b/>
                <w:noProof/>
                <w:sz w:val="18"/>
                <w:lang w:val="en-GB" w:eastAsia="en-GB"/>
              </w:rPr>
            </w:pPr>
            <w:r>
              <w:rPr>
                <w:b/>
                <w:noProof/>
                <w:snapToGrid/>
                <w:sz w:val="18"/>
                <w:lang w:val="en-US"/>
              </w:rPr>
              <w:drawing>
                <wp:inline distT="0" distB="0" distL="0" distR="0">
                  <wp:extent cx="1876425" cy="1423035"/>
                  <wp:effectExtent l="0" t="0" r="9525" b="5715"/>
                  <wp:docPr id="42" name="Picture 42" descr="\\s-eacea-fs03-p\EACEA.A7\Youth\04_Reports\a_EU_Youth_Reports\2018\03_graph\7_M_a_NEET_trend_lab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acea-fs03-p\EACEA.A7\Youth\04_Reports\a_EU_Youth_Reports\2018\03_graph\7_M_a_NEET_trend_labour.jpg"/>
                          <pic:cNvPicPr>
                            <a:picLocks noChangeAspect="1" noChangeArrowheads="1"/>
                          </pic:cNvPicPr>
                        </pic:nvPicPr>
                        <pic:blipFill>
                          <a:blip r:embed="rId90" r:link="rId91" cstate="print">
                            <a:extLst>
                              <a:ext uri="{28A0092B-C50C-407E-A947-70E740481C1C}">
                                <a14:useLocalDpi xmlns:a14="http://schemas.microsoft.com/office/drawing/2010/main" val="0"/>
                              </a:ext>
                            </a:extLst>
                          </a:blip>
                          <a:srcRect/>
                          <a:stretch>
                            <a:fillRect/>
                          </a:stretch>
                        </pic:blipFill>
                        <pic:spPr bwMode="auto">
                          <a:xfrm>
                            <a:off x="0" y="0"/>
                            <a:ext cx="1876425" cy="1423035"/>
                          </a:xfrm>
                          <a:prstGeom prst="rect">
                            <a:avLst/>
                          </a:prstGeom>
                          <a:noFill/>
                          <a:ln>
                            <a:noFill/>
                          </a:ln>
                        </pic:spPr>
                      </pic:pic>
                    </a:graphicData>
                  </a:graphic>
                </wp:inline>
              </w:drawing>
            </w:r>
          </w:p>
        </w:tc>
        <w:tc>
          <w:tcPr>
            <w:tcW w:w="3260" w:type="dxa"/>
            <w:tcBorders>
              <w:top w:val="nil"/>
              <w:left w:val="nil"/>
              <w:bottom w:val="nil"/>
              <w:right w:val="nil"/>
            </w:tcBorders>
            <w:shd w:val="clear" w:color="auto" w:fill="auto"/>
          </w:tcPr>
          <w:p>
            <w:pPr>
              <w:pStyle w:val="Yo5TextNotesbeforeafter"/>
              <w:jc w:val="left"/>
              <w:rPr>
                <w:b/>
                <w:noProof/>
                <w:sz w:val="18"/>
                <w:lang w:val="en-GB" w:eastAsia="en-GB"/>
              </w:rPr>
            </w:pPr>
            <w:r>
              <w:rPr>
                <w:b/>
                <w:noProof/>
                <w:snapToGrid/>
                <w:sz w:val="18"/>
                <w:lang w:val="en-US"/>
              </w:rPr>
              <w:drawing>
                <wp:inline distT="0" distB="0" distL="0" distR="0">
                  <wp:extent cx="1932305" cy="1463040"/>
                  <wp:effectExtent l="0" t="0" r="0" b="3810"/>
                  <wp:docPr id="43" name="Picture 43" descr="\\s-eacea-fs03-p\EACEA.A7\Youth\04_Reports\a_EU_Youth_Reports\2018\03_graph\7_M_b_NEET_trend_attitu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acea-fs03-p\EACEA.A7\Youth\04_Reports\a_EU_Youth_Reports\2018\03_graph\7_M_b_NEET_trend_attitudes.jpg"/>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1932305" cy="1463040"/>
                          </a:xfrm>
                          <a:prstGeom prst="rect">
                            <a:avLst/>
                          </a:prstGeom>
                          <a:noFill/>
                          <a:ln>
                            <a:noFill/>
                          </a:ln>
                        </pic:spPr>
                      </pic:pic>
                    </a:graphicData>
                  </a:graphic>
                </wp:inline>
              </w:drawing>
            </w:r>
          </w:p>
        </w:tc>
        <w:tc>
          <w:tcPr>
            <w:tcW w:w="3402" w:type="dxa"/>
            <w:tcBorders>
              <w:top w:val="nil"/>
              <w:left w:val="nil"/>
              <w:bottom w:val="nil"/>
              <w:right w:val="single" w:sz="4" w:space="0" w:color="auto"/>
            </w:tcBorders>
            <w:shd w:val="clear" w:color="auto" w:fill="auto"/>
          </w:tcPr>
          <w:p>
            <w:pPr>
              <w:pStyle w:val="Yo5TextNotesbeforeafter"/>
              <w:jc w:val="left"/>
              <w:rPr>
                <w:b/>
                <w:noProof/>
                <w:sz w:val="18"/>
                <w:lang w:val="en-GB" w:eastAsia="en-GB"/>
              </w:rPr>
            </w:pPr>
            <w:r>
              <w:rPr>
                <w:b/>
                <w:noProof/>
                <w:snapToGrid/>
                <w:sz w:val="18"/>
                <w:lang w:val="en-US"/>
              </w:rPr>
              <w:drawing>
                <wp:inline distT="0" distB="0" distL="0" distR="0">
                  <wp:extent cx="1860550" cy="1463040"/>
                  <wp:effectExtent l="0" t="0" r="6350" b="3810"/>
                  <wp:docPr id="44" name="Picture 44" descr="\\s-eacea-fs03-p\EACEA.A7\Youth\04_Reports\a_EU_Youth_Reports\2018\03_graph\7_M_c_NEET_trend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acea-fs03-p\EACEA.A7\Youth\04_Reports\a_EU_Youth_Reports\2018\03_graph\7_M_c_NEET_trend_gender.jpg"/>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1860550" cy="1463040"/>
                          </a:xfrm>
                          <a:prstGeom prst="rect">
                            <a:avLst/>
                          </a:prstGeom>
                          <a:noFill/>
                          <a:ln>
                            <a:noFill/>
                          </a:ln>
                        </pic:spPr>
                      </pic:pic>
                    </a:graphicData>
                  </a:graphic>
                </wp:inline>
              </w:drawing>
            </w:r>
          </w:p>
        </w:tc>
      </w:tr>
      <w:tr>
        <w:tc>
          <w:tcPr>
            <w:tcW w:w="472" w:type="dxa"/>
            <w:vMerge/>
            <w:tcBorders>
              <w:bottom w:val="single" w:sz="4" w:space="0" w:color="auto"/>
              <w:right w:val="single" w:sz="4" w:space="0" w:color="auto"/>
            </w:tcBorders>
            <w:shd w:val="clear" w:color="auto" w:fill="FB5F5F"/>
            <w:textDirection w:val="btLr"/>
            <w:vAlign w:val="bottom"/>
          </w:tcPr>
          <w:p>
            <w:pPr>
              <w:spacing w:after="0" w:line="240" w:lineRule="auto"/>
              <w:ind w:left="113" w:right="113"/>
              <w:rPr>
                <w:rFonts w:ascii="Verdana" w:hAnsi="Verdana"/>
                <w:b/>
                <w:noProof/>
                <w:color w:val="FFFFFF"/>
                <w:sz w:val="16"/>
                <w:szCs w:val="16"/>
              </w:rPr>
            </w:pPr>
          </w:p>
        </w:tc>
        <w:tc>
          <w:tcPr>
            <w:tcW w:w="3180" w:type="dxa"/>
            <w:tcBorders>
              <w:top w:val="nil"/>
              <w:left w:val="single" w:sz="4" w:space="0" w:color="auto"/>
              <w:bottom w:val="single" w:sz="4" w:space="0" w:color="auto"/>
              <w:right w:val="nil"/>
            </w:tcBorders>
            <w:shd w:val="clear" w:color="auto" w:fill="auto"/>
          </w:tcPr>
          <w:tbl>
            <w:tblPr>
              <w:tblW w:w="0" w:type="auto"/>
              <w:tblBorders>
                <w:insideH w:val="single" w:sz="4" w:space="0" w:color="auto"/>
              </w:tblBorders>
              <w:tblLayout w:type="fixed"/>
              <w:tblLook w:val="04A0" w:firstRow="1" w:lastRow="0" w:firstColumn="1" w:lastColumn="0" w:noHBand="0" w:noVBand="1"/>
            </w:tblPr>
            <w:tblGrid>
              <w:gridCol w:w="392"/>
              <w:gridCol w:w="1134"/>
              <w:gridCol w:w="425"/>
              <w:gridCol w:w="850"/>
            </w:tblGrid>
            <w:tr>
              <w:tc>
                <w:tcPr>
                  <w:tcW w:w="392" w:type="dxa"/>
                  <w:shd w:val="clear" w:color="auto" w:fill="auto"/>
                  <w:vAlign w:val="center"/>
                </w:tcPr>
                <w:p>
                  <w:pPr>
                    <w:pStyle w:val="Yo5TextNotes"/>
                    <w:framePr w:hSpace="181" w:wrap="around" w:vAnchor="text" w:hAnchor="text" w:x="-424" w:y="1"/>
                    <w:spacing w:before="160" w:after="60"/>
                    <w:suppressOverlap/>
                    <w:jc w:val="right"/>
                    <w:rPr>
                      <w:noProof/>
                      <w:color w:val="EF413D"/>
                      <w:sz w:val="18"/>
                      <w:szCs w:val="18"/>
                      <w:lang w:val="en-GB"/>
                    </w:rPr>
                  </w:pPr>
                  <w:r>
                    <w:rPr>
                      <w:noProof/>
                      <w:color w:val="EF413D"/>
                      <w:sz w:val="16"/>
                      <w:lang w:val="en-GB"/>
                    </w:rPr>
                    <w:sym w:font="Wingdings 2" w:char="F0A2"/>
                  </w:r>
                </w:p>
              </w:tc>
              <w:tc>
                <w:tcPr>
                  <w:tcW w:w="1134" w:type="dxa"/>
                  <w:shd w:val="clear" w:color="auto" w:fill="auto"/>
                  <w:vAlign w:val="center"/>
                </w:tcPr>
                <w:p>
                  <w:pPr>
                    <w:framePr w:hSpace="181" w:wrap="around" w:vAnchor="text" w:hAnchor="text" w:x="-424" w:y="1"/>
                    <w:tabs>
                      <w:tab w:val="left" w:pos="4253"/>
                    </w:tabs>
                    <w:spacing w:before="160" w:after="60" w:line="240" w:lineRule="auto"/>
                    <w:suppressOverlap/>
                    <w:rPr>
                      <w:rFonts w:ascii="Arial" w:hAnsi="Arial" w:cs="Arial"/>
                      <w:noProof/>
                      <w:sz w:val="16"/>
                      <w:szCs w:val="16"/>
                    </w:rPr>
                  </w:pPr>
                  <w:r>
                    <w:rPr>
                      <w:rFonts w:ascii="Arial" w:hAnsi="Arial" w:cs="Arial"/>
                      <w:noProof/>
                      <w:sz w:val="16"/>
                      <w:szCs w:val="16"/>
                    </w:rPr>
                    <w:t>Unemployed</w:t>
                  </w:r>
                </w:p>
              </w:tc>
              <w:tc>
                <w:tcPr>
                  <w:tcW w:w="425" w:type="dxa"/>
                  <w:vAlign w:val="center"/>
                </w:tcPr>
                <w:p>
                  <w:pPr>
                    <w:pStyle w:val="Yo5TextNotes"/>
                    <w:framePr w:hSpace="181" w:wrap="around" w:vAnchor="text" w:hAnchor="text" w:x="-424" w:y="1"/>
                    <w:spacing w:before="160" w:after="60"/>
                    <w:suppressOverlap/>
                    <w:jc w:val="right"/>
                    <w:rPr>
                      <w:noProof/>
                      <w:color w:val="5F0312"/>
                      <w:sz w:val="18"/>
                      <w:szCs w:val="18"/>
                      <w:lang w:val="en-GB"/>
                    </w:rPr>
                  </w:pPr>
                  <w:r>
                    <w:rPr>
                      <w:noProof/>
                      <w:color w:val="5F0312"/>
                      <w:sz w:val="16"/>
                      <w:lang w:val="en-GB"/>
                    </w:rPr>
                    <w:sym w:font="Wingdings 2" w:char="F0A2"/>
                  </w:r>
                </w:p>
              </w:tc>
              <w:tc>
                <w:tcPr>
                  <w:tcW w:w="850" w:type="dxa"/>
                  <w:vAlign w:val="center"/>
                </w:tcPr>
                <w:p>
                  <w:pPr>
                    <w:framePr w:hSpace="181" w:wrap="around" w:vAnchor="text" w:hAnchor="text" w:x="-424" w:y="1"/>
                    <w:tabs>
                      <w:tab w:val="left" w:pos="4253"/>
                    </w:tabs>
                    <w:spacing w:before="160" w:after="60" w:line="240" w:lineRule="auto"/>
                    <w:suppressOverlap/>
                    <w:rPr>
                      <w:rFonts w:ascii="Arial" w:hAnsi="Arial" w:cs="Arial"/>
                      <w:noProof/>
                      <w:sz w:val="16"/>
                      <w:szCs w:val="16"/>
                    </w:rPr>
                  </w:pPr>
                  <w:r>
                    <w:rPr>
                      <w:rFonts w:ascii="Arial" w:hAnsi="Arial" w:cs="Arial"/>
                      <w:noProof/>
                      <w:sz w:val="16"/>
                      <w:szCs w:val="16"/>
                    </w:rPr>
                    <w:t>Inactive</w:t>
                  </w:r>
                </w:p>
              </w:tc>
            </w:tr>
          </w:tbl>
          <w:p>
            <w:pPr>
              <w:pStyle w:val="Yo5TextNotesbeforeafter"/>
              <w:rPr>
                <w:b/>
                <w:noProof/>
                <w:sz w:val="18"/>
                <w:lang w:val="en-GB" w:eastAsia="en-GB"/>
              </w:rPr>
            </w:pPr>
          </w:p>
        </w:tc>
        <w:tc>
          <w:tcPr>
            <w:tcW w:w="3260" w:type="dxa"/>
            <w:tcBorders>
              <w:top w:val="nil"/>
              <w:left w:val="nil"/>
              <w:bottom w:val="single" w:sz="4" w:space="0" w:color="auto"/>
              <w:right w:val="nil"/>
            </w:tcBorders>
            <w:shd w:val="clear" w:color="auto" w:fill="auto"/>
          </w:tcPr>
          <w:tbl>
            <w:tblPr>
              <w:tblW w:w="3085" w:type="dxa"/>
              <w:tblLayout w:type="fixed"/>
              <w:tblLook w:val="04A0" w:firstRow="1" w:lastRow="0" w:firstColumn="1" w:lastColumn="0" w:noHBand="0" w:noVBand="1"/>
            </w:tblPr>
            <w:tblGrid>
              <w:gridCol w:w="392"/>
              <w:gridCol w:w="2693"/>
            </w:tblGrid>
            <w:tr>
              <w:tc>
                <w:tcPr>
                  <w:tcW w:w="392" w:type="dxa"/>
                  <w:shd w:val="clear" w:color="auto" w:fill="auto"/>
                </w:tcPr>
                <w:p>
                  <w:pPr>
                    <w:pStyle w:val="Yo5TextNotesbeforeafter"/>
                    <w:framePr w:hSpace="181" w:wrap="around" w:vAnchor="text" w:hAnchor="text" w:x="-424" w:y="1"/>
                    <w:spacing w:before="120" w:after="0"/>
                    <w:suppressOverlap/>
                    <w:jc w:val="left"/>
                    <w:rPr>
                      <w:b/>
                      <w:noProof/>
                      <w:color w:val="EF413D"/>
                      <w:sz w:val="18"/>
                      <w:lang w:val="en-GB" w:eastAsia="en-GB"/>
                    </w:rPr>
                  </w:pPr>
                  <w:r>
                    <w:rPr>
                      <w:noProof/>
                      <w:color w:val="EF413D"/>
                      <w:sz w:val="16"/>
                      <w:lang w:val="en-GB"/>
                    </w:rPr>
                    <w:sym w:font="Wingdings 2" w:char="F0A2"/>
                  </w:r>
                </w:p>
              </w:tc>
              <w:tc>
                <w:tcPr>
                  <w:tcW w:w="2693" w:type="dxa"/>
                  <w:shd w:val="clear" w:color="auto" w:fill="auto"/>
                </w:tcPr>
                <w:p>
                  <w:pPr>
                    <w:pStyle w:val="Yo5TextNotesbeforeafter"/>
                    <w:framePr w:hSpace="181" w:wrap="around" w:vAnchor="text" w:hAnchor="text" w:x="-424" w:y="1"/>
                    <w:spacing w:before="120" w:after="0"/>
                    <w:suppressOverlap/>
                    <w:jc w:val="left"/>
                    <w:rPr>
                      <w:b/>
                      <w:noProof/>
                      <w:sz w:val="18"/>
                      <w:lang w:val="en-GB" w:eastAsia="en-GB"/>
                    </w:rPr>
                  </w:pPr>
                  <w:r>
                    <w:rPr>
                      <w:rFonts w:ascii="Arial" w:hAnsi="Arial"/>
                      <w:noProof/>
                      <w:sz w:val="16"/>
                      <w:lang w:val="en-GB"/>
                    </w:rPr>
                    <w:t>Persons who would like to work</w:t>
                  </w:r>
                </w:p>
              </w:tc>
            </w:tr>
            <w:tr>
              <w:tc>
                <w:tcPr>
                  <w:tcW w:w="392" w:type="dxa"/>
                  <w:shd w:val="clear" w:color="auto" w:fill="auto"/>
                </w:tcPr>
                <w:p>
                  <w:pPr>
                    <w:pStyle w:val="Yo5TextNotesbeforeafter"/>
                    <w:framePr w:hSpace="181" w:wrap="around" w:vAnchor="text" w:hAnchor="text" w:x="-424" w:y="1"/>
                    <w:suppressOverlap/>
                    <w:jc w:val="left"/>
                    <w:rPr>
                      <w:b/>
                      <w:noProof/>
                      <w:sz w:val="18"/>
                      <w:lang w:val="en-GB" w:eastAsia="en-GB"/>
                    </w:rPr>
                  </w:pPr>
                  <w:r>
                    <w:rPr>
                      <w:noProof/>
                      <w:color w:val="5F0312"/>
                      <w:sz w:val="16"/>
                      <w:lang w:val="en-GB"/>
                    </w:rPr>
                    <w:sym w:font="Wingdings 2" w:char="F0A2"/>
                  </w:r>
                </w:p>
              </w:tc>
              <w:tc>
                <w:tcPr>
                  <w:tcW w:w="2693" w:type="dxa"/>
                  <w:shd w:val="clear" w:color="auto" w:fill="auto"/>
                </w:tcPr>
                <w:p>
                  <w:pPr>
                    <w:pStyle w:val="Yo5TextNotesbeforeafter"/>
                    <w:framePr w:hSpace="181" w:wrap="around" w:vAnchor="text" w:hAnchor="text" w:x="-424" w:y="1"/>
                    <w:suppressOverlap/>
                    <w:jc w:val="left"/>
                    <w:rPr>
                      <w:b/>
                      <w:noProof/>
                      <w:sz w:val="18"/>
                      <w:lang w:val="en-GB" w:eastAsia="en-GB"/>
                    </w:rPr>
                  </w:pPr>
                  <w:r>
                    <w:rPr>
                      <w:rFonts w:ascii="Arial" w:hAnsi="Arial"/>
                      <w:noProof/>
                      <w:sz w:val="16"/>
                      <w:lang w:val="en-GB"/>
                    </w:rPr>
                    <w:t>Persons who do not want to work</w:t>
                  </w:r>
                </w:p>
              </w:tc>
            </w:tr>
          </w:tbl>
          <w:p>
            <w:pPr>
              <w:pStyle w:val="Yo5TextNotesbeforeafter"/>
              <w:jc w:val="left"/>
              <w:rPr>
                <w:b/>
                <w:noProof/>
                <w:sz w:val="18"/>
                <w:lang w:val="en-GB" w:eastAsia="en-GB"/>
              </w:rPr>
            </w:pPr>
          </w:p>
        </w:tc>
        <w:tc>
          <w:tcPr>
            <w:tcW w:w="3402" w:type="dxa"/>
            <w:tcBorders>
              <w:top w:val="nil"/>
              <w:left w:val="nil"/>
              <w:bottom w:val="single" w:sz="4" w:space="0" w:color="auto"/>
              <w:right w:val="single" w:sz="4" w:space="0" w:color="auto"/>
            </w:tcBorders>
            <w:shd w:val="clear" w:color="auto" w:fill="auto"/>
          </w:tcPr>
          <w:tbl>
            <w:tblPr>
              <w:tblW w:w="0" w:type="auto"/>
              <w:tblInd w:w="176" w:type="dxa"/>
              <w:tblBorders>
                <w:insideH w:val="single" w:sz="4" w:space="0" w:color="auto"/>
              </w:tblBorders>
              <w:tblLayout w:type="fixed"/>
              <w:tblLook w:val="04A0" w:firstRow="1" w:lastRow="0" w:firstColumn="1" w:lastColumn="0" w:noHBand="0" w:noVBand="1"/>
            </w:tblPr>
            <w:tblGrid>
              <w:gridCol w:w="392"/>
              <w:gridCol w:w="992"/>
              <w:gridCol w:w="425"/>
              <w:gridCol w:w="992"/>
            </w:tblGrid>
            <w:tr>
              <w:tc>
                <w:tcPr>
                  <w:tcW w:w="392" w:type="dxa"/>
                  <w:shd w:val="clear" w:color="auto" w:fill="auto"/>
                  <w:vAlign w:val="center"/>
                </w:tcPr>
                <w:p>
                  <w:pPr>
                    <w:pStyle w:val="Yo5TextNotes"/>
                    <w:framePr w:hSpace="181" w:wrap="around" w:vAnchor="text" w:hAnchor="text" w:x="-424" w:y="1"/>
                    <w:spacing w:before="160" w:after="60"/>
                    <w:suppressOverlap/>
                    <w:jc w:val="right"/>
                    <w:rPr>
                      <w:noProof/>
                      <w:color w:val="EF413D"/>
                      <w:sz w:val="18"/>
                      <w:szCs w:val="18"/>
                      <w:lang w:val="en-GB"/>
                    </w:rPr>
                  </w:pPr>
                  <w:r>
                    <w:rPr>
                      <w:noProof/>
                      <w:color w:val="FF0000"/>
                      <w:sz w:val="18"/>
                      <w:szCs w:val="18"/>
                      <w:lang w:val="en-GB"/>
                    </w:rPr>
                    <w:sym w:font="Wingdings 2" w:char="F098"/>
                  </w:r>
                </w:p>
              </w:tc>
              <w:tc>
                <w:tcPr>
                  <w:tcW w:w="992" w:type="dxa"/>
                  <w:shd w:val="clear" w:color="auto" w:fill="auto"/>
                  <w:vAlign w:val="center"/>
                </w:tcPr>
                <w:p>
                  <w:pPr>
                    <w:framePr w:hSpace="181" w:wrap="around" w:vAnchor="text" w:hAnchor="text" w:x="-424" w:y="1"/>
                    <w:tabs>
                      <w:tab w:val="left" w:pos="4253"/>
                    </w:tabs>
                    <w:spacing w:before="160" w:after="60" w:line="240" w:lineRule="auto"/>
                    <w:suppressOverlap/>
                    <w:rPr>
                      <w:rFonts w:ascii="Arial" w:hAnsi="Arial" w:cs="Arial"/>
                      <w:noProof/>
                      <w:sz w:val="16"/>
                      <w:szCs w:val="16"/>
                    </w:rPr>
                  </w:pPr>
                  <w:r>
                    <w:rPr>
                      <w:rFonts w:ascii="Arial" w:hAnsi="Arial"/>
                      <w:noProof/>
                      <w:sz w:val="16"/>
                    </w:rPr>
                    <w:t>Women</w:t>
                  </w:r>
                </w:p>
              </w:tc>
              <w:tc>
                <w:tcPr>
                  <w:tcW w:w="425" w:type="dxa"/>
                  <w:vAlign w:val="center"/>
                </w:tcPr>
                <w:p>
                  <w:pPr>
                    <w:pStyle w:val="Yo5TextNotes"/>
                    <w:framePr w:hSpace="181" w:wrap="around" w:vAnchor="text" w:hAnchor="text" w:x="-424" w:y="1"/>
                    <w:spacing w:before="160" w:after="60"/>
                    <w:suppressOverlap/>
                    <w:jc w:val="right"/>
                    <w:rPr>
                      <w:noProof/>
                      <w:color w:val="5F0312"/>
                      <w:sz w:val="18"/>
                      <w:szCs w:val="18"/>
                      <w:lang w:val="en-GB"/>
                    </w:rPr>
                  </w:pPr>
                  <w:r>
                    <w:rPr>
                      <w:noProof/>
                      <w:color w:val="1B4298"/>
                      <w:sz w:val="18"/>
                      <w:szCs w:val="18"/>
                      <w:lang w:val="en-GB"/>
                    </w:rPr>
                    <w:sym w:font="Wingdings 2" w:char="F0BF"/>
                  </w:r>
                </w:p>
              </w:tc>
              <w:tc>
                <w:tcPr>
                  <w:tcW w:w="992" w:type="dxa"/>
                  <w:vAlign w:val="center"/>
                </w:tcPr>
                <w:p>
                  <w:pPr>
                    <w:framePr w:hSpace="181" w:wrap="around" w:vAnchor="text" w:hAnchor="text" w:x="-424" w:y="1"/>
                    <w:tabs>
                      <w:tab w:val="left" w:pos="4253"/>
                    </w:tabs>
                    <w:spacing w:before="160" w:after="60" w:line="240" w:lineRule="auto"/>
                    <w:suppressOverlap/>
                    <w:rPr>
                      <w:rFonts w:ascii="Arial" w:hAnsi="Arial" w:cs="Arial"/>
                      <w:noProof/>
                      <w:sz w:val="16"/>
                      <w:szCs w:val="16"/>
                    </w:rPr>
                  </w:pPr>
                  <w:r>
                    <w:rPr>
                      <w:rFonts w:ascii="Arial" w:hAnsi="Arial"/>
                      <w:noProof/>
                      <w:sz w:val="16"/>
                    </w:rPr>
                    <w:t>Men</w:t>
                  </w:r>
                </w:p>
              </w:tc>
            </w:tr>
          </w:tbl>
          <w:p>
            <w:pPr>
              <w:pStyle w:val="Yo5TextNotesbeforeafter"/>
              <w:jc w:val="left"/>
              <w:rPr>
                <w:b/>
                <w:noProof/>
                <w:sz w:val="18"/>
                <w:lang w:val="en-GB" w:eastAsia="en-GB"/>
              </w:rPr>
            </w:pPr>
          </w:p>
        </w:tc>
      </w:tr>
    </w:tbl>
    <w:p>
      <w:pPr>
        <w:pStyle w:val="Yo5TextNotesbeforeafter"/>
        <w:spacing w:before="120"/>
        <w:rPr>
          <w:noProof/>
          <w:lang w:val="en-GB"/>
        </w:rPr>
      </w:pPr>
      <w:r>
        <w:rPr>
          <w:i/>
          <w:noProof/>
          <w:lang w:val="en-GB"/>
        </w:rPr>
        <w:t xml:space="preserve">Notes: </w:t>
      </w:r>
      <w:r>
        <w:rPr>
          <w:noProof/>
          <w:lang w:val="en-GB"/>
        </w:rPr>
        <w:t>The first two figures depict the overall NEET rate by labour market status and by attitudes towards work.</w:t>
      </w:r>
    </w:p>
    <w:p>
      <w:pPr>
        <w:pStyle w:val="Yo5TextNotesbeforeafter"/>
        <w:spacing w:before="120"/>
        <w:rPr>
          <w:noProof/>
          <w:lang w:val="en-GB"/>
        </w:rPr>
      </w:pPr>
      <w:r>
        <w:rPr>
          <w:i/>
          <w:noProof/>
          <w:lang w:val="en-GB"/>
        </w:rPr>
        <w:t>Source:</w:t>
      </w:r>
      <w:r>
        <w:rPr>
          <w:noProof/>
          <w:lang w:val="en-GB"/>
        </w:rPr>
        <w:t xml:space="preserve"> Eurostat, Labour Force Survey (LFS), [yth_empl_150]. Data extracted on 11.01.2018.</w:t>
      </w:r>
    </w:p>
    <w:p>
      <w:pPr>
        <w:pStyle w:val="Yo5TextNotesbeforeafter"/>
        <w:rPr>
          <w:noProof/>
          <w:lang w:val="en-GB"/>
        </w:rPr>
      </w:pPr>
    </w:p>
    <w:tbl>
      <w:tblPr>
        <w:tblpPr w:leftFromText="180" w:rightFromText="180" w:vertAnchor="text" w:horzAnchor="margin" w:tblpXSpec="right" w:tblpY="506"/>
        <w:tblOverlap w:val="never"/>
        <w:tblW w:w="0" w:type="auto"/>
        <w:shd w:val="clear" w:color="auto" w:fill="FFA3A4"/>
        <w:tblLook w:val="04A0" w:firstRow="1" w:lastRow="0" w:firstColumn="1" w:lastColumn="0" w:noHBand="0" w:noVBand="1"/>
      </w:tblPr>
      <w:tblGrid>
        <w:gridCol w:w="2977"/>
      </w:tblGrid>
      <w:tr>
        <w:tc>
          <w:tcPr>
            <w:tcW w:w="2977" w:type="dxa"/>
            <w:shd w:val="clear" w:color="auto" w:fill="FFA3A4"/>
            <w:hideMark/>
          </w:tcPr>
          <w:p>
            <w:pPr>
              <w:pStyle w:val="Yo12Encart"/>
              <w:framePr w:hSpace="0" w:wrap="auto" w:vAnchor="margin" w:hAnchor="text" w:xAlign="left" w:yAlign="inline"/>
              <w:suppressOverlap w:val="0"/>
              <w:rPr>
                <w:noProof/>
                <w:sz w:val="22"/>
                <w:szCs w:val="22"/>
              </w:rPr>
            </w:pPr>
            <w:r>
              <w:rPr>
                <w:noProof/>
                <w:sz w:val="22"/>
                <w:szCs w:val="22"/>
              </w:rPr>
              <w:t>Following increases until 2012, the NEET rate started to decrease in 2013, mainly due to the decline in the proportion of unemployed NEETs after 2013.</w:t>
            </w:r>
          </w:p>
        </w:tc>
      </w:tr>
    </w:tbl>
    <w:p>
      <w:pPr>
        <w:pStyle w:val="Yo1Textpara"/>
        <w:rPr>
          <w:noProof/>
        </w:rPr>
      </w:pPr>
      <w:r>
        <w:rPr>
          <w:noProof/>
        </w:rPr>
        <w:t xml:space="preserve">Looking at Figure 7-M-a which breaks down the NEET rates into unemployed and inactive groups, it is evident that the annual decrease of around 0.5 percentage points is due to a drop in the share of unemployed NEETs since 2014. In fact, the proportion of unemployed NEETs declined to such an extent that in 2016, for the first time since the start of the economic crisis, it was lower (at 5.4 %) than the proportion of inactive young people within this group (6.2 %). At the same time, the inactive NEET rate stayed remarkably stable in the same period. </w:t>
      </w:r>
    </w:p>
    <w:p>
      <w:pPr>
        <w:pStyle w:val="Yo1Textpara"/>
        <w:rPr>
          <w:noProof/>
        </w:rPr>
      </w:pPr>
      <w:r>
        <w:rPr>
          <w:noProof/>
        </w:rPr>
        <w:t>Figure 7-M-b shows similar patterns – a declining share of NEETs who would like to work but cannot, and a stable ratio for those who do not want to work – while revealing that around half of inactive young people would ideally like to return to the world of work.</w:t>
      </w:r>
    </w:p>
    <w:p>
      <w:pPr>
        <w:pStyle w:val="Yo1Textpara"/>
        <w:rPr>
          <w:noProof/>
        </w:rPr>
      </w:pPr>
      <w:r>
        <w:rPr>
          <w:noProof/>
        </w:rPr>
        <w:t>In general in the EU-28, NEET rates are higher for women than for men, though the gender gap is only 0.7 percentage points (Figure 7-M-c). However, when looking at the different sub-groups within NEETs, gender differences become more pronounced. There are almost twice as many young women as young men among the NEETs that do not want to work; and the majority of inactive NEETs are also female (most likely caring for family members full time). As a consequence, men are over-represented among the unemployed and among those who would like to work but are not necessarily searching for a job (</w:t>
      </w:r>
      <w:r>
        <w:rPr>
          <w:rStyle w:val="FootnoteReference"/>
          <w:noProof/>
        </w:rPr>
        <w:footnoteReference w:id="35"/>
      </w:r>
      <w:r>
        <w:rPr>
          <w:noProof/>
        </w:rPr>
        <w:t>).</w:t>
      </w:r>
    </w:p>
    <w:p>
      <w:pPr>
        <w:pStyle w:val="Yo1Textpara"/>
        <w:rPr>
          <w:noProof/>
        </w:rPr>
      </w:pPr>
      <w:r>
        <w:rPr>
          <w:noProof/>
        </w:rPr>
        <w:t>In addition, there are significant variations between countries with regard to gender differences: NEET rates are actually higher for men in almost half of the European countries with available data. However, differences between women and men are often larger where the female NEET rate is higher. Within the EU-28, the gender gap exceeds three percentage points in Czech Republic, Estonia, Hungary, Malta and Romania, with higher rates for women, and only in Croatia with higher rates among men (</w:t>
      </w:r>
      <w:r>
        <w:rPr>
          <w:rStyle w:val="FootnoteReference"/>
          <w:rFonts w:ascii="Arial" w:hAnsi="Arial" w:cs="Arial"/>
          <w:noProof/>
          <w:sz w:val="20"/>
        </w:rPr>
        <w:footnoteReference w:id="36"/>
      </w:r>
      <w:r>
        <w:rPr>
          <w:noProof/>
        </w:rPr>
        <w:t>). Outside the EU-28, gender differences are the largest in Turkey, where NEET rates for women are exceptionally high (33.5 %, in contrast to the 14.5 % rate for men), due to their very high inactivity rate (</w:t>
      </w:r>
      <w:r>
        <w:rPr>
          <w:rStyle w:val="FootnoteReference"/>
          <w:rFonts w:ascii="Arial" w:hAnsi="Arial" w:cs="Arial"/>
          <w:noProof/>
          <w:sz w:val="20"/>
        </w:rPr>
        <w:footnoteReference w:id="37"/>
      </w:r>
      <w:r>
        <w:rPr>
          <w:noProof/>
        </w:rPr>
        <w:t>).</w:t>
      </w:r>
    </w:p>
    <w:p>
      <w:pPr>
        <w:pStyle w:val="Yo1Textpara"/>
        <w:rPr>
          <w:noProof/>
        </w:rPr>
      </w:pPr>
      <w:r>
        <w:rPr>
          <w:noProof/>
        </w:rPr>
        <w:br w:type="page"/>
        <w:t>Regarding the differences between countries in the total NEET rate, Figure 7-N reveals that in 2016, NEET rates were the highest in Bulgaria (18.2 %), Italy (19.9 %), the former Yugoslav Republic of Macedonia (24.3 %) and Turkey (23.9 %). At the other end of the scale, the rates were below 6 % in Denmark, Luxembourg, the Netherlands, Iceland and Norway.</w:t>
      </w:r>
    </w:p>
    <w:p>
      <w:pPr>
        <w:pStyle w:val="Yo5TitleFigure"/>
        <w:jc w:val="both"/>
      </w:pPr>
      <w:r>
        <w:rPr>
          <w:b/>
        </w:rPr>
        <w:t>Figure 7-N:</w:t>
      </w:r>
      <w:r>
        <w:t xml:space="preserve"> Proportion of young people (aged 15 to 24) not in employment, education or training (NEET rate), by country, 2010 and 2016</w:t>
      </w:r>
    </w:p>
    <w:p>
      <w:pPr>
        <w:pStyle w:val="Yo5TextNotes"/>
        <w:rPr>
          <w:noProof/>
          <w:lang w:val="en-GB"/>
        </w:rPr>
      </w:pPr>
    </w:p>
    <w:tbl>
      <w:tblPr>
        <w:tblW w:w="10314"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9781"/>
      </w:tblGrid>
      <w:tr>
        <w:trPr>
          <w:trHeight w:val="3107"/>
        </w:trPr>
        <w:tc>
          <w:tcPr>
            <w:tcW w:w="533" w:type="dxa"/>
            <w:shd w:val="clear" w:color="auto" w:fill="FB5F5F"/>
            <w:textDirection w:val="btLr"/>
            <w:vAlign w:val="bottom"/>
          </w:tcPr>
          <w:p>
            <w:pPr>
              <w:pStyle w:val="Yo13YouthIndicator"/>
              <w:jc w:val="center"/>
              <w:rPr>
                <w:noProof/>
                <w:lang w:eastAsia="fr-BE"/>
              </w:rPr>
            </w:pPr>
            <w:r>
              <w:rPr>
                <w:noProof/>
              </w:rPr>
              <w:t>EU youth indicator</w:t>
            </w:r>
          </w:p>
        </w:tc>
        <w:tc>
          <w:tcPr>
            <w:tcW w:w="9781" w:type="dxa"/>
            <w:shd w:val="clear" w:color="auto" w:fill="auto"/>
          </w:tcPr>
          <w:p>
            <w:pPr>
              <w:pStyle w:val="Yo5TextNotesbefore"/>
              <w:tabs>
                <w:tab w:val="clear" w:pos="1985"/>
                <w:tab w:val="clear" w:pos="5103"/>
                <w:tab w:val="right" w:pos="9173"/>
              </w:tabs>
              <w:ind w:left="368"/>
              <w:rPr>
                <w:noProof/>
                <w:sz w:val="16"/>
                <w:lang w:val="en-GB" w:eastAsia="en-GB"/>
              </w:rPr>
            </w:pPr>
            <w:r>
              <w:rPr>
                <w:noProof/>
                <w:sz w:val="16"/>
                <w:lang w:val="en-GB" w:eastAsia="en-GB"/>
              </w:rPr>
              <w:t>%</w:t>
            </w:r>
            <w:r>
              <w:rPr>
                <w:noProof/>
                <w:sz w:val="16"/>
                <w:lang w:val="en-GB" w:eastAsia="en-GB"/>
              </w:rPr>
              <w:tab/>
              <w:t>%</w:t>
            </w:r>
          </w:p>
          <w:p>
            <w:pPr>
              <w:pStyle w:val="Yo5TextNotesafter"/>
              <w:jc w:val="center"/>
              <w:rPr>
                <w:noProof/>
                <w:sz w:val="16"/>
                <w:lang w:val="en-GB"/>
              </w:rPr>
            </w:pPr>
            <w:r>
              <w:rPr>
                <w:noProof/>
                <w:sz w:val="16"/>
                <w:lang w:val="en-GB"/>
              </w:rPr>
              <w:fldChar w:fldCharType="begin"/>
            </w:r>
            <w:r>
              <w:rPr>
                <w:noProof/>
                <w:sz w:val="16"/>
                <w:lang w:val="en-GB"/>
              </w:rPr>
              <w:instrText xml:space="preserve"> INCLUDEPICTURE  "U:\\B3\\Data from Old C1\\AppData\\Local\\Microsoft\\Windows\\INetCache\\Content.Outlook\\03_graph\\7_N_NEETs.jpg" \* MERGEFORMATINET </w:instrText>
            </w:r>
            <w:r>
              <w:rPr>
                <w:noProof/>
                <w:sz w:val="16"/>
                <w:lang w:val="en-GB"/>
              </w:rPr>
              <w:fldChar w:fldCharType="separate"/>
            </w:r>
            <w:r>
              <w:rPr>
                <w:noProof/>
                <w:sz w:val="16"/>
                <w:lang w:val="en-GB"/>
              </w:rPr>
              <w:fldChar w:fldCharType="begin"/>
            </w:r>
            <w:r>
              <w:rPr>
                <w:noProof/>
                <w:sz w:val="16"/>
                <w:lang w:val="en-GB"/>
              </w:rPr>
              <w:instrText xml:space="preserve"> INCLUDEPICTURE  "C:\\Users\\paredcr\\AppData\\Local\\Microsoft\\Windows\\INetCache\\Content.Outlook\\03_graph\\7_N_NEETs.jpg" \* MERGEFORMATINET </w:instrText>
            </w:r>
            <w:r>
              <w:rPr>
                <w:noProof/>
                <w:sz w:val="16"/>
                <w:lang w:val="en-GB"/>
              </w:rPr>
              <w:fldChar w:fldCharType="separate"/>
            </w:r>
            <w:r>
              <w:rPr>
                <w:noProof/>
                <w:sz w:val="16"/>
                <w:lang w:val="en-GB"/>
              </w:rPr>
              <w:fldChar w:fldCharType="begin"/>
            </w:r>
            <w:r>
              <w:rPr>
                <w:noProof/>
                <w:sz w:val="16"/>
                <w:lang w:val="en-GB"/>
              </w:rPr>
              <w:instrText xml:space="preserve"> INCLUDEPICTURE  "C:\\Users\\paredcr\\AppData\\Local\\Microsoft\\Windows\\INetCache\\Content.Outlook\\03_graph\\7_N_NEETs.jpg" \* MERGEFORMATINET </w:instrText>
            </w:r>
            <w:r>
              <w:rPr>
                <w:noProof/>
                <w:sz w:val="16"/>
                <w:lang w:val="en-GB"/>
              </w:rPr>
              <w:fldChar w:fldCharType="separate"/>
            </w:r>
            <w:r>
              <w:rPr>
                <w:noProof/>
                <w:sz w:val="16"/>
                <w:lang w:val="en-GB"/>
              </w:rPr>
              <w:fldChar w:fldCharType="begin"/>
            </w:r>
            <w:r>
              <w:rPr>
                <w:noProof/>
                <w:sz w:val="16"/>
                <w:lang w:val="en-GB"/>
              </w:rPr>
              <w:instrText xml:space="preserve"> INCLUDEPICTURE  "C:\\Users\\paredcr\\AppData\\Local\\Microsoft\\Windows\\INetCache\\Content.Outlook\\03_graph\\7_N_NEETs.jpg" \* MERGEFORMATINET </w:instrText>
            </w:r>
            <w:r>
              <w:rPr>
                <w:noProof/>
                <w:sz w:val="16"/>
                <w:lang w:val="en-GB"/>
              </w:rPr>
              <w:fldChar w:fldCharType="separate"/>
            </w:r>
            <w:r>
              <w:rPr>
                <w:noProof/>
                <w:sz w:val="16"/>
                <w:lang w:val="en-GB"/>
              </w:rPr>
              <w:pict>
                <v:shape id="_x0000_i1026" type="#_x0000_t75" style="width:463.5pt;height:159pt">
                  <v:imagedata r:id="rId96" r:href="rId97"/>
                </v:shape>
              </w:pict>
            </w:r>
            <w:r>
              <w:rPr>
                <w:noProof/>
                <w:sz w:val="16"/>
                <w:lang w:val="en-GB"/>
              </w:rPr>
              <w:fldChar w:fldCharType="end"/>
            </w:r>
            <w:r>
              <w:rPr>
                <w:noProof/>
                <w:sz w:val="16"/>
                <w:lang w:val="en-GB"/>
              </w:rPr>
              <w:fldChar w:fldCharType="end"/>
            </w:r>
            <w:r>
              <w:rPr>
                <w:noProof/>
                <w:sz w:val="16"/>
                <w:lang w:val="en-GB"/>
              </w:rPr>
              <w:fldChar w:fldCharType="end"/>
            </w:r>
            <w:r>
              <w:rPr>
                <w:noProof/>
                <w:sz w:val="16"/>
                <w:lang w:val="en-GB"/>
              </w:rPr>
              <w:fldChar w:fldCharType="end"/>
            </w:r>
          </w:p>
        </w:tc>
      </w:tr>
    </w:tbl>
    <w:p>
      <w:pPr>
        <w:pStyle w:val="Yo5TextNotesbeforeafter"/>
        <w:spacing w:before="120"/>
        <w:rPr>
          <w:noProof/>
          <w:lang w:val="en-GB"/>
        </w:rPr>
      </w:pPr>
      <w:r>
        <w:rPr>
          <w:i/>
          <w:noProof/>
          <w:lang w:val="en-GB"/>
        </w:rPr>
        <w:t>Notes</w:t>
      </w:r>
      <w:r>
        <w:rPr>
          <w:noProof/>
          <w:lang w:val="en-GB"/>
        </w:rPr>
        <w:t>:</w:t>
      </w:r>
      <w:r>
        <w:rPr>
          <w:i/>
          <w:noProof/>
          <w:lang w:val="en-GB"/>
        </w:rPr>
        <w:t xml:space="preserve"> </w:t>
      </w:r>
      <w:r>
        <w:rPr>
          <w:noProof/>
          <w:lang w:val="en-GB"/>
        </w:rPr>
        <w:t>Break in time series: Denmark (2016).</w:t>
      </w:r>
    </w:p>
    <w:p>
      <w:pPr>
        <w:pStyle w:val="Yo5TextNotesbeforeafter"/>
        <w:rPr>
          <w:noProof/>
          <w:lang w:val="en-GB"/>
        </w:rPr>
      </w:pPr>
      <w:r>
        <w:rPr>
          <w:i/>
          <w:noProof/>
          <w:lang w:val="en-GB"/>
        </w:rPr>
        <w:t>Source</w:t>
      </w:r>
      <w:r>
        <w:rPr>
          <w:noProof/>
          <w:lang w:val="en-GB"/>
        </w:rPr>
        <w:t>:</w:t>
      </w:r>
      <w:r>
        <w:rPr>
          <w:i/>
          <w:noProof/>
          <w:lang w:val="en-GB"/>
        </w:rPr>
        <w:t xml:space="preserve"> </w:t>
      </w:r>
      <w:r>
        <w:rPr>
          <w:noProof/>
          <w:lang w:val="en-GB"/>
        </w:rPr>
        <w:t>Eurostat, Labour Force Survey (LFS), [yth_empl_150]. Data extracted on 11.01.2018.</w:t>
      </w:r>
    </w:p>
    <w:p>
      <w:pPr>
        <w:pStyle w:val="Yo5TextNotesbeforeafter"/>
        <w:spacing w:before="0" w:after="0"/>
        <w:rPr>
          <w:noProof/>
          <w:lang w:val="en-GB"/>
        </w:rPr>
      </w:pPr>
    </w:p>
    <w:p>
      <w:pPr>
        <w:pStyle w:val="Yo1Textpara"/>
        <w:rPr>
          <w:noProof/>
        </w:rPr>
      </w:pPr>
      <w:r>
        <w:rPr>
          <w:noProof/>
        </w:rPr>
        <w:t>Between 2010 and 2016, many more countries registered decreases than increases in NEET rates (Figure 7-N). Decreases were most notable in Estonia (4.9 percentage points), Ireland (6.2 percentage points), Latvia (6.6 percentage points) and Turkey (8.4 percentage points). At the same time, NEET rates increased substantially in this period in Cyprus (4.3 percentage points).</w:t>
      </w:r>
    </w:p>
    <w:p>
      <w:pPr>
        <w:pStyle w:val="Yo5TextEUYouthTOC"/>
        <w:framePr w:hSpace="0" w:wrap="auto" w:vAnchor="margin" w:hAnchor="text" w:xAlign="left" w:yAlign="inline"/>
        <w:spacing w:before="240"/>
        <w:rPr>
          <w:rFonts w:eastAsia="Times New Roman"/>
          <w:color w:val="DA1E48"/>
          <w:spacing w:val="20"/>
          <w:sz w:val="24"/>
          <w:szCs w:val="24"/>
        </w:rPr>
      </w:pPr>
      <w:r>
        <w:rPr>
          <w:rFonts w:eastAsia="Times New Roman"/>
          <w:color w:val="DA1E48"/>
          <w:spacing w:val="20"/>
          <w:sz w:val="24"/>
          <w:szCs w:val="24"/>
        </w:rPr>
        <w:t xml:space="preserve">5.5.2. Young people from a migrant background </w:t>
      </w:r>
    </w:p>
    <w:p>
      <w:pPr>
        <w:pStyle w:val="Yo1Textpara"/>
        <w:rPr>
          <w:noProof/>
        </w:rPr>
      </w:pPr>
      <w:r>
        <w:rPr>
          <w:noProof/>
        </w:rPr>
        <w:t>Migrants and ethnic minorities are among the groups most vulnerable to poverty and social exclusion. They usually face multiple disadvantages leading to persistent poverty and a marginalised position in society. Immigrants often lack the social capital (networks and information) needed to become fully included into society (</w:t>
      </w:r>
      <w:r>
        <w:rPr>
          <w:rStyle w:val="FootnoteReference"/>
          <w:rFonts w:ascii="Arial" w:hAnsi="Arial" w:cs="Arial"/>
          <w:noProof/>
          <w:sz w:val="20"/>
        </w:rPr>
        <w:footnoteReference w:id="38"/>
      </w:r>
      <w:r>
        <w:rPr>
          <w:noProof/>
        </w:rPr>
        <w:t>). As a result, migrants tend to be more at risk of poverty and social exclusion than the native-born population.</w:t>
      </w:r>
    </w:p>
    <w:p>
      <w:pPr>
        <w:pStyle w:val="Yo1Textpara"/>
        <w:rPr>
          <w:noProof/>
        </w:rPr>
      </w:pPr>
      <w:r>
        <w:rPr>
          <w:noProof/>
        </w:rPr>
        <w:t>Figure 7-O depicts the 'at-risk-of-poverty or social exclusion' rate for young people aged 16 to 29 by place of birth. While data have low reliability for many countries, the picture presented by the figure is quite clear: young people not born in the country in which they live face a higher risk of poverty or social exclusion, especially if they come from a non-EU-28 country.</w:t>
      </w:r>
    </w:p>
    <w:p>
      <w:pPr>
        <w:pStyle w:val="Yo5TitleFigure"/>
        <w:jc w:val="both"/>
      </w:pPr>
      <w:r>
        <w:rPr>
          <w:b/>
        </w:rPr>
        <w:t>Figure 7-O:</w:t>
      </w:r>
      <w:r>
        <w:t xml:space="preserve"> At-risk-of-poverty or social exclusion rate for young people (aged 16 to 29) by place of birth and by country, 2016</w:t>
      </w:r>
    </w:p>
    <w:tbl>
      <w:tblPr>
        <w:tblW w:w="9862" w:type="dxa"/>
        <w:tblInd w:w="108" w:type="dxa"/>
        <w:tblBorders>
          <w:top w:val="single" w:sz="4" w:space="0" w:color="auto"/>
          <w:left w:val="single" w:sz="4" w:space="0" w:color="auto"/>
          <w:bottom w:val="single" w:sz="4" w:space="0" w:color="auto"/>
          <w:right w:val="single" w:sz="4" w:space="0" w:color="auto"/>
        </w:tblBorders>
        <w:tblCellMar>
          <w:top w:w="57" w:type="dxa"/>
        </w:tblCellMar>
        <w:tblLook w:val="04A0" w:firstRow="1" w:lastRow="0" w:firstColumn="1" w:lastColumn="0" w:noHBand="0" w:noVBand="1"/>
      </w:tblPr>
      <w:tblGrid>
        <w:gridCol w:w="9862"/>
      </w:tblGrid>
      <w:tr>
        <w:trPr>
          <w:trHeight w:val="2949"/>
        </w:trPr>
        <w:tc>
          <w:tcPr>
            <w:tcW w:w="9862" w:type="dxa"/>
            <w:hideMark/>
          </w:tcPr>
          <w:p>
            <w:pPr>
              <w:pStyle w:val="Yo5TextNotes"/>
              <w:tabs>
                <w:tab w:val="clear" w:pos="1985"/>
                <w:tab w:val="left" w:pos="9005"/>
              </w:tabs>
              <w:ind w:left="298"/>
              <w:rPr>
                <w:noProof/>
                <w:lang w:eastAsia="en-GB"/>
              </w:rPr>
            </w:pPr>
            <w:r>
              <w:rPr>
                <w:noProof/>
                <w:lang w:val="en-GB" w:eastAsia="en-GB"/>
              </w:rPr>
              <w:t xml:space="preserve">  </w:t>
            </w:r>
            <w:r>
              <w:rPr>
                <w:noProof/>
                <w:lang w:eastAsia="en-GB"/>
              </w:rPr>
              <w:t>%</w:t>
            </w:r>
            <w:r>
              <w:rPr>
                <w:noProof/>
                <w:lang w:eastAsia="en-GB"/>
              </w:rPr>
              <w:tab/>
              <w:t>%</w:t>
            </w:r>
          </w:p>
          <w:p>
            <w:pPr>
              <w:pStyle w:val="Yo5TextNotesafter"/>
              <w:jc w:val="center"/>
              <w:rPr>
                <w:noProof/>
                <w:sz w:val="16"/>
              </w:rPr>
            </w:pPr>
            <w:r>
              <w:rPr>
                <w:noProof/>
              </w:rPr>
              <w:fldChar w:fldCharType="begin"/>
            </w:r>
            <w:r>
              <w:rPr>
                <w:noProof/>
              </w:rPr>
              <w:instrText xml:space="preserve"> INCLUDEPICTURE  "U:\\B3\\Data from Old C1\\EU YOUTH REPORT\\EU Youth Report 2018\\Revised version between cabinets - 25.04\\03_graph\\7_O_migrants.jpg" \* MERGEFORMATINET </w:instrText>
            </w:r>
            <w:r>
              <w:rPr>
                <w:noProof/>
              </w:rPr>
              <w:fldChar w:fldCharType="separate"/>
            </w:r>
            <w:r>
              <w:rPr>
                <w:noProof/>
              </w:rPr>
              <w:fldChar w:fldCharType="begin"/>
            </w:r>
            <w:r>
              <w:rPr>
                <w:noProof/>
              </w:rPr>
              <w:instrText xml:space="preserve"> INCLUDEPICTURE  "C:\\Users\\paredcr\\AppData\\Local\\Temp\\03_graph\\7_O_migrants.jpg" \* MERGEFORMATINET </w:instrText>
            </w:r>
            <w:r>
              <w:rPr>
                <w:noProof/>
              </w:rPr>
              <w:fldChar w:fldCharType="separate"/>
            </w:r>
            <w:r>
              <w:rPr>
                <w:noProof/>
              </w:rPr>
              <w:fldChar w:fldCharType="begin"/>
            </w:r>
            <w:r>
              <w:rPr>
                <w:noProof/>
              </w:rPr>
              <w:instrText xml:space="preserve"> INCLUDEPICTURE  "C:\\Users\\paredcr\\AppData\\Local\\Temp\\03_graph\\7_O_migrants.jpg" \* MERGEFORMATINET </w:instrText>
            </w:r>
            <w:r>
              <w:rPr>
                <w:noProof/>
              </w:rPr>
              <w:fldChar w:fldCharType="separate"/>
            </w:r>
            <w:r>
              <w:rPr>
                <w:noProof/>
              </w:rPr>
              <w:fldChar w:fldCharType="begin"/>
            </w:r>
            <w:r>
              <w:rPr>
                <w:noProof/>
              </w:rPr>
              <w:instrText xml:space="preserve"> INCLUDEPICTURE  "C:\\Users\\paredcr\\AppData\\Local\\Temp\\03_graph\\7_O_migrants.jpg" \* MERGEFORMATINET </w:instrText>
            </w:r>
            <w:r>
              <w:rPr>
                <w:noProof/>
              </w:rPr>
              <w:fldChar w:fldCharType="separate"/>
            </w:r>
            <w:r>
              <w:rPr>
                <w:noProof/>
              </w:rPr>
              <w:pict>
                <v:shape id="_x0000_i1027" type="#_x0000_t75" style="width:466.5pt;height:159pt">
                  <v:imagedata r:id="rId98" r:href="rId99"/>
                </v:shape>
              </w:pict>
            </w:r>
            <w:r>
              <w:rPr>
                <w:noProof/>
              </w:rPr>
              <w:fldChar w:fldCharType="end"/>
            </w:r>
            <w:r>
              <w:rPr>
                <w:noProof/>
              </w:rPr>
              <w:fldChar w:fldCharType="end"/>
            </w:r>
            <w:r>
              <w:rPr>
                <w:noProof/>
              </w:rPr>
              <w:fldChar w:fldCharType="end"/>
            </w:r>
            <w:r>
              <w:rPr>
                <w:noProof/>
              </w:rPr>
              <w:fldChar w:fldCharType="end"/>
            </w:r>
          </w:p>
        </w:tc>
      </w:tr>
      <w:tr>
        <w:trPr>
          <w:trHeight w:val="20"/>
        </w:trPr>
        <w:tc>
          <w:tcPr>
            <w:tcW w:w="9862" w:type="dxa"/>
            <w:tcMar>
              <w:top w:w="57" w:type="dxa"/>
              <w:left w:w="255" w:type="dxa"/>
              <w:bottom w:w="0" w:type="dxa"/>
              <w:right w:w="108" w:type="dxa"/>
            </w:tcMar>
          </w:tcPr>
          <w:tbl>
            <w:tblPr>
              <w:tblW w:w="0" w:type="auto"/>
              <w:jc w:val="center"/>
              <w:tblBorders>
                <w:insideH w:val="single" w:sz="4" w:space="0" w:color="auto"/>
              </w:tblBorders>
              <w:tblLook w:val="04A0" w:firstRow="1" w:lastRow="0" w:firstColumn="1" w:lastColumn="0" w:noHBand="0" w:noVBand="1"/>
            </w:tblPr>
            <w:tblGrid>
              <w:gridCol w:w="456"/>
              <w:gridCol w:w="2352"/>
              <w:gridCol w:w="456"/>
              <w:gridCol w:w="1949"/>
              <w:gridCol w:w="744"/>
              <w:gridCol w:w="1888"/>
            </w:tblGrid>
            <w:tr>
              <w:trPr>
                <w:jc w:val="center"/>
              </w:trPr>
              <w:tc>
                <w:tcPr>
                  <w:tcW w:w="0" w:type="auto"/>
                  <w:shd w:val="clear" w:color="auto" w:fill="auto"/>
                  <w:vAlign w:val="center"/>
                </w:tcPr>
                <w:p>
                  <w:pPr>
                    <w:pStyle w:val="Yo5TextNotes"/>
                    <w:tabs>
                      <w:tab w:val="clear" w:pos="1985"/>
                      <w:tab w:val="right" w:pos="8722"/>
                    </w:tabs>
                    <w:spacing w:before="40" w:after="40"/>
                    <w:jc w:val="center"/>
                    <w:rPr>
                      <w:noProof/>
                      <w:lang w:val="en-GB" w:eastAsia="en-GB"/>
                    </w:rPr>
                  </w:pPr>
                  <w:r>
                    <w:rPr>
                      <w:noProof/>
                      <w:snapToGrid/>
                      <w:lang w:val="en-US"/>
                    </w:rPr>
                    <w:drawing>
                      <wp:inline distT="0" distB="0" distL="0" distR="0">
                        <wp:extent cx="142875" cy="1428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2352" w:type="dxa"/>
                  <w:shd w:val="clear" w:color="auto" w:fill="auto"/>
                  <w:vAlign w:val="center"/>
                </w:tcPr>
                <w:p>
                  <w:pPr>
                    <w:pStyle w:val="Yo5TextNotes"/>
                    <w:tabs>
                      <w:tab w:val="clear" w:pos="1985"/>
                      <w:tab w:val="right" w:pos="8722"/>
                    </w:tabs>
                    <w:spacing w:before="40" w:after="40"/>
                    <w:jc w:val="left"/>
                    <w:rPr>
                      <w:noProof/>
                      <w:lang w:val="en-GB" w:eastAsia="en-GB"/>
                    </w:rPr>
                  </w:pPr>
                  <w:r>
                    <w:rPr>
                      <w:noProof/>
                      <w:lang w:val="en-GB" w:eastAsia="en-GB"/>
                    </w:rPr>
                    <w:t>Born in an EU-28 country outside the reporting country</w:t>
                  </w:r>
                </w:p>
              </w:tc>
              <w:tc>
                <w:tcPr>
                  <w:tcW w:w="284" w:type="dxa"/>
                  <w:shd w:val="clear" w:color="auto" w:fill="auto"/>
                  <w:vAlign w:val="center"/>
                </w:tcPr>
                <w:p>
                  <w:pPr>
                    <w:pStyle w:val="Yo5TextNotes"/>
                    <w:tabs>
                      <w:tab w:val="clear" w:pos="1985"/>
                      <w:tab w:val="right" w:pos="8722"/>
                    </w:tabs>
                    <w:spacing w:before="40" w:after="40"/>
                    <w:jc w:val="center"/>
                    <w:rPr>
                      <w:noProof/>
                      <w:lang w:val="en-GB" w:eastAsia="en-GB"/>
                    </w:rPr>
                  </w:pPr>
                  <w:r>
                    <w:rPr>
                      <w:noProof/>
                      <w:snapToGrid/>
                      <w:lang w:val="en-US"/>
                    </w:rPr>
                    <w:drawing>
                      <wp:inline distT="0" distB="0" distL="0" distR="0">
                        <wp:extent cx="142875" cy="142875"/>
                        <wp:effectExtent l="0" t="0" r="9525" b="9525"/>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949" w:type="dxa"/>
                  <w:shd w:val="clear" w:color="auto" w:fill="auto"/>
                  <w:vAlign w:val="center"/>
                </w:tcPr>
                <w:p>
                  <w:pPr>
                    <w:pStyle w:val="Yo5TextNotes"/>
                    <w:tabs>
                      <w:tab w:val="clear" w:pos="1985"/>
                      <w:tab w:val="right" w:pos="8722"/>
                    </w:tabs>
                    <w:spacing w:before="40" w:after="40"/>
                    <w:jc w:val="left"/>
                    <w:rPr>
                      <w:noProof/>
                      <w:lang w:val="en-GB" w:eastAsia="en-GB"/>
                    </w:rPr>
                  </w:pPr>
                  <w:r>
                    <w:rPr>
                      <w:noProof/>
                      <w:lang w:val="en-GB" w:eastAsia="en-GB"/>
                    </w:rPr>
                    <w:t>Born in a non-EU-28 country</w:t>
                  </w:r>
                </w:p>
              </w:tc>
              <w:tc>
                <w:tcPr>
                  <w:tcW w:w="744" w:type="dxa"/>
                  <w:shd w:val="clear" w:color="auto" w:fill="auto"/>
                </w:tcPr>
                <w:p>
                  <w:pPr>
                    <w:pStyle w:val="Yo5TextNotes"/>
                    <w:tabs>
                      <w:tab w:val="clear" w:pos="1985"/>
                      <w:tab w:val="right" w:pos="8722"/>
                    </w:tabs>
                    <w:spacing w:before="40" w:after="40"/>
                    <w:jc w:val="center"/>
                    <w:rPr>
                      <w:noProof/>
                      <w:lang w:val="en-GB" w:eastAsia="en-GB"/>
                    </w:rPr>
                  </w:pPr>
                  <w:r>
                    <w:rPr>
                      <w:noProof/>
                      <w:snapToGrid/>
                      <w:szCs w:val="14"/>
                      <w:lang w:val="en-US"/>
                    </w:rPr>
                    <w:drawing>
                      <wp:inline distT="0" distB="0" distL="0" distR="0">
                        <wp:extent cx="167005" cy="400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7005" cy="40005"/>
                                </a:xfrm>
                                <a:prstGeom prst="rect">
                                  <a:avLst/>
                                </a:prstGeom>
                                <a:noFill/>
                                <a:ln>
                                  <a:noFill/>
                                </a:ln>
                              </pic:spPr>
                            </pic:pic>
                          </a:graphicData>
                        </a:graphic>
                      </wp:inline>
                    </w:drawing>
                  </w:r>
                </w:p>
              </w:tc>
              <w:tc>
                <w:tcPr>
                  <w:tcW w:w="1888" w:type="dxa"/>
                  <w:shd w:val="clear" w:color="auto" w:fill="auto"/>
                  <w:vAlign w:val="center"/>
                </w:tcPr>
                <w:p>
                  <w:pPr>
                    <w:pStyle w:val="Yo5TextNotes"/>
                    <w:tabs>
                      <w:tab w:val="clear" w:pos="1985"/>
                      <w:tab w:val="right" w:pos="8722"/>
                    </w:tabs>
                    <w:spacing w:before="40" w:after="40"/>
                    <w:jc w:val="left"/>
                    <w:rPr>
                      <w:noProof/>
                      <w:lang w:val="en-GB" w:eastAsia="en-GB"/>
                    </w:rPr>
                  </w:pPr>
                  <w:r>
                    <w:rPr>
                      <w:noProof/>
                      <w:lang w:val="en-GB" w:eastAsia="en-GB"/>
                    </w:rPr>
                    <w:t>Born in reporting country</w:t>
                  </w:r>
                </w:p>
              </w:tc>
            </w:tr>
          </w:tbl>
          <w:p>
            <w:pPr>
              <w:pStyle w:val="Yo5TextNotes"/>
              <w:tabs>
                <w:tab w:val="clear" w:pos="1985"/>
                <w:tab w:val="right" w:pos="8722"/>
              </w:tabs>
              <w:ind w:left="175"/>
              <w:rPr>
                <w:noProof/>
                <w:lang w:val="en-GB" w:eastAsia="en-GB"/>
              </w:rPr>
            </w:pPr>
          </w:p>
        </w:tc>
      </w:tr>
    </w:tbl>
    <w:p>
      <w:pPr>
        <w:pStyle w:val="Yo5TextNotesbeforeafter"/>
        <w:rPr>
          <w:noProof/>
          <w:lang w:val="en-GB"/>
        </w:rPr>
      </w:pPr>
      <w:r>
        <w:rPr>
          <w:i/>
          <w:noProof/>
          <w:lang w:val="en-GB"/>
        </w:rPr>
        <w:t>Notes</w:t>
      </w:r>
      <w:r>
        <w:rPr>
          <w:noProof/>
          <w:lang w:val="en-GB"/>
        </w:rPr>
        <w:t>:</w:t>
      </w:r>
      <w:r>
        <w:rPr>
          <w:i/>
          <w:noProof/>
          <w:lang w:val="en-GB"/>
        </w:rPr>
        <w:t xml:space="preserve"> </w:t>
      </w:r>
      <w:r>
        <w:rPr>
          <w:noProof/>
          <w:lang w:val="en-GB"/>
        </w:rPr>
        <w:t>Born in an EU-28 country outside the reporting country: Data have low reliability for the European Union average, Czech Republic, Denmark, France, Croatia, Malta and Slovenia. Data are not reliable and not publishable for Bulgaria, Estonia, Latvia, Lithuania, Hungary, Poland, Romania and Slovakia.</w:t>
      </w:r>
    </w:p>
    <w:p>
      <w:pPr>
        <w:pStyle w:val="Yo5TextNotesbeforeafter"/>
        <w:rPr>
          <w:noProof/>
          <w:lang w:val="en-GB"/>
        </w:rPr>
      </w:pPr>
      <w:r>
        <w:rPr>
          <w:noProof/>
          <w:lang w:val="en-GB"/>
        </w:rPr>
        <w:t>Born in a non-EU-28 country: Data have low reliability for the European Union average, Czech Republic, Estonia, Latvia, Malta and Serbia. Data are not reliable and not publishable for Bulgaria, Lithuania, Hungary, Poland, Romania and Slovakia.</w:t>
      </w:r>
    </w:p>
    <w:p>
      <w:pPr>
        <w:pStyle w:val="Yo5TextNotesbeforeafter"/>
        <w:spacing w:before="120"/>
        <w:rPr>
          <w:noProof/>
          <w:sz w:val="20"/>
          <w:szCs w:val="20"/>
          <w:lang w:val="en-GB"/>
        </w:rPr>
      </w:pPr>
      <w:r>
        <w:rPr>
          <w:i/>
          <w:noProof/>
          <w:lang w:val="en-GB"/>
        </w:rPr>
        <w:t>Source</w:t>
      </w:r>
      <w:r>
        <w:rPr>
          <w:noProof/>
          <w:lang w:val="en-GB"/>
        </w:rPr>
        <w:t>:</w:t>
      </w:r>
      <w:r>
        <w:rPr>
          <w:i/>
          <w:noProof/>
          <w:lang w:val="en-GB"/>
        </w:rPr>
        <w:t xml:space="preserve"> </w:t>
      </w:r>
      <w:r>
        <w:rPr>
          <w:noProof/>
          <w:lang w:val="en-GB"/>
        </w:rPr>
        <w:t>Eurostat, Statistics on income and living conditions (SILC) [ilc_peps06]. Data extracted on 29.01.2018.</w:t>
      </w:r>
    </w:p>
    <w:p>
      <w:pPr>
        <w:pStyle w:val="Yo5TextNotesbeforeafter"/>
        <w:spacing w:before="0" w:after="0"/>
        <w:rPr>
          <w:i/>
          <w:noProof/>
          <w:lang w:val="en-GB"/>
        </w:rPr>
      </w:pPr>
    </w:p>
    <w:p>
      <w:pPr>
        <w:pStyle w:val="Yo1Textpara"/>
        <w:rPr>
          <w:noProof/>
        </w:rPr>
      </w:pPr>
      <w:r>
        <w:rPr>
          <w:noProof/>
        </w:rPr>
        <w:t xml:space="preserve">In 2016, the at-risk-of-poverty or social exclusion rate of young people born outside the European Union was above 60 % in Greece (64 %), the Netherlands (62.6 %) and Belgium (60.7 %); and above 55 % in Spain (58.1 %), Sweden (56.4 %) and Cyprus (55.9 %). This means that in these countries, the majority of young people from an immigrant background face the risk of poverty or social exclusion. Differences between the at-risk-of-poverty or social exclusion rates of the native-born and the foreign-born in general are highest in Austria (where the at-risk-of-poverty or social exclusion rate of foreign-born young people is more than three times the rate for the native-born), Belgium and the Netherlands. </w:t>
      </w:r>
    </w:p>
    <w:p>
      <w:pPr>
        <w:pStyle w:val="Yo1Textpara"/>
        <w:rPr>
          <w:noProof/>
        </w:rPr>
      </w:pPr>
      <w:r>
        <w:rPr>
          <w:noProof/>
        </w:rPr>
        <w:t xml:space="preserve">The at-risk-of-poverty rates for second generation immigrants – the children of foreign-born parents (EU and non-EU) </w:t>
      </w:r>
      <w:r>
        <w:rPr>
          <w:noProof/>
        </w:rPr>
        <w:sym w:font="Symbol" w:char="F02D"/>
      </w:r>
      <w:r>
        <w:rPr>
          <w:noProof/>
        </w:rPr>
        <w:t xml:space="preserve"> still show a strong disparity with those of the native-born population (Figure 7-P), but the figures are less extreme. As this figure shows, the children of foreign-born parents are almost twice as likely to be at risk of poverty as the children of native-born parents in the EU-28 (31.5 % vs. 18.4 %). The relative risk of poverty for immigrant children compared to their native-born peers is greatest in Sweden, where the proportion of children from foreign-born families who are at risk of poverty is more than six times higher than children of native-born parents. Differences are also relatively substantial in Belgium, Denmark, France, Austria and Slovenia, with a foreign-born/native-born ratio above 2.8. Conversely, among the countries with reliable data, children from foreign-born families are at a similar or lower level of risk of poverty than children from native-born families in Estonia, Hungary, Latvia, Portugal and Serbia. This is the case partly because there are relatively fewer children of foreign-born parents, and partly because children in these countries have, in general, relatively higher at-risk-of-poverty rates.</w:t>
      </w:r>
    </w:p>
    <w:p>
      <w:pPr>
        <w:pStyle w:val="Yo5TitleFigure"/>
        <w:jc w:val="both"/>
      </w:pPr>
      <w:r>
        <w:rPr>
          <w:b/>
        </w:rPr>
        <w:t>Figure 7-P:</w:t>
      </w:r>
      <w:r>
        <w:t xml:space="preserve"> At-risk-of-poverty rate for children (aged 0 to 17) by the country of birth of their parents, by country, 2016</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9923"/>
      </w:tblGrid>
      <w:tr>
        <w:trPr>
          <w:trHeight w:val="520"/>
        </w:trPr>
        <w:tc>
          <w:tcPr>
            <w:tcW w:w="9923" w:type="dxa"/>
            <w:shd w:val="clear" w:color="auto" w:fill="auto"/>
          </w:tcPr>
          <w:tbl>
            <w:tblPr>
              <w:tblW w:w="9673" w:type="dxa"/>
              <w:tblInd w:w="34" w:type="dxa"/>
              <w:tblBorders>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379"/>
              <w:gridCol w:w="425"/>
              <w:gridCol w:w="2869"/>
            </w:tblGrid>
            <w:tr>
              <w:trPr>
                <w:trHeight w:val="138"/>
              </w:trPr>
              <w:tc>
                <w:tcPr>
                  <w:tcW w:w="6379" w:type="dxa"/>
                  <w:vMerge w:val="restart"/>
                  <w:tcBorders>
                    <w:right w:val="nil"/>
                  </w:tcBorders>
                  <w:shd w:val="clear" w:color="auto" w:fill="auto"/>
                </w:tcPr>
                <w:p>
                  <w:pPr>
                    <w:pStyle w:val="a75TextbaseTable"/>
                    <w:ind w:left="-164"/>
                    <w:rPr>
                      <w:noProof/>
                    </w:rPr>
                  </w:pPr>
                  <w:r>
                    <w:rPr>
                      <w:noProof/>
                      <w:snapToGrid/>
                    </w:rPr>
                    <mc:AlternateContent>
                      <mc:Choice Requires="wps">
                        <w:drawing>
                          <wp:anchor distT="0" distB="0" distL="114300" distR="114300" simplePos="0" relativeHeight="251659264" behindDoc="0" locked="0" layoutInCell="1" allowOverlap="1">
                            <wp:simplePos x="0" y="0"/>
                            <wp:positionH relativeFrom="column">
                              <wp:posOffset>2617470</wp:posOffset>
                            </wp:positionH>
                            <wp:positionV relativeFrom="paragraph">
                              <wp:posOffset>123825</wp:posOffset>
                            </wp:positionV>
                            <wp:extent cx="1162050" cy="1529080"/>
                            <wp:effectExtent l="0" t="0" r="190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142"/>
                                          <w:rPr>
                                            <w:rFonts w:ascii="Arial Narrow" w:hAnsi="Arial Narrow"/>
                                            <w:sz w:val="14"/>
                                            <w:szCs w:val="14"/>
                                          </w:rPr>
                                        </w:pPr>
                                        <w:r>
                                          <w:rPr>
                                            <w:rFonts w:ascii="Arial Narrow" w:hAnsi="Arial Narrow"/>
                                            <w:sz w:val="14"/>
                                            <w:szCs w:val="14"/>
                                          </w:rPr>
                                          <w:t>%</w:t>
                                        </w:r>
                                      </w:p>
                                      <w:p>
                                        <w:pPr>
                                          <w:spacing w:after="0" w:line="240" w:lineRule="auto"/>
                                        </w:pPr>
                                        <w:r>
                                          <w:rPr>
                                            <w:noProof/>
                                            <w:lang w:val="en-US"/>
                                          </w:rPr>
                                          <w:drawing>
                                            <wp:inline distT="0" distB="0" distL="0" distR="0">
                                              <wp:extent cx="938530" cy="946150"/>
                                              <wp:effectExtent l="0" t="0" r="0" b="6350"/>
                                              <wp:docPr id="109" name="Picture 109" descr="\\s-eacea-fs03-p\EACEA.A7\Youth\04_Reports\a_EU_Youth_Reports\2018\03_graph\7_P_migrants_EU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acea-fs03-p\EACEA.A7\Youth\04_Reports\a_EU_Youth_Reports\2018\03_graph\7_P_migrants_EU28.jp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938530" cy="946150"/>
                                                      </a:xfrm>
                                                      <a:prstGeom prst="rect">
                                                        <a:avLst/>
                                                      </a:prstGeom>
                                                      <a:noFill/>
                                                      <a:ln>
                                                        <a:noFill/>
                                                      </a:ln>
                                                    </pic:spPr>
                                                  </pic:pic>
                                                </a:graphicData>
                                              </a:graphic>
                                            </wp:inline>
                                          </w:drawing>
                                        </w:r>
                                      </w:p>
                                      <w:tbl>
                                        <w:tblPr>
                                          <w:tblW w:w="0" w:type="auto"/>
                                          <w:jc w:val="center"/>
                                          <w:tblLayout w:type="fixed"/>
                                          <w:tblLook w:val="04A0" w:firstRow="1" w:lastRow="0" w:firstColumn="1" w:lastColumn="0" w:noHBand="0" w:noVBand="1"/>
                                        </w:tblPr>
                                        <w:tblGrid>
                                          <w:gridCol w:w="495"/>
                                          <w:gridCol w:w="434"/>
                                        </w:tblGrid>
                                        <w:tr>
                                          <w:trPr>
                                            <w:jc w:val="center"/>
                                          </w:trPr>
                                          <w:tc>
                                            <w:tcPr>
                                              <w:tcW w:w="495" w:type="dxa"/>
                                              <w:shd w:val="clear" w:color="auto" w:fill="auto"/>
                                              <w:tcMar>
                                                <w:left w:w="0" w:type="dxa"/>
                                                <w:right w:w="0" w:type="dxa"/>
                                              </w:tcMar>
                                            </w:tcPr>
                                            <w:p>
                                              <w:pPr>
                                                <w:spacing w:after="0" w:line="240" w:lineRule="auto"/>
                                                <w:jc w:val="center"/>
                                                <w:rPr>
                                                  <w:rFonts w:ascii="Arial Narrow" w:hAnsi="Arial Narrow"/>
                                                  <w:sz w:val="12"/>
                                                  <w:szCs w:val="14"/>
                                                </w:rPr>
                                              </w:pPr>
                                              <w:r>
                                                <w:rPr>
                                                  <w:rFonts w:ascii="Arial Narrow" w:hAnsi="Arial Narrow"/>
                                                  <w:sz w:val="12"/>
                                                  <w:szCs w:val="14"/>
                                                </w:rPr>
                                                <w:t>Foreign-born</w:t>
                                              </w:r>
                                            </w:p>
                                          </w:tc>
                                          <w:tc>
                                            <w:tcPr>
                                              <w:tcW w:w="434" w:type="dxa"/>
                                              <w:shd w:val="clear" w:color="auto" w:fill="auto"/>
                                              <w:tcMar>
                                                <w:left w:w="0" w:type="dxa"/>
                                                <w:right w:w="0" w:type="dxa"/>
                                              </w:tcMar>
                                            </w:tcPr>
                                            <w:p>
                                              <w:pPr>
                                                <w:spacing w:after="0" w:line="240" w:lineRule="auto"/>
                                                <w:jc w:val="center"/>
                                                <w:rPr>
                                                  <w:rFonts w:ascii="Arial Narrow" w:hAnsi="Arial Narrow"/>
                                                  <w:sz w:val="12"/>
                                                  <w:szCs w:val="14"/>
                                                </w:rPr>
                                              </w:pPr>
                                              <w:r>
                                                <w:rPr>
                                                  <w:rFonts w:ascii="Arial Narrow" w:hAnsi="Arial Narrow"/>
                                                  <w:sz w:val="12"/>
                                                  <w:szCs w:val="14"/>
                                                </w:rPr>
                                                <w:t>Native-born</w:t>
                                              </w:r>
                                            </w:p>
                                          </w:tc>
                                        </w:tr>
                                      </w:tb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06.1pt;margin-top:9.75pt;width:91.5pt;height:1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" stroked="f">
                            <v:textbox>
                              <w:txbxContent>
                                <w:p>
                                  <w:pPr>
                                    <w:spacing w:after="0" w:line="240" w:lineRule="auto"/>
                                    <w:ind w:left="142"/>
                                    <w:rPr>
                                      <w:rFonts w:ascii="Arial Narrow" w:hAnsi="Arial Narrow"/>
                                      <w:sz w:val="14"/>
                                      <w:szCs w:val="14"/>
                                    </w:rPr>
                                  </w:pPr>
                                  <w:r>
                                    <w:rPr>
                                      <w:rFonts w:ascii="Arial Narrow" w:hAnsi="Arial Narrow"/>
                                      <w:sz w:val="14"/>
                                      <w:szCs w:val="14"/>
                                    </w:rPr>
                                    <w:t>%</w:t>
                                  </w:r>
                                </w:p>
                                <w:p>
                                  <w:pPr>
                                    <w:spacing w:after="0" w:line="240" w:lineRule="auto"/>
                                  </w:pPr>
                                  <w:r>
                                    <w:rPr>
                                      <w:noProof/>
                                      <w:lang w:val="en-US"/>
                                    </w:rPr>
                                    <w:drawing>
                                      <wp:inline distT="0" distB="0" distL="0" distR="0">
                                        <wp:extent cx="938530" cy="946150"/>
                                        <wp:effectExtent l="0" t="0" r="0" b="6350"/>
                                        <wp:docPr id="109" name="Picture 109" descr="\\s-eacea-fs03-p\EACEA.A7\Youth\04_Reports\a_EU_Youth_Reports\2018\03_graph\7_P_migrants_EU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acea-fs03-p\EACEA.A7\Youth\04_Reports\a_EU_Youth_Reports\2018\03_graph\7_P_migrants_EU28.jp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938530" cy="946150"/>
                                                </a:xfrm>
                                                <a:prstGeom prst="rect">
                                                  <a:avLst/>
                                                </a:prstGeom>
                                                <a:noFill/>
                                                <a:ln>
                                                  <a:noFill/>
                                                </a:ln>
                                              </pic:spPr>
                                            </pic:pic>
                                          </a:graphicData>
                                        </a:graphic>
                                      </wp:inline>
                                    </w:drawing>
                                  </w:r>
                                </w:p>
                                <w:tbl>
                                  <w:tblPr>
                                    <w:tblW w:w="0" w:type="auto"/>
                                    <w:jc w:val="center"/>
                                    <w:tblLayout w:type="fixed"/>
                                    <w:tblLook w:val="04A0" w:firstRow="1" w:lastRow="0" w:firstColumn="1" w:lastColumn="0" w:noHBand="0" w:noVBand="1"/>
                                  </w:tblPr>
                                  <w:tblGrid>
                                    <w:gridCol w:w="495"/>
                                    <w:gridCol w:w="434"/>
                                  </w:tblGrid>
                                  <w:tr>
                                    <w:trPr>
                                      <w:jc w:val="center"/>
                                    </w:trPr>
                                    <w:tc>
                                      <w:tcPr>
                                        <w:tcW w:w="495" w:type="dxa"/>
                                        <w:shd w:val="clear" w:color="auto" w:fill="auto"/>
                                        <w:tcMar>
                                          <w:left w:w="0" w:type="dxa"/>
                                          <w:right w:w="0" w:type="dxa"/>
                                        </w:tcMar>
                                      </w:tcPr>
                                      <w:p>
                                        <w:pPr>
                                          <w:spacing w:after="0" w:line="240" w:lineRule="auto"/>
                                          <w:jc w:val="center"/>
                                          <w:rPr>
                                            <w:rFonts w:ascii="Arial Narrow" w:hAnsi="Arial Narrow"/>
                                            <w:sz w:val="12"/>
                                            <w:szCs w:val="14"/>
                                          </w:rPr>
                                        </w:pPr>
                                        <w:r>
                                          <w:rPr>
                                            <w:rFonts w:ascii="Arial Narrow" w:hAnsi="Arial Narrow"/>
                                            <w:sz w:val="12"/>
                                            <w:szCs w:val="14"/>
                                          </w:rPr>
                                          <w:t>Foreign-born</w:t>
                                        </w:r>
                                      </w:p>
                                    </w:tc>
                                    <w:tc>
                                      <w:tcPr>
                                        <w:tcW w:w="434" w:type="dxa"/>
                                        <w:shd w:val="clear" w:color="auto" w:fill="auto"/>
                                        <w:tcMar>
                                          <w:left w:w="0" w:type="dxa"/>
                                          <w:right w:w="0" w:type="dxa"/>
                                        </w:tcMar>
                                      </w:tcPr>
                                      <w:p>
                                        <w:pPr>
                                          <w:spacing w:after="0" w:line="240" w:lineRule="auto"/>
                                          <w:jc w:val="center"/>
                                          <w:rPr>
                                            <w:rFonts w:ascii="Arial Narrow" w:hAnsi="Arial Narrow"/>
                                            <w:sz w:val="12"/>
                                            <w:szCs w:val="14"/>
                                          </w:rPr>
                                        </w:pPr>
                                        <w:r>
                                          <w:rPr>
                                            <w:rFonts w:ascii="Arial Narrow" w:hAnsi="Arial Narrow"/>
                                            <w:sz w:val="12"/>
                                            <w:szCs w:val="14"/>
                                          </w:rPr>
                                          <w:t>Native-born</w:t>
                                        </w:r>
                                      </w:p>
                                    </w:tc>
                                  </w:tr>
                                </w:tbl>
                                <w:p/>
                              </w:txbxContent>
                            </v:textbox>
                          </v:shape>
                        </w:pict>
                      </mc:Fallback>
                    </mc:AlternateContent>
                  </w:r>
                  <w:r>
                    <w:rPr>
                      <w:noProof/>
                      <w:snapToGrid/>
                    </w:rPr>
                    <w:drawing>
                      <wp:inline distT="0" distB="0" distL="0" distR="0">
                        <wp:extent cx="4031615" cy="3021330"/>
                        <wp:effectExtent l="0" t="0" r="6985" b="7620"/>
                        <wp:docPr id="50" name="Picture 50" descr="\\s-eacea-fs03-p\EACEA.A7\Youth\04_Reports\a_EU_Youth_Reports\2018\03_graph\7_P_migr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acea-fs03-p\EACEA.A7\Youth\04_Reports\a_EU_Youth_Reports\2018\03_graph\7_P_migrants.jpg"/>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4031615" cy="3021330"/>
                                </a:xfrm>
                                <a:prstGeom prst="rect">
                                  <a:avLst/>
                                </a:prstGeom>
                                <a:noFill/>
                                <a:ln>
                                  <a:noFill/>
                                </a:ln>
                              </pic:spPr>
                            </pic:pic>
                          </a:graphicData>
                        </a:graphic>
                      </wp:inline>
                    </w:drawing>
                  </w:r>
                </w:p>
              </w:tc>
              <w:tc>
                <w:tcPr>
                  <w:tcW w:w="425" w:type="dxa"/>
                  <w:tcBorders>
                    <w:top w:val="nil"/>
                    <w:left w:val="nil"/>
                    <w:bottom w:val="nil"/>
                    <w:right w:val="nil"/>
                  </w:tcBorders>
                  <w:vAlign w:val="center"/>
                </w:tcPr>
                <w:p>
                  <w:pPr>
                    <w:pStyle w:val="a75TextbaseTable"/>
                    <w:spacing w:beforeLines="20" w:before="48" w:after="20"/>
                    <w:rPr>
                      <w:noProof/>
                    </w:rPr>
                  </w:pPr>
                </w:p>
              </w:tc>
              <w:tc>
                <w:tcPr>
                  <w:tcW w:w="2869" w:type="dxa"/>
                  <w:tcBorders>
                    <w:top w:val="nil"/>
                    <w:left w:val="nil"/>
                    <w:bottom w:val="nil"/>
                  </w:tcBorders>
                  <w:shd w:val="clear" w:color="auto" w:fill="auto"/>
                  <w:vAlign w:val="center"/>
                </w:tcPr>
                <w:p>
                  <w:pPr>
                    <w:pStyle w:val="a75TextbaseTable"/>
                    <w:rPr>
                      <w:noProof/>
                    </w:rPr>
                  </w:pPr>
                </w:p>
              </w:tc>
            </w:tr>
            <w:tr>
              <w:trPr>
                <w:trHeight w:val="471"/>
              </w:trPr>
              <w:tc>
                <w:tcPr>
                  <w:tcW w:w="6379"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51" name="Picture 51" descr="G:\TOOLS\Templates_Graphs\Maps\Excel\PNG\C2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TOOLS\Templates_Graphs\Maps\Excel\PNG\C2L.png"/>
                                <pic:cNvPicPr>
                                  <a:picLocks noChangeAspect="1" noChangeArrowheads="1"/>
                                </pic:cNvPicPr>
                              </pic:nvPicPr>
                              <pic:blipFill>
                                <a:blip r:embed="rId104" r:link="rId10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2869"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Children with foreign-born parents are less at risk of poverty</w:t>
                  </w:r>
                </w:p>
              </w:tc>
            </w:tr>
            <w:tr>
              <w:trPr>
                <w:trHeight w:val="437"/>
              </w:trPr>
              <w:tc>
                <w:tcPr>
                  <w:tcW w:w="6379"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2869"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Similar situation for children with native-born and foreign-born parents</w:t>
                  </w:r>
                </w:p>
              </w:tc>
            </w:tr>
            <w:tr>
              <w:trPr>
                <w:trHeight w:val="361"/>
              </w:trPr>
              <w:tc>
                <w:tcPr>
                  <w:tcW w:w="6379"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0" t="0" r="9525" b="9525"/>
                        <wp:docPr id="53" name="Picture 53"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rang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2869"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The proportion of children at risk of poverty is higher for those with foreign-born than native-born parents, but less than twice</w:t>
                  </w:r>
                </w:p>
              </w:tc>
            </w:tr>
            <w:tr>
              <w:tc>
                <w:tcPr>
                  <w:tcW w:w="6379"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58750" cy="15875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869"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The proportion of children at risk of poverty is two or more times higher for those with foreign-born parents than native-born parents</w:t>
                  </w:r>
                </w:p>
              </w:tc>
            </w:tr>
            <w:tr>
              <w:trPr>
                <w:trHeight w:val="347"/>
              </w:trPr>
              <w:tc>
                <w:tcPr>
                  <w:tcW w:w="6379"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58750" cy="158750"/>
                        <wp:effectExtent l="0" t="0" r="0" b="0"/>
                        <wp:docPr id="55" name="Picture 55" descr="G:\YOUTH\TOOLS\key_youth\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YOUTH\TOOLS\key_youth\R5.jpg"/>
                                <pic:cNvPicPr>
                                  <a:picLocks noChangeAspect="1" noChangeArrowheads="1"/>
                                </pic:cNvPicPr>
                              </pic:nvPicPr>
                              <pic:blipFill>
                                <a:blip r:embed="rId109" r:link="rId110"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869"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The proportion of children at risk of poverty is more than six times higher for those with foreign-born parents than native-born parents</w:t>
                  </w:r>
                </w:p>
              </w:tc>
            </w:tr>
            <w:tr>
              <w:trPr>
                <w:trHeight w:val="402"/>
              </w:trPr>
              <w:tc>
                <w:tcPr>
                  <w:tcW w:w="6379"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56" name="Picture 56" descr="NAv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NAvaiT"/>
                                <pic:cNvPicPr>
                                  <a:picLocks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2869"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Data not available or not collected</w:t>
                  </w:r>
                </w:p>
              </w:tc>
            </w:tr>
            <w:tr>
              <w:trPr>
                <w:trHeight w:val="402"/>
              </w:trPr>
              <w:tc>
                <w:tcPr>
                  <w:tcW w:w="6379"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p>
              </w:tc>
              <w:tc>
                <w:tcPr>
                  <w:tcW w:w="2869" w:type="dxa"/>
                  <w:tcBorders>
                    <w:top w:val="nil"/>
                    <w:left w:val="nil"/>
                    <w:bottom w:val="nil"/>
                  </w:tcBorders>
                  <w:shd w:val="clear" w:color="auto" w:fill="auto"/>
                  <w:vAlign w:val="center"/>
                </w:tcPr>
                <w:p>
                  <w:pPr>
                    <w:pStyle w:val="a75TextbaseTable"/>
                    <w:rPr>
                      <w:noProof/>
                    </w:rPr>
                  </w:pPr>
                </w:p>
              </w:tc>
            </w:tr>
          </w:tbl>
          <w:p>
            <w:pPr>
              <w:pStyle w:val="Yo5TextNotesafter"/>
              <w:rPr>
                <w:noProof/>
                <w:sz w:val="16"/>
              </w:rPr>
            </w:pPr>
          </w:p>
        </w:tc>
      </w:tr>
    </w:tbl>
    <w:p>
      <w:pPr>
        <w:pStyle w:val="Yo5TextNotesbeforeafter"/>
        <w:rPr>
          <w:noProof/>
          <w:lang w:val="en-GB"/>
        </w:rPr>
      </w:pPr>
      <w:r>
        <w:rPr>
          <w:i/>
          <w:noProof/>
          <w:lang w:val="en-GB"/>
        </w:rPr>
        <w:t>Notes</w:t>
      </w:r>
      <w:r>
        <w:rPr>
          <w:noProof/>
          <w:lang w:val="en-GB"/>
        </w:rPr>
        <w:t>:</w:t>
      </w:r>
      <w:r>
        <w:rPr>
          <w:i/>
          <w:noProof/>
          <w:lang w:val="en-GB"/>
        </w:rPr>
        <w:t xml:space="preserve"> </w:t>
      </w:r>
      <w:r>
        <w:rPr>
          <w:noProof/>
          <w:lang w:val="en-GB"/>
        </w:rPr>
        <w:t>Data on children with foreign-born parents: EU-28 average: estimate. Data are not reliable and not publishable for Romania and Slovakia. Data are not reliable for Bulgaria and Poland.</w:t>
      </w:r>
    </w:p>
    <w:p>
      <w:pPr>
        <w:pStyle w:val="Yo5TextNotesbeforeafter"/>
        <w:rPr>
          <w:noProof/>
          <w:lang w:val="en-GB"/>
        </w:rPr>
      </w:pPr>
      <w:r>
        <w:rPr>
          <w:noProof/>
          <w:lang w:val="en-GB"/>
        </w:rPr>
        <w:t xml:space="preserve">At-risk-of-poverty rates of children of native-born and foreign-born parents were </w:t>
      </w:r>
      <w:r>
        <w:rPr>
          <w:noProof/>
          <w:szCs w:val="14"/>
          <w:lang w:val="en-GB"/>
        </w:rPr>
        <w:t>regarded as similar if the foreign-born/native-born ratio was between 0.85 and 1.15.</w:t>
      </w:r>
    </w:p>
    <w:p>
      <w:pPr>
        <w:pStyle w:val="Yo5TextNotesbeforeafter"/>
        <w:spacing w:before="120"/>
        <w:rPr>
          <w:noProof/>
          <w:sz w:val="20"/>
          <w:szCs w:val="20"/>
          <w:lang w:val="en-GB"/>
        </w:rPr>
      </w:pPr>
      <w:r>
        <w:rPr>
          <w:i/>
          <w:noProof/>
          <w:lang w:val="en-GB"/>
        </w:rPr>
        <w:t>Source</w:t>
      </w:r>
      <w:r>
        <w:rPr>
          <w:noProof/>
          <w:lang w:val="en-GB"/>
        </w:rPr>
        <w:t>:</w:t>
      </w:r>
      <w:r>
        <w:rPr>
          <w:i/>
          <w:noProof/>
          <w:lang w:val="en-GB"/>
        </w:rPr>
        <w:t xml:space="preserve"> </w:t>
      </w:r>
      <w:r>
        <w:rPr>
          <w:noProof/>
          <w:lang w:val="en-GB"/>
        </w:rPr>
        <w:t>Eurostat, Statistics on income and living conditions (SILC) [ilc_li34]. Data extracted on 11.01.2018.</w:t>
      </w:r>
    </w:p>
    <w:p>
      <w:pPr>
        <w:pStyle w:val="Yo5TextNotesbeforeafter"/>
        <w:spacing w:before="0" w:after="0"/>
        <w:rPr>
          <w:noProof/>
          <w:lang w:val="en-GB"/>
        </w:rPr>
      </w:pPr>
    </w:p>
    <w:p>
      <w:pPr>
        <w:pStyle w:val="Yo1Textpara"/>
        <w:rPr>
          <w:noProof/>
        </w:rPr>
      </w:pPr>
      <w:r>
        <w:rPr>
          <w:noProof/>
        </w:rPr>
        <w:t>The at-risk-of-poverty rates of immigrant children are the highest in Spain (50 %), Italy (40.3 %) and France (40.1 %), while they are the lowest in Latvia (8.8 %). Between 2010 and 2016, the at-risk-of-poverty rates of children of foreign-born parents increased the most in Lithuania and Sweden (with 23.1 and 13.0 percentage points respectively). At the same time, the largest decreases were registered in Germany (12.1 percentage points), Latvia (13.5 percentage points) and Finland (15 percentage points) (</w:t>
      </w:r>
      <w:r>
        <w:rPr>
          <w:rStyle w:val="FootnoteReference"/>
          <w:noProof/>
        </w:rPr>
        <w:footnoteReference w:id="39"/>
      </w:r>
      <w:r>
        <w:rPr>
          <w:noProof/>
        </w:rPr>
        <w:t>).</w:t>
      </w:r>
    </w:p>
    <w:p>
      <w:pPr>
        <w:pStyle w:val="Yo1Textpara"/>
        <w:rPr>
          <w:noProof/>
        </w:rPr>
      </w:pPr>
      <w:r>
        <w:rPr>
          <w:noProof/>
        </w:rPr>
        <w:t>Given the trans-generational transmission of poverty, children from poor families are also more likely to stay in poverty when they become adults (</w:t>
      </w:r>
      <w:r>
        <w:rPr>
          <w:rStyle w:val="FootnoteReference"/>
          <w:rFonts w:ascii="Arial" w:hAnsi="Arial" w:cs="Arial"/>
          <w:noProof/>
          <w:sz w:val="20"/>
        </w:rPr>
        <w:footnoteReference w:id="40"/>
      </w:r>
      <w:r>
        <w:rPr>
          <w:noProof/>
        </w:rPr>
        <w:t>). Immigrant children and those from poorer families are more likely to leave school early and have fewer chances of attaining higher education qualifications (</w:t>
      </w:r>
      <w:r>
        <w:rPr>
          <w:rStyle w:val="FootnoteReference"/>
          <w:rFonts w:ascii="Arial" w:hAnsi="Arial" w:cs="Arial"/>
          <w:noProof/>
          <w:sz w:val="20"/>
        </w:rPr>
        <w:footnoteReference w:id="41"/>
      </w:r>
      <w:r>
        <w:rPr>
          <w:noProof/>
        </w:rPr>
        <w:t>), leading to further disadvantages in their working lives. Therefore, special attention must be paid to the issue of educational integration for young people from immigrant families.</w:t>
      </w:r>
    </w:p>
    <w:p>
      <w:pPr>
        <w:pStyle w:val="Yo1Textpara"/>
        <w:rPr>
          <w:rFonts w:ascii="Arial Narrow" w:hAnsi="Arial Narrow" w:cs="Arial"/>
          <w:bCs/>
          <w:caps/>
          <w:noProof/>
          <w:color w:val="DA1E48"/>
          <w:spacing w:val="10"/>
          <w:sz w:val="28"/>
          <w:szCs w:val="28"/>
          <w:lang w:eastAsia="en-US"/>
        </w:rPr>
      </w:pPr>
      <w:r>
        <w:rPr>
          <w:rFonts w:ascii="Arial Narrow" w:hAnsi="Arial Narrow" w:cs="Arial"/>
          <w:bCs/>
          <w:caps/>
          <w:noProof/>
          <w:color w:val="DA1E48"/>
          <w:spacing w:val="10"/>
          <w:sz w:val="28"/>
          <w:szCs w:val="28"/>
          <w:lang w:eastAsia="en-US"/>
        </w:rPr>
        <w:br w:type="page"/>
        <w:t xml:space="preserve">Conclusion </w:t>
      </w:r>
    </w:p>
    <w:p>
      <w:pPr>
        <w:pStyle w:val="Yo1Textpara"/>
        <w:rPr>
          <w:rFonts w:eastAsia="Times New Roman"/>
          <w:noProof/>
          <w:szCs w:val="22"/>
        </w:rPr>
      </w:pPr>
      <w:r>
        <w:rPr>
          <w:noProof/>
        </w:rPr>
        <w:t xml:space="preserve">There have been many positive developments regarding the social inclusion of young people in the last three years. In the EU-28, the at-risk-of-poverty or social exclusion rates are decreasing, mostly due to significant decreases in material deprivation rates. At the European level, the material deprivation rate of young people is lower than it was in 2010, at the peak of the economic crisis. NEET rates (young people not in employment, education or training) are also falling, mostly due to declining youth unemployment rates. Regarding access to good quality housing, </w:t>
      </w:r>
      <w:r>
        <w:rPr>
          <w:noProof/>
          <w:szCs w:val="22"/>
        </w:rPr>
        <w:t xml:space="preserve">there has been little change across the EU-28, between 2010 and 2016 on average, but there have been important improvements in the quality of housing in many countries, most notably in the Baltic States. In addition, in most countries, fewer young people face </w:t>
      </w:r>
      <w:r>
        <w:rPr>
          <w:rFonts w:eastAsia="Times New Roman"/>
          <w:noProof/>
          <w:szCs w:val="22"/>
        </w:rPr>
        <w:t>barriers to accessing medical care.</w:t>
      </w:r>
    </w:p>
    <w:p>
      <w:pPr>
        <w:pStyle w:val="Yo1Textpara"/>
        <w:rPr>
          <w:noProof/>
          <w:szCs w:val="22"/>
        </w:rPr>
      </w:pPr>
      <w:r>
        <w:rPr>
          <w:rFonts w:eastAsia="Times New Roman"/>
          <w:noProof/>
          <w:szCs w:val="22"/>
        </w:rPr>
        <w:t xml:space="preserve">However, several indicators still point towards an increasing risk of poverty and social exclusion for some young people in Europe. At-risk-of-poverty rates for young people living independently are still increasing. The proportions of young people living in households with very low work intensity are also growing. Furthermore, while fewer young people live in inadequate housing than in the recent past, </w:t>
      </w:r>
      <w:r>
        <w:rPr>
          <w:noProof/>
          <w:szCs w:val="22"/>
        </w:rPr>
        <w:t>in several Member States they had to spend relatively more on housing in 2016 than they did in 2010. And while more young people found jobs in 2016 than in 2010, the proportion of young people working and still being at risk of poverty has been increasing Europe-wide, in line with the general trends for the whole working-age population.</w:t>
      </w:r>
    </w:p>
    <w:p>
      <w:pPr>
        <w:pStyle w:val="Yo1Textpara"/>
        <w:rPr>
          <w:rFonts w:eastAsia="Times New Roman"/>
          <w:noProof/>
          <w:szCs w:val="22"/>
        </w:rPr>
      </w:pPr>
      <w:r>
        <w:rPr>
          <w:noProof/>
          <w:szCs w:val="22"/>
        </w:rPr>
        <w:t>Moreover, certain groups of young people and those living in certain regions of Europe are more vulnerable than others. Young people born outside the country they live in, or who have parents not born in that country have significantly higher chances of being at risk of poverty or social exclusion than their native-born peers. Most poverty indicators also show higher proportions of women at risk</w:t>
      </w:r>
      <w:r>
        <w:rPr>
          <w:rFonts w:eastAsia="Times New Roman"/>
          <w:noProof/>
          <w:szCs w:val="22"/>
        </w:rPr>
        <w:t>.</w:t>
      </w:r>
    </w:p>
    <w:p>
      <w:pPr>
        <w:pStyle w:val="Yo1Textpara"/>
        <w:rPr>
          <w:noProof/>
        </w:rPr>
      </w:pPr>
      <w:r>
        <w:rPr>
          <w:rFonts w:eastAsia="Times New Roman"/>
          <w:noProof/>
          <w:szCs w:val="22"/>
        </w:rPr>
        <w:t>In the countries most affected by the economic crisis, most notably in Greece and to a lesser extent in Spain, young people's risks of poverty or social exclusion have been increasing considerably and these trends have not yet been reversed. At-risk-of-poverty or social exclusion rates and material deprivation rates increased the most and are still increasing in Greece, together with deteriorating housing conditions and exponential growth in the proportions of young people who cannot access appropriate health care. This is certainly a source of growing inequalities between European young people.</w:t>
      </w:r>
      <w:bookmarkEnd w:id="3"/>
    </w:p>
    <w:sectPr>
      <w:headerReference w:type="even" r:id="rId112"/>
      <w:headerReference w:type="default" r:id="rId113"/>
      <w:footerReference w:type="even" r:id="rId114"/>
      <w:footerReference w:type="default" r:id="rId115"/>
      <w:headerReference w:type="first" r:id="rId116"/>
      <w:footerReference w:type="first" r:id="rId117"/>
      <w:pgSz w:w="11906" w:h="16838" w:code="9"/>
      <w:pgMar w:top="1985" w:right="992" w:bottom="851" w:left="992" w:header="709" w:footer="397" w:gutter="0"/>
      <w:pgNumType w:start="9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yriad Pro SemiExt">
    <w:altName w:val="Arial"/>
    <w:panose1 w:val="00000000000000000000"/>
    <w:charset w:val="00"/>
    <w:family w:val="swiss"/>
    <w:notTrueType/>
    <w:pitch w:val="variable"/>
    <w:sig w:usb0="00000001" w:usb1="00000000" w:usb2="00000000" w:usb3="00000000" w:csb0="0000009F" w:csb1="00000000"/>
  </w:font>
  <w:font w:name="Myriad Pro Light">
    <w:altName w:val="Arial"/>
    <w:panose1 w:val="00000000000000000000"/>
    <w:charset w:val="00"/>
    <w:family w:val="swiss"/>
    <w:notTrueType/>
    <w:pitch w:val="variable"/>
    <w:sig w:usb0="00000001"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yriadPro-Bold">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20</w:t>
    </w:r>
    <w:r>
      <w:rPr>
        <w:noProof/>
      </w:rPr>
      <w:fldChar w:fldCharType="end"/>
    </w:r>
  </w:p>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96</w:t>
    </w:r>
    <w:r>
      <w:rPr>
        <w:noProof/>
      </w:rPr>
      <w:fldChar w:fldCharType="end"/>
    </w:r>
  </w:p>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tabs>
          <w:tab w:val="left" w:pos="426"/>
        </w:tabs>
        <w:rPr>
          <w:sz w:val="18"/>
          <w:szCs w:val="18"/>
          <w:lang w:val="fr-FR"/>
        </w:rPr>
      </w:pPr>
      <w:r>
        <w:rPr>
          <w:sz w:val="18"/>
          <w:szCs w:val="18"/>
          <w:lang w:val="fr-FR"/>
        </w:rPr>
        <w:t>(</w:t>
      </w:r>
      <w:r>
        <w:rPr>
          <w:rStyle w:val="FootnoteReference"/>
          <w:sz w:val="18"/>
          <w:szCs w:val="18"/>
          <w:lang w:val="en-GB"/>
        </w:rPr>
        <w:footnoteRef/>
      </w:r>
      <w:r>
        <w:rPr>
          <w:sz w:val="18"/>
          <w:szCs w:val="18"/>
          <w:lang w:val="fr-FR"/>
        </w:rPr>
        <w:t xml:space="preserve">) </w:t>
      </w:r>
      <w:r>
        <w:rPr>
          <w:sz w:val="18"/>
          <w:szCs w:val="18"/>
          <w:lang w:val="fr-FR"/>
        </w:rPr>
        <w:tab/>
        <w:t>Aassve et al. 2007, p. 331.</w:t>
      </w:r>
    </w:p>
  </w:footnote>
  <w:footnote w:id="2">
    <w:p>
      <w:pPr>
        <w:pStyle w:val="FootnoteText"/>
        <w:tabs>
          <w:tab w:val="left" w:pos="426"/>
        </w:tabs>
        <w:rPr>
          <w:sz w:val="18"/>
          <w:szCs w:val="18"/>
          <w:lang w:val="en-GB"/>
        </w:rPr>
      </w:pPr>
      <w:r>
        <w:rPr>
          <w:sz w:val="18"/>
          <w:szCs w:val="18"/>
          <w:lang w:val="fr-FR"/>
        </w:rPr>
        <w:t>(</w:t>
      </w:r>
      <w:r>
        <w:rPr>
          <w:rStyle w:val="FootnoteReference"/>
          <w:sz w:val="18"/>
          <w:szCs w:val="18"/>
          <w:lang w:val="en-GB"/>
        </w:rPr>
        <w:footnoteRef/>
      </w:r>
      <w:r>
        <w:rPr>
          <w:sz w:val="18"/>
          <w:szCs w:val="18"/>
          <w:lang w:val="fr-FR"/>
        </w:rPr>
        <w:t xml:space="preserve">) </w:t>
      </w:r>
      <w:r>
        <w:rPr>
          <w:sz w:val="18"/>
          <w:szCs w:val="18"/>
          <w:lang w:val="fr-FR"/>
        </w:rPr>
        <w:tab/>
        <w:t xml:space="preserve">EU-28 average, 2016. </w:t>
      </w:r>
      <w:r>
        <w:rPr>
          <w:sz w:val="18"/>
          <w:szCs w:val="18"/>
          <w:lang w:val="en-GB"/>
        </w:rPr>
        <w:t>Source: Eurostat [yth_demo_030]. Data extracted on 08.01.2018.</w:t>
      </w:r>
    </w:p>
  </w:footnote>
  <w:footnote w:id="3">
    <w:p>
      <w:pPr>
        <w:pStyle w:val="FootnoteText"/>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Source: Eurostat [yth_demo_030]. Data extracted on 08.01.2018.</w:t>
      </w:r>
    </w:p>
  </w:footnote>
  <w:footnote w:id="4">
    <w:p>
      <w:pPr>
        <w:pStyle w:val="FootnoteText"/>
        <w:tabs>
          <w:tab w:val="left" w:pos="426"/>
        </w:tabs>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Ibid.</w:t>
      </w:r>
    </w:p>
  </w:footnote>
  <w:footnote w:id="5">
    <w:p>
      <w:pPr>
        <w:pStyle w:val="FootnoteText"/>
        <w:tabs>
          <w:tab w:val="left" w:pos="426"/>
        </w:tabs>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Aassve et al., 2007; Iacovou, 2001.</w:t>
      </w:r>
    </w:p>
  </w:footnote>
  <w:footnote w:id="6">
    <w:p>
      <w:pPr>
        <w:pStyle w:val="FootnoteText"/>
        <w:tabs>
          <w:tab w:val="left" w:pos="426"/>
        </w:tabs>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Iacovou, 2011.</w:t>
      </w:r>
    </w:p>
  </w:footnote>
  <w:footnote w:id="7">
    <w:p>
      <w:pPr>
        <w:pStyle w:val="FootnoteText"/>
        <w:tabs>
          <w:tab w:val="left" w:pos="426"/>
        </w:tabs>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Iacovou, 2011</w:t>
      </w:r>
    </w:p>
  </w:footnote>
  <w:footnote w:id="8">
    <w:p>
      <w:pPr>
        <w:pStyle w:val="FootnoteText"/>
        <w:tabs>
          <w:tab w:val="left" w:pos="426"/>
        </w:tabs>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Source: Eurostat [yth_demo_030]. Data extracted on 08.01.2018.</w:t>
      </w:r>
    </w:p>
  </w:footnote>
  <w:footnote w:id="9">
    <w:p>
      <w:pPr>
        <w:pStyle w:val="FootnoteText"/>
        <w:tabs>
          <w:tab w:val="left" w:pos="426"/>
        </w:tabs>
        <w:rPr>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Ibid.</w:t>
      </w:r>
    </w:p>
  </w:footnote>
  <w:footnote w:id="10">
    <w:p>
      <w:pPr>
        <w:pStyle w:val="FootnoteText"/>
        <w:tabs>
          <w:tab w:val="left" w:pos="426"/>
        </w:tabs>
        <w:rPr>
          <w:lang w:val="en-GB"/>
        </w:rPr>
      </w:pPr>
      <w:r>
        <w:rPr>
          <w:sz w:val="18"/>
          <w:lang w:val="en-GB"/>
        </w:rPr>
        <w:t>(</w:t>
      </w:r>
      <w:r>
        <w:rPr>
          <w:rStyle w:val="FootnoteReference"/>
          <w:sz w:val="18"/>
          <w:szCs w:val="18"/>
          <w:lang w:val="en-GB"/>
        </w:rPr>
        <w:footnoteRef/>
      </w:r>
      <w:r>
        <w:rPr>
          <w:sz w:val="18"/>
          <w:lang w:val="en-GB"/>
        </w:rPr>
        <w:t>)</w:t>
      </w:r>
      <w:r>
        <w:rPr>
          <w:lang w:val="en-GB"/>
        </w:rPr>
        <w:tab/>
      </w:r>
      <w:r>
        <w:rPr>
          <w:sz w:val="18"/>
          <w:szCs w:val="18"/>
          <w:lang w:val="en-GB"/>
        </w:rPr>
        <w:t>Source: Eurostat [yth_demo_030]. Data extracted on 08.01.2018.</w:t>
      </w:r>
    </w:p>
  </w:footnote>
  <w:footnote w:id="11">
    <w:p>
      <w:pPr>
        <w:pStyle w:val="FootnoteText"/>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Ibid.</w:t>
      </w:r>
      <w:r>
        <w:rPr>
          <w:sz w:val="18"/>
          <w:szCs w:val="18"/>
        </w:rPr>
        <w:t xml:space="preserve"> </w:t>
      </w:r>
    </w:p>
  </w:footnote>
  <w:footnote w:id="12">
    <w:p>
      <w:pPr>
        <w:pStyle w:val="FootnoteText"/>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Source: Eurostat,</w:t>
      </w:r>
      <w:r>
        <w:rPr>
          <w:sz w:val="18"/>
          <w:szCs w:val="18"/>
        </w:rPr>
        <w:t xml:space="preserve"> Statistics on income and living conditions (SILC) [ilc_peps01]. Data extracted on 09.01.2018.</w:t>
      </w:r>
    </w:p>
  </w:footnote>
  <w:footnote w:id="13">
    <w:p>
      <w:pPr>
        <w:pStyle w:val="FootnoteText"/>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Ibid.</w:t>
      </w:r>
      <w:r>
        <w:rPr>
          <w:sz w:val="18"/>
          <w:szCs w:val="18"/>
        </w:rPr>
        <w:t xml:space="preserve"> </w:t>
      </w:r>
    </w:p>
  </w:footnote>
  <w:footnote w:id="14">
    <w:p>
      <w:pPr>
        <w:pStyle w:val="FootnoteText"/>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Ibid.</w:t>
      </w:r>
    </w:p>
  </w:footnote>
  <w:footnote w:id="15">
    <w:p>
      <w:pPr>
        <w:pStyle w:val="FootnoteText"/>
        <w:tabs>
          <w:tab w:val="left" w:pos="426"/>
        </w:tabs>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The equivalised disposable income is the total income of a household, after tax and other deductions, that is available for spending or saving, divided by the number of household members converted into equalised adults; household members are equalised or made equivalent by weighting each according to their age, using the so-called modified OECD equivalence scale (Eurostat, 2018d).</w:t>
      </w:r>
    </w:p>
  </w:footnote>
  <w:footnote w:id="16">
    <w:p>
      <w:pPr>
        <w:pStyle w:val="FootnoteText"/>
        <w:tabs>
          <w:tab w:val="left" w:pos="426"/>
        </w:tabs>
        <w:rPr>
          <w:sz w:val="18"/>
          <w:szCs w:val="18"/>
          <w:lang w:val="fr-FR"/>
        </w:rPr>
      </w:pPr>
      <w:r>
        <w:rPr>
          <w:sz w:val="18"/>
          <w:szCs w:val="18"/>
          <w:lang w:val="fr-FR"/>
        </w:rPr>
        <w:t>(</w:t>
      </w:r>
      <w:r>
        <w:rPr>
          <w:rStyle w:val="FootnoteReference"/>
          <w:sz w:val="18"/>
          <w:szCs w:val="18"/>
          <w:lang w:val="en-GB"/>
        </w:rPr>
        <w:footnoteRef/>
      </w:r>
      <w:r>
        <w:rPr>
          <w:sz w:val="18"/>
          <w:szCs w:val="18"/>
          <w:lang w:val="fr-FR"/>
        </w:rPr>
        <w:t xml:space="preserve">) </w:t>
      </w:r>
      <w:r>
        <w:rPr>
          <w:sz w:val="18"/>
          <w:szCs w:val="18"/>
          <w:lang w:val="fr-FR"/>
        </w:rPr>
        <w:tab/>
        <w:t>Eurostat, 2018b.</w:t>
      </w:r>
    </w:p>
  </w:footnote>
  <w:footnote w:id="17">
    <w:p>
      <w:pPr>
        <w:pStyle w:val="FootnoteText"/>
        <w:tabs>
          <w:tab w:val="left" w:pos="426"/>
        </w:tabs>
        <w:spacing w:before="60"/>
        <w:rPr>
          <w:sz w:val="18"/>
          <w:szCs w:val="18"/>
          <w:lang w:val="en-GB"/>
        </w:rPr>
      </w:pPr>
      <w:r>
        <w:rPr>
          <w:sz w:val="18"/>
          <w:szCs w:val="18"/>
          <w:lang w:val="fr-FR"/>
        </w:rPr>
        <w:t>(</w:t>
      </w:r>
      <w:r>
        <w:rPr>
          <w:rStyle w:val="FootnoteReference"/>
          <w:sz w:val="18"/>
          <w:szCs w:val="18"/>
          <w:lang w:val="en-GB"/>
        </w:rPr>
        <w:footnoteRef/>
      </w:r>
      <w:r>
        <w:rPr>
          <w:sz w:val="18"/>
          <w:szCs w:val="18"/>
          <w:lang w:val="fr-FR"/>
        </w:rPr>
        <w:t xml:space="preserve">) </w:t>
      </w:r>
      <w:r>
        <w:rPr>
          <w:sz w:val="18"/>
          <w:szCs w:val="18"/>
          <w:lang w:val="fr-FR"/>
        </w:rPr>
        <w:tab/>
        <w:t xml:space="preserve">2016. Source: Eurostat SILC [yth_incl_060]. </w:t>
      </w:r>
      <w:r>
        <w:rPr>
          <w:sz w:val="18"/>
          <w:szCs w:val="18"/>
          <w:lang w:val="en-GB"/>
        </w:rPr>
        <w:t>Data extracted on 07.02.2018.</w:t>
      </w:r>
    </w:p>
  </w:footnote>
  <w:footnote w:id="18">
    <w:p>
      <w:pPr>
        <w:pStyle w:val="FootnoteText"/>
        <w:tabs>
          <w:tab w:val="left" w:pos="426"/>
        </w:tabs>
        <w:spacing w:before="60"/>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The severe material deprivation rate is defined as the percentage of the population that cannot afford at least four of the following nine pre-defined items: 1) to pay their rent, mortgage or utility bills, 2) to keep their home adequately warm, 3) to face unexpected expenses, 4) to eat meat or protein regularly, 5) to go on holiday, or to buy a: 6) TV, 7) refrigerator, 8) car, or 9) a telephone (Eurostat, 2018f).</w:t>
      </w:r>
    </w:p>
  </w:footnote>
  <w:footnote w:id="19">
    <w:p>
      <w:pPr>
        <w:pStyle w:val="FootnoteText"/>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Source: Eurostat,</w:t>
      </w:r>
      <w:r>
        <w:rPr>
          <w:sz w:val="18"/>
          <w:szCs w:val="18"/>
        </w:rPr>
        <w:t xml:space="preserve"> Statistics on income and living conditions (SILC) [</w:t>
      </w:r>
      <w:r>
        <w:rPr>
          <w:noProof/>
          <w:sz w:val="18"/>
          <w:szCs w:val="18"/>
          <w:lang w:val="en-GB" w:eastAsia="en-GB"/>
        </w:rPr>
        <w:t>ilc_mddd11</w:t>
      </w:r>
      <w:r>
        <w:rPr>
          <w:sz w:val="18"/>
          <w:szCs w:val="18"/>
        </w:rPr>
        <w:t>]. Data extracted on 09.01.2018.</w:t>
      </w:r>
    </w:p>
  </w:footnote>
  <w:footnote w:id="20">
    <w:p>
      <w:pPr>
        <w:pStyle w:val="FootnoteText"/>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Ibid.</w:t>
      </w:r>
    </w:p>
  </w:footnote>
  <w:footnote w:id="21">
    <w:p>
      <w:pPr>
        <w:pStyle w:val="FootnoteText"/>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Ibid.</w:t>
      </w:r>
    </w:p>
  </w:footnote>
  <w:footnote w:id="22">
    <w:p>
      <w:pPr>
        <w:pStyle w:val="FootnoteText"/>
        <w:tabs>
          <w:tab w:val="left" w:pos="426"/>
        </w:tabs>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 xml:space="preserve">The </w:t>
      </w:r>
      <w:r>
        <w:rPr>
          <w:bCs/>
          <w:sz w:val="18"/>
          <w:szCs w:val="18"/>
          <w:lang w:val="en-GB"/>
        </w:rPr>
        <w:t>work intensity</w:t>
      </w:r>
      <w:r>
        <w:rPr>
          <w:sz w:val="18"/>
          <w:szCs w:val="18"/>
          <w:lang w:val="en-GB"/>
        </w:rPr>
        <w:t xml:space="preserve"> of a household is the ratio of the total number of months that all working-age household members have worked during the income reference year and the total number of months the same household members theoretically could have worked in the same period (Eurostat, 2018h).</w:t>
      </w:r>
    </w:p>
  </w:footnote>
  <w:footnote w:id="23">
    <w:p>
      <w:pPr>
        <w:pStyle w:val="FootnoteText"/>
        <w:tabs>
          <w:tab w:val="left" w:pos="426"/>
        </w:tabs>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Eurostat, 2018g.</w:t>
      </w:r>
    </w:p>
  </w:footnote>
  <w:footnote w:id="24">
    <w:p>
      <w:pPr>
        <w:pStyle w:val="FootnoteText"/>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Source: Eurostat [educ_uoe_enrt02] and [educ_uoe_enrt07].</w:t>
      </w:r>
    </w:p>
  </w:footnote>
  <w:footnote w:id="25">
    <w:p>
      <w:pPr>
        <w:pStyle w:val="FootnoteText"/>
        <w:ind w:left="426" w:hanging="426"/>
        <w:rPr>
          <w:sz w:val="18"/>
          <w:szCs w:val="18"/>
        </w:rPr>
      </w:pPr>
      <w:r>
        <w:rPr>
          <w:sz w:val="18"/>
          <w:szCs w:val="18"/>
          <w:lang w:val="en-GB"/>
        </w:rPr>
        <w:t>(</w:t>
      </w:r>
      <w:r>
        <w:rPr>
          <w:rStyle w:val="FootnoteReference"/>
          <w:sz w:val="18"/>
          <w:szCs w:val="18"/>
        </w:rPr>
        <w:footnoteRef/>
      </w:r>
      <w:r>
        <w:rPr>
          <w:sz w:val="18"/>
          <w:szCs w:val="18"/>
          <w:lang w:val="en-GB"/>
        </w:rPr>
        <w:t>)</w:t>
      </w:r>
      <w:r>
        <w:rPr>
          <w:sz w:val="18"/>
          <w:szCs w:val="18"/>
          <w:lang w:val="en-GB"/>
        </w:rPr>
        <w:tab/>
        <w:t>Source: Statistics on income and living conditions (SILC) [ilc_lvhl11]. Data extracted on 09.01.2018.</w:t>
      </w:r>
      <w:r>
        <w:rPr>
          <w:sz w:val="18"/>
          <w:szCs w:val="18"/>
        </w:rPr>
        <w:t xml:space="preserve"> </w:t>
      </w:r>
    </w:p>
  </w:footnote>
  <w:footnote w:id="26">
    <w:p>
      <w:pPr>
        <w:pStyle w:val="FootnoteText"/>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European Parliament resolution of 19 January 2017 on a European Pillar of Social Rights (2016/2095(INI)).</w:t>
      </w:r>
      <w:r>
        <w:rPr>
          <w:sz w:val="18"/>
          <w:szCs w:val="18"/>
        </w:rPr>
        <w:t xml:space="preserve"> </w:t>
      </w:r>
    </w:p>
  </w:footnote>
  <w:footnote w:id="27">
    <w:p>
      <w:pPr>
        <w:pStyle w:val="FootnoteText"/>
        <w:tabs>
          <w:tab w:val="left" w:pos="426"/>
        </w:tabs>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w:t>
      </w:r>
      <w:r>
        <w:rPr>
          <w:sz w:val="18"/>
          <w:szCs w:val="18"/>
          <w:lang w:val="en-GB"/>
        </w:rPr>
        <w:tab/>
        <w:t>Eurostat, 2018i.</w:t>
      </w:r>
    </w:p>
  </w:footnote>
  <w:footnote w:id="28">
    <w:p>
      <w:pPr>
        <w:pStyle w:val="NormalWeb"/>
        <w:tabs>
          <w:tab w:val="left" w:pos="426"/>
        </w:tabs>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Eurostat, 2018g.</w:t>
      </w:r>
    </w:p>
  </w:footnote>
  <w:footnote w:id="29">
    <w:p>
      <w:pPr>
        <w:pStyle w:val="FootnoteText"/>
        <w:tabs>
          <w:tab w:val="left" w:pos="426"/>
        </w:tabs>
        <w:ind w:left="425" w:hanging="425"/>
        <w:rPr>
          <w:sz w:val="18"/>
          <w:szCs w:val="18"/>
          <w:lang w:val="en-GB"/>
        </w:rPr>
      </w:pPr>
      <w:r>
        <w:rPr>
          <w:sz w:val="18"/>
          <w:szCs w:val="18"/>
          <w:lang w:val="en-GB"/>
        </w:rPr>
        <w:t>(</w:t>
      </w:r>
      <w:r>
        <w:rPr>
          <w:rStyle w:val="FootnoteReference"/>
          <w:sz w:val="18"/>
          <w:szCs w:val="18"/>
          <w:lang w:val="en-GB"/>
        </w:rPr>
        <w:footnoteRef/>
      </w:r>
      <w:r>
        <w:rPr>
          <w:sz w:val="18"/>
          <w:szCs w:val="18"/>
          <w:lang w:val="en-GB"/>
        </w:rPr>
        <w:t>)</w:t>
      </w:r>
      <w:r>
        <w:rPr>
          <w:sz w:val="18"/>
          <w:szCs w:val="18"/>
          <w:lang w:val="en-GB"/>
        </w:rPr>
        <w:tab/>
        <w:t>Eurostat, 2018e.</w:t>
      </w:r>
    </w:p>
  </w:footnote>
  <w:footnote w:id="30">
    <w:p>
      <w:pPr>
        <w:pStyle w:val="FootnoteText"/>
        <w:tabs>
          <w:tab w:val="left" w:pos="426"/>
        </w:tabs>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Eurofound 2012, p. 23.</w:t>
      </w:r>
    </w:p>
  </w:footnote>
  <w:footnote w:id="31">
    <w:p>
      <w:pPr>
        <w:pStyle w:val="FootnoteText"/>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Ibid, pp. 24-25.</w:t>
      </w:r>
    </w:p>
  </w:footnote>
  <w:footnote w:id="32">
    <w:p>
      <w:pPr>
        <w:pStyle w:val="FootnoteText"/>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Ibid.</w:t>
      </w:r>
    </w:p>
  </w:footnote>
  <w:footnote w:id="33">
    <w:p>
      <w:pPr>
        <w:pStyle w:val="FootnoteText"/>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European Commission 2012c, p. 212.</w:t>
      </w:r>
    </w:p>
  </w:footnote>
  <w:footnote w:id="34">
    <w:p>
      <w:pPr>
        <w:pStyle w:val="FootnoteText"/>
        <w:ind w:left="426" w:hanging="426"/>
        <w:rPr>
          <w:sz w:val="18"/>
          <w:szCs w:val="18"/>
          <w:lang w:val="en-GB"/>
        </w:rPr>
      </w:pPr>
      <w:r>
        <w:rPr>
          <w:sz w:val="18"/>
          <w:szCs w:val="18"/>
          <w:lang w:val="en-GB"/>
        </w:rPr>
        <w:t>(</w:t>
      </w:r>
      <w:r>
        <w:rPr>
          <w:sz w:val="18"/>
          <w:szCs w:val="18"/>
          <w:vertAlign w:val="superscript"/>
          <w:lang w:val="en-GB"/>
        </w:rPr>
        <w:footnoteRef/>
      </w:r>
      <w:r>
        <w:rPr>
          <w:sz w:val="18"/>
          <w:szCs w:val="18"/>
          <w:lang w:val="en-GB"/>
        </w:rPr>
        <w:t>)</w:t>
      </w:r>
      <w:r>
        <w:rPr>
          <w:sz w:val="18"/>
          <w:szCs w:val="18"/>
          <w:lang w:val="en-GB"/>
        </w:rPr>
        <w:tab/>
        <w:t>Ibid.</w:t>
      </w:r>
    </w:p>
  </w:footnote>
  <w:footnote w:id="35">
    <w:p>
      <w:pPr>
        <w:pStyle w:val="FootnoteText"/>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Source: Eurostat LFS [yth_empl_150]. Data extracted on 16.06.2017.</w:t>
      </w:r>
    </w:p>
  </w:footnote>
  <w:footnote w:id="36">
    <w:p>
      <w:pPr>
        <w:pStyle w:val="FootnoteText"/>
        <w:tabs>
          <w:tab w:val="left" w:pos="426"/>
        </w:tabs>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Ibid.</w:t>
      </w:r>
    </w:p>
  </w:footnote>
  <w:footnote w:id="37">
    <w:p>
      <w:pPr>
        <w:pStyle w:val="FootnoteText"/>
        <w:tabs>
          <w:tab w:val="left" w:pos="426"/>
        </w:tabs>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Source: Eurostat LFS [edat_lfse_20]. Data extracted on 16.06.2017.</w:t>
      </w:r>
    </w:p>
  </w:footnote>
  <w:footnote w:id="38">
    <w:p>
      <w:pPr>
        <w:pStyle w:val="FootnoteText"/>
        <w:tabs>
          <w:tab w:val="left" w:pos="426"/>
        </w:tabs>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See e.g. Sime and Fox, 2014.</w:t>
      </w:r>
    </w:p>
  </w:footnote>
  <w:footnote w:id="39">
    <w:p>
      <w:pPr>
        <w:pStyle w:val="FootnoteText"/>
        <w:spacing w:before="0"/>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 xml:space="preserve">Source: </w:t>
      </w:r>
      <w:r>
        <w:rPr>
          <w:sz w:val="18"/>
          <w:szCs w:val="18"/>
        </w:rPr>
        <w:t>Eurostat, Statistics on income and living conditions (SILC) [ilc_li34]. Data extracted on 11.01.2018.</w:t>
      </w:r>
    </w:p>
  </w:footnote>
  <w:footnote w:id="40">
    <w:p>
      <w:pPr>
        <w:pStyle w:val="FootnoteText"/>
        <w:tabs>
          <w:tab w:val="left" w:pos="426"/>
        </w:tabs>
        <w:spacing w:before="0"/>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See e.g. Bellani and Bia, 2013.</w:t>
      </w:r>
    </w:p>
  </w:footnote>
  <w:footnote w:id="41">
    <w:p>
      <w:pPr>
        <w:pStyle w:val="FootnoteText"/>
        <w:tabs>
          <w:tab w:val="left" w:pos="426"/>
        </w:tabs>
        <w:spacing w:before="0"/>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European Commission/EACEA/Eurydice, 2015b.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865" w:type="pct"/>
      <w:tblInd w:w="-885" w:type="dxa"/>
      <w:tblLook w:val="04A0" w:firstRow="1" w:lastRow="0" w:firstColumn="1" w:lastColumn="0" w:noHBand="0" w:noVBand="1"/>
    </w:tblPr>
    <w:tblGrid>
      <w:gridCol w:w="1146"/>
      <w:gridCol w:w="1570"/>
      <w:gridCol w:w="6619"/>
      <w:gridCol w:w="1654"/>
      <w:gridCol w:w="903"/>
    </w:tblGrid>
    <w:tr>
      <w:tc>
        <w:tcPr>
          <w:tcW w:w="1134" w:type="dxa"/>
          <w:shd w:val="clear" w:color="auto" w:fill="ED556E"/>
        </w:tcPr>
        <w:p>
          <w:pPr>
            <w:pStyle w:val="Header"/>
            <w:spacing w:after="0" w:line="240" w:lineRule="auto"/>
            <w:jc w:val="center"/>
            <w:rPr>
              <w:b/>
              <w:color w:val="FFFFFF"/>
              <w:sz w:val="48"/>
            </w:rPr>
          </w:pPr>
          <w:r>
            <w:rPr>
              <w:b/>
              <w:color w:val="FFFFFF"/>
              <w:sz w:val="48"/>
            </w:rPr>
            <w:t>7</w:t>
          </w:r>
        </w:p>
      </w:tc>
      <w:tc>
        <w:tcPr>
          <w:tcW w:w="1554" w:type="dxa"/>
          <w:shd w:val="clear" w:color="auto" w:fill="D9D9D9"/>
        </w:tcPr>
        <w:p>
          <w:pPr>
            <w:pStyle w:val="Header"/>
          </w:pPr>
        </w:p>
      </w:tc>
      <w:tc>
        <w:tcPr>
          <w:tcW w:w="6552" w:type="dxa"/>
          <w:shd w:val="clear" w:color="auto" w:fill="auto"/>
          <w:vAlign w:val="bottom"/>
        </w:tcPr>
        <w:p>
          <w:pPr>
            <w:pStyle w:val="Yo4Headereven"/>
          </w:pPr>
          <w:r>
            <w:rPr>
              <w:rFonts w:ascii="Arial" w:hAnsi="Arial"/>
              <w:noProof/>
              <w:color w:val="FF0000"/>
              <w:sz w:val="20"/>
            </w:rPr>
            <w:t>Social Inclusion</w:t>
          </w:r>
        </w:p>
      </w:tc>
      <w:tc>
        <w:tcPr>
          <w:tcW w:w="1637" w:type="dxa"/>
          <w:shd w:val="clear" w:color="auto" w:fill="auto"/>
        </w:tcPr>
        <w:p>
          <w:pPr>
            <w:pStyle w:val="Header"/>
            <w:spacing w:after="0" w:line="240" w:lineRule="auto"/>
            <w:jc w:val="center"/>
            <w:rPr>
              <w:b/>
              <w:color w:val="FFFFFF"/>
              <w:sz w:val="48"/>
            </w:rPr>
          </w:pPr>
        </w:p>
      </w:tc>
      <w:tc>
        <w:tcPr>
          <w:tcW w:w="894" w:type="dxa"/>
          <w:shd w:val="clear" w:color="auto" w:fill="auto"/>
        </w:tcPr>
        <w:p>
          <w:pPr>
            <w:pStyle w:val="Header"/>
            <w:spacing w:after="0" w:line="240" w:lineRule="auto"/>
            <w:jc w:val="center"/>
            <w:rPr>
              <w:b/>
              <w:color w:val="FFFFFF"/>
              <w:sz w:val="48"/>
            </w:rPr>
          </w:pPr>
        </w:p>
      </w:tc>
    </w:tr>
  </w:tbl>
  <w:p>
    <w:pPr>
      <w:pStyle w:val="Yo5TextNote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436" w:type="pct"/>
      <w:tblLook w:val="04A0" w:firstRow="1" w:lastRow="0" w:firstColumn="1" w:lastColumn="0" w:noHBand="0" w:noVBand="1"/>
    </w:tblPr>
    <w:tblGrid>
      <w:gridCol w:w="805"/>
      <w:gridCol w:w="1463"/>
      <w:gridCol w:w="5890"/>
      <w:gridCol w:w="1656"/>
      <w:gridCol w:w="1208"/>
    </w:tblGrid>
    <w:tr>
      <w:tc>
        <w:tcPr>
          <w:tcW w:w="756" w:type="dxa"/>
          <w:shd w:val="clear" w:color="auto" w:fill="auto"/>
        </w:tcPr>
        <w:p>
          <w:pPr>
            <w:pStyle w:val="Header"/>
            <w:spacing w:after="0" w:line="240" w:lineRule="auto"/>
            <w:rPr>
              <w:b/>
              <w:color w:val="FFFFFF"/>
              <w:sz w:val="48"/>
            </w:rPr>
          </w:pPr>
        </w:p>
      </w:tc>
      <w:tc>
        <w:tcPr>
          <w:tcW w:w="1373" w:type="dxa"/>
          <w:shd w:val="clear" w:color="auto" w:fill="auto"/>
        </w:tcPr>
        <w:p>
          <w:pPr>
            <w:pStyle w:val="Header"/>
          </w:pPr>
        </w:p>
      </w:tc>
      <w:tc>
        <w:tcPr>
          <w:tcW w:w="5529" w:type="dxa"/>
          <w:shd w:val="clear" w:color="auto" w:fill="auto"/>
          <w:vAlign w:val="bottom"/>
        </w:tcPr>
        <w:p>
          <w:pPr>
            <w:pStyle w:val="Yo4Headerodd"/>
          </w:pPr>
          <w:r>
            <w:rPr>
              <w:rFonts w:ascii="Arial" w:hAnsi="Arial"/>
              <w:noProof/>
              <w:color w:val="FF0000"/>
              <w:sz w:val="20"/>
            </w:rPr>
            <w:t>Social Inclusion</w:t>
          </w:r>
        </w:p>
      </w:tc>
      <w:tc>
        <w:tcPr>
          <w:tcW w:w="1554" w:type="dxa"/>
          <w:shd w:val="clear" w:color="auto" w:fill="D9D9D9"/>
        </w:tcPr>
        <w:p>
          <w:pPr>
            <w:pStyle w:val="Header"/>
            <w:spacing w:after="0" w:line="240" w:lineRule="auto"/>
            <w:jc w:val="center"/>
            <w:rPr>
              <w:b/>
              <w:color w:val="FFFFFF"/>
              <w:sz w:val="48"/>
            </w:rPr>
          </w:pPr>
        </w:p>
      </w:tc>
      <w:tc>
        <w:tcPr>
          <w:tcW w:w="1134" w:type="dxa"/>
          <w:shd w:val="clear" w:color="auto" w:fill="ED556E"/>
        </w:tcPr>
        <w:p>
          <w:pPr>
            <w:pStyle w:val="Header"/>
            <w:spacing w:after="0" w:line="240" w:lineRule="auto"/>
            <w:rPr>
              <w:b/>
              <w:color w:val="FFFFFF"/>
              <w:sz w:val="48"/>
            </w:rPr>
          </w:pPr>
          <w:r>
            <w:rPr>
              <w:b/>
              <w:color w:val="FFFFFF"/>
              <w:sz w:val="48"/>
            </w:rPr>
            <w:t>7</w:t>
          </w:r>
        </w:p>
      </w:tc>
    </w:tr>
  </w:tbl>
  <w:p>
    <w:pPr>
      <w:pStyle w:val="Yo5TextNote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E74C8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96E68AA"/>
    <w:lvl w:ilvl="0">
      <w:start w:val="1"/>
      <w:numFmt w:val="decimal"/>
      <w:lvlText w:val="%1."/>
      <w:lvlJc w:val="left"/>
      <w:pPr>
        <w:tabs>
          <w:tab w:val="num" w:pos="1492"/>
        </w:tabs>
        <w:ind w:left="1492" w:hanging="360"/>
      </w:pPr>
    </w:lvl>
  </w:abstractNum>
  <w:abstractNum w:abstractNumId="2">
    <w:nsid w:val="FFFFFF7E"/>
    <w:multiLevelType w:val="singleLevel"/>
    <w:tmpl w:val="20023824"/>
    <w:lvl w:ilvl="0">
      <w:start w:val="1"/>
      <w:numFmt w:val="decimal"/>
      <w:pStyle w:val="ListBullet2"/>
      <w:lvlText w:val="%1."/>
      <w:lvlJc w:val="left"/>
      <w:pPr>
        <w:tabs>
          <w:tab w:val="num" w:pos="926"/>
        </w:tabs>
        <w:ind w:left="926" w:hanging="360"/>
      </w:pPr>
      <w:rPr>
        <w:rFonts w:cs="Times New Roman"/>
      </w:rPr>
    </w:lvl>
  </w:abstractNum>
  <w:abstractNum w:abstractNumId="3">
    <w:nsid w:val="FFFFFF7F"/>
    <w:multiLevelType w:val="singleLevel"/>
    <w:tmpl w:val="E71E1756"/>
    <w:lvl w:ilvl="0">
      <w:start w:val="1"/>
      <w:numFmt w:val="decimal"/>
      <w:pStyle w:val="ListBullet"/>
      <w:lvlText w:val="%1."/>
      <w:lvlJc w:val="left"/>
      <w:pPr>
        <w:tabs>
          <w:tab w:val="num" w:pos="643"/>
        </w:tabs>
        <w:ind w:left="643" w:hanging="360"/>
      </w:pPr>
      <w:rPr>
        <w:rFonts w:cs="Times New Roman"/>
      </w:rPr>
    </w:lvl>
  </w:abstractNum>
  <w:abstractNum w:abstractNumId="4">
    <w:nsid w:val="FFFFFF80"/>
    <w:multiLevelType w:val="singleLevel"/>
    <w:tmpl w:val="3E0837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13099C8"/>
    <w:lvl w:ilvl="0">
      <w:start w:val="1"/>
      <w:numFmt w:val="bullet"/>
      <w:pStyle w:val="ListNumber3"/>
      <w:lvlText w:val=""/>
      <w:lvlJc w:val="left"/>
      <w:pPr>
        <w:tabs>
          <w:tab w:val="num" w:pos="1209"/>
        </w:tabs>
        <w:ind w:left="1209" w:hanging="360"/>
      </w:pPr>
      <w:rPr>
        <w:rFonts w:ascii="Symbol" w:hAnsi="Symbol" w:hint="default"/>
      </w:rPr>
    </w:lvl>
  </w:abstractNum>
  <w:abstractNum w:abstractNumId="6">
    <w:nsid w:val="FFFFFF82"/>
    <w:multiLevelType w:val="singleLevel"/>
    <w:tmpl w:val="F7A2C098"/>
    <w:lvl w:ilvl="0">
      <w:start w:val="1"/>
      <w:numFmt w:val="bullet"/>
      <w:pStyle w:val="ListNumber2"/>
      <w:lvlText w:val=""/>
      <w:lvlJc w:val="left"/>
      <w:pPr>
        <w:tabs>
          <w:tab w:val="num" w:pos="926"/>
        </w:tabs>
        <w:ind w:left="926" w:hanging="360"/>
      </w:pPr>
      <w:rPr>
        <w:rFonts w:ascii="Symbol" w:hAnsi="Symbol" w:hint="default"/>
      </w:rPr>
    </w:lvl>
  </w:abstractNum>
  <w:abstractNum w:abstractNumId="7">
    <w:nsid w:val="FFFFFF83"/>
    <w:multiLevelType w:val="singleLevel"/>
    <w:tmpl w:val="9950308C"/>
    <w:lvl w:ilvl="0">
      <w:start w:val="1"/>
      <w:numFmt w:val="bullet"/>
      <w:pStyle w:val="ListBullet4"/>
      <w:lvlText w:val=""/>
      <w:lvlJc w:val="left"/>
      <w:pPr>
        <w:tabs>
          <w:tab w:val="num" w:pos="643"/>
        </w:tabs>
        <w:ind w:left="643" w:hanging="360"/>
      </w:pPr>
      <w:rPr>
        <w:rFonts w:ascii="Symbol" w:hAnsi="Symbol" w:hint="default"/>
      </w:rPr>
    </w:lvl>
  </w:abstractNum>
  <w:abstractNum w:abstractNumId="8">
    <w:nsid w:val="FFFFFF88"/>
    <w:multiLevelType w:val="singleLevel"/>
    <w:tmpl w:val="31DA0418"/>
    <w:lvl w:ilvl="0">
      <w:start w:val="1"/>
      <w:numFmt w:val="decimal"/>
      <w:pStyle w:val="ListNumber4"/>
      <w:lvlText w:val="%1."/>
      <w:lvlJc w:val="left"/>
      <w:pPr>
        <w:tabs>
          <w:tab w:val="num" w:pos="360"/>
        </w:tabs>
        <w:ind w:left="360" w:hanging="360"/>
      </w:pPr>
      <w:rPr>
        <w:rFonts w:cs="Times New Roman"/>
      </w:rPr>
    </w:lvl>
  </w:abstractNum>
  <w:abstractNum w:abstractNumId="9">
    <w:nsid w:val="FFFFFF89"/>
    <w:multiLevelType w:val="singleLevel"/>
    <w:tmpl w:val="549C364E"/>
    <w:lvl w:ilvl="0">
      <w:start w:val="1"/>
      <w:numFmt w:val="bullet"/>
      <w:pStyle w:val="ListBullet3"/>
      <w:lvlText w:val=""/>
      <w:lvlJc w:val="left"/>
      <w:pPr>
        <w:tabs>
          <w:tab w:val="num" w:pos="360"/>
        </w:tabs>
        <w:ind w:left="360" w:hanging="360"/>
      </w:pPr>
      <w:rPr>
        <w:rFonts w:ascii="Symbol" w:hAnsi="Symbol" w:hint="default"/>
      </w:rPr>
    </w:lvl>
  </w:abstractNum>
  <w:abstractNum w:abstractNumId="10">
    <w:nsid w:val="076A1B99"/>
    <w:multiLevelType w:val="hybridMultilevel"/>
    <w:tmpl w:val="7C401FD2"/>
    <w:lvl w:ilvl="0" w:tplc="0CBAACC0">
      <w:start w:val="1"/>
      <w:numFmt w:val="decimal"/>
      <w:pStyle w:val="Yo11TextNum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1314432"/>
    <w:multiLevelType w:val="multilevel"/>
    <w:tmpl w:val="56C06BBC"/>
    <w:lvl w:ilvl="0">
      <w:start w:val="1"/>
      <w:numFmt w:val="bullet"/>
      <w:pStyle w:val="Yo11Textbulletlvl1"/>
      <w:lvlText w:val=""/>
      <w:lvlJc w:val="left"/>
      <w:pPr>
        <w:ind w:left="360" w:hanging="360"/>
      </w:pPr>
      <w:rPr>
        <w:rFonts w:ascii="Symbol" w:hAnsi="Symbol" w:hint="default"/>
        <w:b w:val="0"/>
        <w:i w:val="0"/>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2F85CBE"/>
    <w:multiLevelType w:val="hybridMultilevel"/>
    <w:tmpl w:val="C5A25794"/>
    <w:lvl w:ilvl="0" w:tplc="2D2A33D8">
      <w:start w:val="1"/>
      <w:numFmt w:val="bullet"/>
      <w:pStyle w:val="tableauougraphique"/>
      <w:lvlText w:val=""/>
      <w:lvlJc w:val="left"/>
      <w:pPr>
        <w:ind w:left="720" w:hanging="360"/>
      </w:pPr>
      <w:rPr>
        <w:rFonts w:ascii="Wingdings 2" w:hAnsi="Wingdings 2" w:hint="default"/>
        <w:sz w:val="24"/>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E53124E"/>
    <w:multiLevelType w:val="singleLevel"/>
    <w:tmpl w:val="64B62D6E"/>
    <w:lvl w:ilvl="0">
      <w:start w:val="1"/>
      <w:numFmt w:val="bullet"/>
      <w:pStyle w:val="Heading8"/>
      <w:lvlText w:val=""/>
      <w:lvlJc w:val="left"/>
      <w:pPr>
        <w:tabs>
          <w:tab w:val="num" w:pos="360"/>
        </w:tabs>
        <w:ind w:left="360" w:hanging="360"/>
      </w:pPr>
      <w:rPr>
        <w:rFonts w:ascii="Symbol" w:hAnsi="Symbol" w:hint="default"/>
      </w:rPr>
    </w:lvl>
  </w:abstractNum>
  <w:abstractNum w:abstractNumId="14">
    <w:nsid w:val="1F3C6A90"/>
    <w:multiLevelType w:val="hybridMultilevel"/>
    <w:tmpl w:val="E0CC778C"/>
    <w:lvl w:ilvl="0" w:tplc="BFB88B92">
      <w:start w:val="1"/>
      <w:numFmt w:val="bullet"/>
      <w:pStyle w:val="textepar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5">
    <w:nsid w:val="24BA2E06"/>
    <w:multiLevelType w:val="hybridMultilevel"/>
    <w:tmpl w:val="CC345A64"/>
    <w:lvl w:ilvl="0" w:tplc="41F83986">
      <w:start w:val="1"/>
      <w:numFmt w:val="bullet"/>
      <w:pStyle w:val="Yo11Textbulletlvl2"/>
      <w:lvlText w:val="o"/>
      <w:lvlJc w:val="left"/>
      <w:pPr>
        <w:ind w:left="644" w:hanging="360"/>
      </w:pPr>
      <w:rPr>
        <w:rFonts w:ascii="Courier New" w:hAnsi="Courier New" w:cs="Courier New" w:hint="default"/>
      </w:rPr>
    </w:lvl>
    <w:lvl w:ilvl="1" w:tplc="04070003" w:tentative="1">
      <w:start w:val="1"/>
      <w:numFmt w:val="bullet"/>
      <w:lvlText w:val="o"/>
      <w:lvlJc w:val="left"/>
      <w:pPr>
        <w:ind w:left="2517" w:hanging="360"/>
      </w:pPr>
      <w:rPr>
        <w:rFonts w:ascii="Courier New" w:hAnsi="Courier New" w:cs="Courier New" w:hint="default"/>
      </w:rPr>
    </w:lvl>
    <w:lvl w:ilvl="2" w:tplc="04070005" w:tentative="1">
      <w:start w:val="1"/>
      <w:numFmt w:val="bullet"/>
      <w:lvlText w:val=""/>
      <w:lvlJc w:val="left"/>
      <w:pPr>
        <w:ind w:left="3237" w:hanging="360"/>
      </w:pPr>
      <w:rPr>
        <w:rFonts w:ascii="Wingdings" w:hAnsi="Wingdings" w:hint="default"/>
      </w:rPr>
    </w:lvl>
    <w:lvl w:ilvl="3" w:tplc="04070001" w:tentative="1">
      <w:start w:val="1"/>
      <w:numFmt w:val="bullet"/>
      <w:lvlText w:val=""/>
      <w:lvlJc w:val="left"/>
      <w:pPr>
        <w:ind w:left="3957" w:hanging="360"/>
      </w:pPr>
      <w:rPr>
        <w:rFonts w:ascii="Symbol" w:hAnsi="Symbol" w:hint="default"/>
      </w:rPr>
    </w:lvl>
    <w:lvl w:ilvl="4" w:tplc="04070003" w:tentative="1">
      <w:start w:val="1"/>
      <w:numFmt w:val="bullet"/>
      <w:lvlText w:val="o"/>
      <w:lvlJc w:val="left"/>
      <w:pPr>
        <w:ind w:left="4677" w:hanging="360"/>
      </w:pPr>
      <w:rPr>
        <w:rFonts w:ascii="Courier New" w:hAnsi="Courier New" w:cs="Courier New" w:hint="default"/>
      </w:rPr>
    </w:lvl>
    <w:lvl w:ilvl="5" w:tplc="04070005" w:tentative="1">
      <w:start w:val="1"/>
      <w:numFmt w:val="bullet"/>
      <w:lvlText w:val=""/>
      <w:lvlJc w:val="left"/>
      <w:pPr>
        <w:ind w:left="5397" w:hanging="360"/>
      </w:pPr>
      <w:rPr>
        <w:rFonts w:ascii="Wingdings" w:hAnsi="Wingdings" w:hint="default"/>
      </w:rPr>
    </w:lvl>
    <w:lvl w:ilvl="6" w:tplc="04070001" w:tentative="1">
      <w:start w:val="1"/>
      <w:numFmt w:val="bullet"/>
      <w:lvlText w:val=""/>
      <w:lvlJc w:val="left"/>
      <w:pPr>
        <w:ind w:left="6117" w:hanging="360"/>
      </w:pPr>
      <w:rPr>
        <w:rFonts w:ascii="Symbol" w:hAnsi="Symbol" w:hint="default"/>
      </w:rPr>
    </w:lvl>
    <w:lvl w:ilvl="7" w:tplc="04070003" w:tentative="1">
      <w:start w:val="1"/>
      <w:numFmt w:val="bullet"/>
      <w:lvlText w:val="o"/>
      <w:lvlJc w:val="left"/>
      <w:pPr>
        <w:ind w:left="6837" w:hanging="360"/>
      </w:pPr>
      <w:rPr>
        <w:rFonts w:ascii="Courier New" w:hAnsi="Courier New" w:cs="Courier New" w:hint="default"/>
      </w:rPr>
    </w:lvl>
    <w:lvl w:ilvl="8" w:tplc="04070005" w:tentative="1">
      <w:start w:val="1"/>
      <w:numFmt w:val="bullet"/>
      <w:lvlText w:val=""/>
      <w:lvlJc w:val="left"/>
      <w:pPr>
        <w:ind w:left="7557" w:hanging="360"/>
      </w:pPr>
      <w:rPr>
        <w:rFonts w:ascii="Wingdings" w:hAnsi="Wingdings" w:hint="default"/>
      </w:rPr>
    </w:lvl>
  </w:abstractNum>
  <w:abstractNum w:abstractNumId="16">
    <w:nsid w:val="27715C8C"/>
    <w:multiLevelType w:val="multilevel"/>
    <w:tmpl w:val="616CE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F76E7A"/>
    <w:multiLevelType w:val="singleLevel"/>
    <w:tmpl w:val="C74C5A32"/>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8">
    <w:nsid w:val="2D4D1DDC"/>
    <w:multiLevelType w:val="hybridMultilevel"/>
    <w:tmpl w:val="3D16D5C8"/>
    <w:lvl w:ilvl="0" w:tplc="8EEA2246">
      <w:numFmt w:val="bullet"/>
      <w:lvlText w:val="-"/>
      <w:lvlJc w:val="left"/>
      <w:pPr>
        <w:ind w:left="644" w:hanging="360"/>
      </w:pPr>
      <w:rPr>
        <w:rFonts w:ascii="Calibri" w:eastAsia="Calibr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nsid w:val="35CF0134"/>
    <w:multiLevelType w:val="hybridMultilevel"/>
    <w:tmpl w:val="C4B4C7D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nsid w:val="3A5459E8"/>
    <w:multiLevelType w:val="singleLevel"/>
    <w:tmpl w:val="2188C922"/>
    <w:name w:val="Tiret 1"/>
    <w:lvl w:ilvl="0">
      <w:start w:val="1"/>
      <w:numFmt w:val="bullet"/>
      <w:lvlRestart w:val="0"/>
      <w:pStyle w:val="Tiret1"/>
      <w:lvlText w:val="–"/>
      <w:lvlJc w:val="left"/>
      <w:pPr>
        <w:tabs>
          <w:tab w:val="num" w:pos="1417"/>
        </w:tabs>
        <w:ind w:left="1417" w:hanging="567"/>
      </w:pPr>
    </w:lvl>
  </w:abstractNum>
  <w:abstractNum w:abstractNumId="21">
    <w:nsid w:val="3BA736C9"/>
    <w:multiLevelType w:val="singleLevel"/>
    <w:tmpl w:val="F00A6C0C"/>
    <w:name w:val="Tiret 0"/>
    <w:lvl w:ilvl="0">
      <w:start w:val="1"/>
      <w:numFmt w:val="bullet"/>
      <w:lvlRestart w:val="0"/>
      <w:pStyle w:val="Tiret0"/>
      <w:lvlText w:val="–"/>
      <w:lvlJc w:val="left"/>
      <w:pPr>
        <w:tabs>
          <w:tab w:val="num" w:pos="850"/>
        </w:tabs>
        <w:ind w:left="850" w:hanging="850"/>
      </w:pPr>
    </w:lvl>
  </w:abstractNum>
  <w:abstractNum w:abstractNumId="22">
    <w:nsid w:val="3C90278F"/>
    <w:multiLevelType w:val="singleLevel"/>
    <w:tmpl w:val="0FE08974"/>
    <w:name w:val="Tiret 3"/>
    <w:lvl w:ilvl="0">
      <w:start w:val="1"/>
      <w:numFmt w:val="bullet"/>
      <w:lvlRestart w:val="0"/>
      <w:pStyle w:val="Tiret3"/>
      <w:lvlText w:val="–"/>
      <w:lvlJc w:val="left"/>
      <w:pPr>
        <w:tabs>
          <w:tab w:val="num" w:pos="2551"/>
        </w:tabs>
        <w:ind w:left="2551" w:hanging="567"/>
      </w:pPr>
    </w:lvl>
  </w:abstractNum>
  <w:abstractNum w:abstractNumId="23">
    <w:nsid w:val="40FF3500"/>
    <w:multiLevelType w:val="singleLevel"/>
    <w:tmpl w:val="84DA1EE8"/>
    <w:lvl w:ilvl="0">
      <w:start w:val="1"/>
      <w:numFmt w:val="bullet"/>
      <w:lvlRestart w:val="0"/>
      <w:lvlText w:val=""/>
      <w:lvlJc w:val="left"/>
      <w:pPr>
        <w:tabs>
          <w:tab w:val="num" w:pos="1417"/>
        </w:tabs>
        <w:ind w:left="1417" w:hanging="567"/>
      </w:pPr>
      <w:rPr>
        <w:rFonts w:ascii="Symbol" w:hAnsi="Symbol" w:hint="default"/>
      </w:rPr>
    </w:lvl>
  </w:abstractNum>
  <w:abstractNum w:abstractNumId="24">
    <w:nsid w:val="428415E7"/>
    <w:multiLevelType w:val="multilevel"/>
    <w:tmpl w:val="92100ADA"/>
    <w:lvl w:ilvl="0">
      <w:start w:val="1"/>
      <w:numFmt w:val="decimal"/>
      <w:pStyle w:val="ListNumber"/>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431E27AA"/>
    <w:multiLevelType w:val="hybridMultilevel"/>
    <w:tmpl w:val="A9EEA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8842C30"/>
    <w:multiLevelType w:val="singleLevel"/>
    <w:tmpl w:val="4FA60B9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7">
    <w:nsid w:val="49D47C56"/>
    <w:multiLevelType w:val="multilevel"/>
    <w:tmpl w:val="47CEF9CE"/>
    <w:name w:val="0.3838269"/>
    <w:lvl w:ilvl="0">
      <w:start w:val="3"/>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54593082"/>
    <w:multiLevelType w:val="singleLevel"/>
    <w:tmpl w:val="EDE069AC"/>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9">
    <w:nsid w:val="54E058C9"/>
    <w:multiLevelType w:val="hybridMultilevel"/>
    <w:tmpl w:val="BCFC9894"/>
    <w:lvl w:ilvl="0" w:tplc="EBA0E5C8">
      <w:start w:val="1"/>
      <w:numFmt w:val="decimal"/>
      <w:pStyle w:val="Yo11TextNum2"/>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30">
    <w:nsid w:val="568864DC"/>
    <w:multiLevelType w:val="singleLevel"/>
    <w:tmpl w:val="485EBDAC"/>
    <w:name w:val="Tiret 4"/>
    <w:lvl w:ilvl="0">
      <w:start w:val="1"/>
      <w:numFmt w:val="bullet"/>
      <w:lvlRestart w:val="0"/>
      <w:pStyle w:val="Tiret4"/>
      <w:lvlText w:val="–"/>
      <w:lvlJc w:val="left"/>
      <w:pPr>
        <w:tabs>
          <w:tab w:val="num" w:pos="3118"/>
        </w:tabs>
        <w:ind w:left="3118" w:hanging="567"/>
      </w:pPr>
    </w:lvl>
  </w:abstractNum>
  <w:abstractNum w:abstractNumId="31">
    <w:nsid w:val="59C8178D"/>
    <w:multiLevelType w:val="hybridMultilevel"/>
    <w:tmpl w:val="8A9E711C"/>
    <w:lvl w:ilvl="0" w:tplc="9A820658">
      <w:start w:val="1"/>
      <w:numFmt w:val="bullet"/>
      <w:pStyle w:val="Yo11Textbulletlvl3"/>
      <w:lvlText w:val=""/>
      <w:lvlJc w:val="left"/>
      <w:pPr>
        <w:ind w:left="984"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32">
    <w:nsid w:val="5F342530"/>
    <w:multiLevelType w:val="singleLevel"/>
    <w:tmpl w:val="D5444702"/>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3">
    <w:nsid w:val="5F9C40AA"/>
    <w:multiLevelType w:val="singleLevel"/>
    <w:tmpl w:val="B89CB5A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4">
    <w:nsid w:val="62970F71"/>
    <w:multiLevelType w:val="singleLevel"/>
    <w:tmpl w:val="5AFA8C72"/>
    <w:name w:val="Tiret 2"/>
    <w:lvl w:ilvl="0">
      <w:start w:val="1"/>
      <w:numFmt w:val="bullet"/>
      <w:lvlRestart w:val="0"/>
      <w:pStyle w:val="Tiret2"/>
      <w:lvlText w:val="–"/>
      <w:lvlJc w:val="left"/>
      <w:pPr>
        <w:tabs>
          <w:tab w:val="num" w:pos="1984"/>
        </w:tabs>
        <w:ind w:left="1984" w:hanging="567"/>
      </w:pPr>
    </w:lvl>
  </w:abstractNum>
  <w:abstractNum w:abstractNumId="35">
    <w:nsid w:val="69995580"/>
    <w:multiLevelType w:val="singleLevel"/>
    <w:tmpl w:val="75CC7CBA"/>
    <w:name w:val="Considérant"/>
    <w:lvl w:ilvl="0">
      <w:start w:val="1"/>
      <w:numFmt w:val="decimal"/>
      <w:lvlRestart w:val="0"/>
      <w:pStyle w:val="Considrant"/>
      <w:lvlText w:val="(%1)"/>
      <w:lvlJc w:val="left"/>
      <w:pPr>
        <w:tabs>
          <w:tab w:val="num" w:pos="709"/>
        </w:tabs>
        <w:ind w:left="709" w:hanging="709"/>
      </w:pPr>
    </w:lvl>
  </w:abstractNum>
  <w:abstractNum w:abstractNumId="36">
    <w:nsid w:val="6A26038D"/>
    <w:multiLevelType w:val="hybridMultilevel"/>
    <w:tmpl w:val="82EAABAA"/>
    <w:lvl w:ilvl="0" w:tplc="5524C02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11167E2"/>
    <w:multiLevelType w:val="multilevel"/>
    <w:tmpl w:val="C3843A7A"/>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769D4072"/>
    <w:multiLevelType w:val="hybridMultilevel"/>
    <w:tmpl w:val="0ACA6C82"/>
    <w:lvl w:ilvl="0" w:tplc="4E80D628">
      <w:start w:val="1"/>
      <w:numFmt w:val="decimal"/>
      <w:pStyle w:val="Yo11TextNum3"/>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7BE95D7F"/>
    <w:multiLevelType w:val="multilevel"/>
    <w:tmpl w:val="F126F780"/>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11"/>
  </w:num>
  <w:num w:numId="2">
    <w:abstractNumId w:val="15"/>
  </w:num>
  <w:num w:numId="3">
    <w:abstractNumId w:val="31"/>
  </w:num>
  <w:num w:numId="4">
    <w:abstractNumId w:val="10"/>
  </w:num>
  <w:num w:numId="5">
    <w:abstractNumId w:val="29"/>
  </w:num>
  <w:num w:numId="6">
    <w:abstractNumId w:val="38"/>
  </w:num>
  <w:num w:numId="7">
    <w:abstractNumId w:val="27"/>
  </w:num>
  <w:num w:numId="8">
    <w:abstractNumId w:val="9"/>
  </w:num>
  <w:num w:numId="9">
    <w:abstractNumId w:val="7"/>
  </w:num>
  <w:num w:numId="10">
    <w:abstractNumId w:val="6"/>
  </w:num>
  <w:num w:numId="11">
    <w:abstractNumId w:val="5"/>
  </w:num>
  <w:num w:numId="12">
    <w:abstractNumId w:val="8"/>
  </w:num>
  <w:num w:numId="13">
    <w:abstractNumId w:val="3"/>
  </w:num>
  <w:num w:numId="14">
    <w:abstractNumId w:val="2"/>
  </w:num>
  <w:num w:numId="15">
    <w:abstractNumId w:val="24"/>
  </w:num>
  <w:num w:numId="16">
    <w:abstractNumId w:val="13"/>
  </w:num>
  <w:num w:numId="17">
    <w:abstractNumId w:val="14"/>
  </w:num>
  <w:num w:numId="18">
    <w:abstractNumId w:val="12"/>
  </w:num>
  <w:num w:numId="19">
    <w:abstractNumId w:val="21"/>
  </w:num>
  <w:num w:numId="20">
    <w:abstractNumId w:val="20"/>
  </w:num>
  <w:num w:numId="21">
    <w:abstractNumId w:val="34"/>
  </w:num>
  <w:num w:numId="22">
    <w:abstractNumId w:val="22"/>
  </w:num>
  <w:num w:numId="23">
    <w:abstractNumId w:val="30"/>
  </w:num>
  <w:num w:numId="24">
    <w:abstractNumId w:val="37"/>
  </w:num>
  <w:num w:numId="25">
    <w:abstractNumId w:val="39"/>
  </w:num>
  <w:num w:numId="26">
    <w:abstractNumId w:val="28"/>
  </w:num>
  <w:num w:numId="27">
    <w:abstractNumId w:val="17"/>
  </w:num>
  <w:num w:numId="28">
    <w:abstractNumId w:val="33"/>
  </w:num>
  <w:num w:numId="29">
    <w:abstractNumId w:val="32"/>
  </w:num>
  <w:num w:numId="30">
    <w:abstractNumId w:val="26"/>
  </w:num>
  <w:num w:numId="31">
    <w:abstractNumId w:val="35"/>
  </w:num>
  <w:num w:numId="32">
    <w:abstractNumId w:val="4"/>
  </w:num>
  <w:num w:numId="33">
    <w:abstractNumId w:val="1"/>
  </w:num>
  <w:num w:numId="34">
    <w:abstractNumId w:val="23"/>
  </w:num>
  <w:num w:numId="35">
    <w:abstractNumId w:val="0"/>
  </w:num>
  <w:num w:numId="36">
    <w:abstractNumId w:val="19"/>
  </w:num>
  <w:num w:numId="37">
    <w:abstractNumId w:val="18"/>
  </w:num>
  <w:num w:numId="38">
    <w:abstractNumId w:val="25"/>
  </w:num>
  <w:num w:numId="39">
    <w:abstractNumId w:val="36"/>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27C016D1-0E29-4C9C-BCC0-F249A30E6066"/>
    <w:docVar w:name="LW_COVERPAGE_TYPE" w:val="1"/>
    <w:docVar w:name="LW_CROSSREFERENCE" w:val="{COM(2018) 269 final}_x000b_{SWD(2018) 168 final}"/>
    <w:docVar w:name="LW_DocType" w:val="NORMAL"/>
    <w:docVar w:name="LW_EMISSION" w:val="22.5.2018"/>
    <w:docVar w:name="LW_EMISSION_ISODATE" w:val="2018-05-22"/>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Engaging, Connecting and Empowering young people: a new EU Youth Strategy"/>
    <w:docVar w:name="LW_PART_NBR" w:val="6"/>
    <w:docVar w:name="LW_PART_NBR_TOTAL" w:val="7"/>
    <w:docVar w:name="LW_REF.INST.NEW" w:val="SWD"/>
    <w:docVar w:name="LW_REF.INST.NEW_ADOPTED" w:val="final"/>
    <w:docVar w:name="LW_REF.INST.NEW_TEXT" w:val="(2018) 16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Situation of young people in the European Union"/>
    <w:docVar w:name="LW_TYPE.DOC.CP" w:val="COMMISSION STAFF WORKING DOCUMENT"/>
    <w:docVar w:name="LW_TYPEACTEPRINCIPAL.CP" w:val="COMMUNICATION FROM THE COMMISSION TO THE EUROPEAN PARLIAMENT, THE EUROPEAN COUNCIL, THE COUNCIL, THE EUROPEAN ECONOMIC AND SOCIAL COMMITTEE AND THE COMMITTEE OF THE REGIONS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pPr>
      <w:keepNext/>
      <w:tabs>
        <w:tab w:val="num" w:pos="850"/>
      </w:tabs>
      <w:spacing w:before="120" w:after="120" w:line="240" w:lineRule="auto"/>
      <w:ind w:left="850" w:hanging="850"/>
      <w:jc w:val="both"/>
      <w:outlineLvl w:val="3"/>
    </w:pPr>
    <w:rPr>
      <w:rFonts w:ascii="Times New Roman" w:eastAsia="Times New Roman" w:hAnsi="Times New Roman"/>
      <w:bCs/>
      <w:sz w:val="24"/>
      <w:szCs w:val="28"/>
      <w:lang w:eastAsia="x-none"/>
    </w:rPr>
  </w:style>
  <w:style w:type="paragraph" w:styleId="Heading5">
    <w:name w:val="heading 5"/>
    <w:basedOn w:val="Normal"/>
    <w:next w:val="Normal"/>
    <w:link w:val="Heading5Char"/>
    <w:qFormat/>
    <w:pPr>
      <w:keepNext/>
      <w:spacing w:before="160" w:after="60" w:line="240" w:lineRule="auto"/>
      <w:jc w:val="both"/>
      <w:outlineLvl w:val="4"/>
    </w:pPr>
    <w:rPr>
      <w:rFonts w:ascii="Arial Narrow" w:hAnsi="Arial Narrow"/>
      <w:bCs/>
      <w:spacing w:val="8"/>
      <w:sz w:val="20"/>
      <w:szCs w:val="20"/>
      <w:u w:val="single"/>
      <w:lang w:val="en-IE" w:eastAsia="x-none"/>
    </w:rPr>
  </w:style>
  <w:style w:type="paragraph" w:styleId="Heading6">
    <w:name w:val="heading 6"/>
    <w:basedOn w:val="Normal"/>
    <w:next w:val="Normal"/>
    <w:link w:val="Heading6Char"/>
    <w:qFormat/>
    <w:pPr>
      <w:keepNext/>
      <w:spacing w:before="40" w:after="0" w:line="240" w:lineRule="auto"/>
      <w:ind w:left="57"/>
      <w:jc w:val="both"/>
      <w:outlineLvl w:val="5"/>
    </w:pPr>
    <w:rPr>
      <w:rFonts w:ascii="Myriad Pro SemiExt" w:hAnsi="Myriad Pro SemiExt"/>
      <w:b/>
      <w:bCs/>
      <w:sz w:val="16"/>
      <w:szCs w:val="20"/>
      <w:lang w:val="fr-FR" w:eastAsia="x-none"/>
    </w:rPr>
  </w:style>
  <w:style w:type="paragraph" w:styleId="Heading7">
    <w:name w:val="heading 7"/>
    <w:basedOn w:val="Normal"/>
    <w:next w:val="Normal"/>
    <w:link w:val="Heading7Char"/>
    <w:qFormat/>
    <w:pPr>
      <w:keepNext/>
      <w:spacing w:before="40" w:after="0" w:line="240" w:lineRule="auto"/>
      <w:ind w:left="57"/>
      <w:jc w:val="both"/>
      <w:outlineLvl w:val="6"/>
    </w:pPr>
    <w:rPr>
      <w:rFonts w:ascii="Myriad Pro Light" w:hAnsi="Myriad Pro Light"/>
      <w:b/>
      <w:bCs/>
      <w:sz w:val="16"/>
      <w:szCs w:val="20"/>
      <w:lang w:val="x-none" w:eastAsia="x-none"/>
    </w:rPr>
  </w:style>
  <w:style w:type="paragraph" w:styleId="Heading8">
    <w:name w:val="heading 8"/>
    <w:basedOn w:val="Normal"/>
    <w:next w:val="Normal"/>
    <w:link w:val="Heading8Char"/>
    <w:qFormat/>
    <w:pPr>
      <w:numPr>
        <w:numId w:val="16"/>
      </w:numPr>
      <w:spacing w:before="100" w:after="110" w:line="240" w:lineRule="auto"/>
      <w:jc w:val="both"/>
      <w:outlineLvl w:val="7"/>
    </w:pPr>
    <w:rPr>
      <w:rFonts w:ascii="Helvetica" w:hAnsi="Helvetica"/>
      <w:i/>
      <w:sz w:val="21"/>
      <w:szCs w:val="20"/>
      <w:lang w:val="fr-FR" w:eastAsia="x-none"/>
    </w:rPr>
  </w:style>
  <w:style w:type="paragraph" w:styleId="Heading9">
    <w:name w:val="heading 9"/>
    <w:basedOn w:val="Normal"/>
    <w:next w:val="Normal"/>
    <w:link w:val="Heading9Char"/>
    <w:qFormat/>
    <w:pPr>
      <w:spacing w:before="240" w:after="60" w:line="240" w:lineRule="auto"/>
      <w:jc w:val="both"/>
      <w:outlineLvl w:val="8"/>
    </w:pPr>
    <w:rPr>
      <w:rFonts w:ascii="Myriad Pro Light" w:hAnsi="Myriad Pro Light"/>
      <w:b/>
      <w:bCs/>
      <w:i/>
      <w:iCs/>
      <w:sz w:val="26"/>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36"/>
        <w:tab w:val="right" w:pos="9072"/>
      </w:tabs>
    </w:pPr>
    <w:rPr>
      <w:sz w:val="20"/>
      <w:szCs w:val="20"/>
      <w:lang w:val="x-none" w:eastAsia="x-none"/>
    </w:rPr>
  </w:style>
  <w:style w:type="character" w:customStyle="1" w:styleId="FooterChar">
    <w:name w:val="Footer Char"/>
    <w:link w:val="Footer"/>
    <w:uiPriority w:val="99"/>
    <w:rPr>
      <w:rFonts w:ascii="Calibri" w:eastAsia="Calibri" w:hAnsi="Calibri" w:cs="Times New Roman"/>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lang w:val="x-none" w:eastAsia="x-none"/>
    </w:rPr>
  </w:style>
  <w:style w:type="character" w:customStyle="1" w:styleId="CommentTextChar">
    <w:name w:val="Comment Text Char"/>
    <w:link w:val="CommentText"/>
    <w:uiPriority w:val="99"/>
    <w:rPr>
      <w:rFonts w:ascii="Calibri" w:eastAsia="Calibri" w:hAnsi="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pPr>
      <w:spacing w:line="240" w:lineRule="auto"/>
    </w:pPr>
    <w:rPr>
      <w:b/>
      <w:bCs/>
    </w:rPr>
  </w:style>
  <w:style w:type="character" w:customStyle="1" w:styleId="CommentSubjectChar">
    <w:name w:val="Comment Subject Char"/>
    <w:link w:val="CommentSubject"/>
    <w:uiPriority w:val="99"/>
    <w:semiHidden/>
    <w:rPr>
      <w:rFonts w:ascii="Calibri" w:eastAsia="Calibri" w:hAnsi="Calibri" w:cs="Times New Roman"/>
      <w:b/>
      <w:bCs/>
      <w:sz w:val="20"/>
      <w:szCs w:val="20"/>
    </w:rPr>
  </w:style>
  <w:style w:type="paragraph" w:customStyle="1" w:styleId="p90H2">
    <w:name w:val="_p9_0_H2"/>
    <w:pPr>
      <w:spacing w:before="360" w:after="160"/>
      <w:ind w:left="426" w:hanging="426"/>
    </w:pPr>
    <w:rPr>
      <w:rFonts w:ascii="Arial" w:hAnsi="Arial" w:cs="Arial"/>
      <w:b/>
      <w:bCs/>
      <w:color w:val="C00000"/>
      <w:sz w:val="24"/>
      <w:szCs w:val="24"/>
      <w:lang w:eastAsia="en-US"/>
    </w:rPr>
  </w:style>
  <w:style w:type="paragraph" w:customStyle="1" w:styleId="p92TitleFigure">
    <w:name w:val="_p9_2_Title_Figure"/>
    <w:pPr>
      <w:keepNext/>
      <w:spacing w:before="200" w:after="100" w:line="276" w:lineRule="auto"/>
      <w:ind w:left="142"/>
    </w:pPr>
    <w:rPr>
      <w:rFonts w:ascii="Arial Narrow" w:eastAsia="Cambria" w:hAnsi="Arial Narrow" w:cs="Arial"/>
      <w:b/>
      <w:bCs/>
      <w:noProof/>
      <w:color w:val="C00000"/>
      <w:lang w:eastAsia="en-US"/>
    </w:rPr>
  </w:style>
  <w:style w:type="paragraph" w:customStyle="1" w:styleId="Yo0DocTitle">
    <w:name w:val="_Yo_0_Doc_Title"/>
    <w:qFormat/>
    <w:pPr>
      <w:ind w:left="2694"/>
    </w:pPr>
    <w:rPr>
      <w:rFonts w:ascii="Verdana" w:eastAsia="Times New Roman" w:hAnsi="Verdana" w:cs="Arial"/>
      <w:b/>
      <w:bCs/>
      <w:color w:val="1F497D"/>
      <w:sz w:val="48"/>
      <w:szCs w:val="48"/>
      <w:lang w:val="nl-NL" w:eastAsia="en-US"/>
    </w:rPr>
  </w:style>
  <w:style w:type="paragraph" w:customStyle="1" w:styleId="Yo0DocSubtitle">
    <w:name w:val="_Yo_0_Doc_Subtitle"/>
    <w:basedOn w:val="Yo0DocTitle"/>
    <w:qFormat/>
    <w:pPr>
      <w:spacing w:before="240"/>
    </w:pPr>
    <w:rPr>
      <w:b w:val="0"/>
      <w:sz w:val="36"/>
      <w:szCs w:val="36"/>
    </w:rPr>
  </w:style>
  <w:style w:type="paragraph" w:customStyle="1" w:styleId="Yo0H1">
    <w:name w:val="_Yo_0_H1"/>
    <w:basedOn w:val="Heading1"/>
    <w:link w:val="Yo0H1Char"/>
    <w:pPr>
      <w:spacing w:after="300" w:line="300" w:lineRule="auto"/>
      <w:jc w:val="both"/>
    </w:pPr>
    <w:rPr>
      <w:rFonts w:ascii="Verdana" w:eastAsia="Calibri" w:hAnsi="Verdana" w:cs="MyriadPro-Bold"/>
      <w:bCs w:val="0"/>
      <w:color w:val="DB1E48"/>
      <w:kern w:val="0"/>
      <w:sz w:val="44"/>
      <w:szCs w:val="44"/>
      <w:lang w:val="en-US" w:eastAsia="fr-BE"/>
    </w:rPr>
  </w:style>
  <w:style w:type="character" w:customStyle="1" w:styleId="Heading1Char">
    <w:name w:val="Heading 1 Char"/>
    <w:link w:val="Heading1"/>
    <w:rPr>
      <w:rFonts w:ascii="Cambria" w:eastAsia="Times New Roman" w:hAnsi="Cambria" w:cs="Times New Roman"/>
      <w:b/>
      <w:bCs/>
      <w:kern w:val="32"/>
      <w:sz w:val="32"/>
      <w:szCs w:val="32"/>
      <w:lang w:val="en-GB" w:eastAsia="en-US"/>
    </w:rPr>
  </w:style>
  <w:style w:type="paragraph" w:customStyle="1" w:styleId="Yo0H2">
    <w:name w:val="_Yo_0_H2"/>
    <w:basedOn w:val="Heading2"/>
    <w:pPr>
      <w:spacing w:before="360" w:after="160" w:line="240" w:lineRule="auto"/>
      <w:jc w:val="both"/>
    </w:pPr>
    <w:rPr>
      <w:rFonts w:ascii="Arial Narrow" w:eastAsia="Calibri" w:hAnsi="Arial Narrow" w:cs="Arial"/>
      <w:b w:val="0"/>
      <w:i w:val="0"/>
      <w:iCs w:val="0"/>
      <w:caps/>
      <w:color w:val="DA1E48"/>
      <w:spacing w:val="10"/>
      <w:lang w:val="en-US"/>
    </w:rPr>
  </w:style>
  <w:style w:type="character" w:customStyle="1" w:styleId="Heading2Char">
    <w:name w:val="Heading 2 Char"/>
    <w:link w:val="Heading2"/>
    <w:rPr>
      <w:rFonts w:ascii="Cambria" w:eastAsia="Times New Roman" w:hAnsi="Cambria" w:cs="Times New Roman"/>
      <w:b/>
      <w:bCs/>
      <w:i/>
      <w:iCs/>
      <w:sz w:val="28"/>
      <w:szCs w:val="28"/>
      <w:lang w:val="en-GB" w:eastAsia="en-US"/>
    </w:rPr>
  </w:style>
  <w:style w:type="paragraph" w:customStyle="1" w:styleId="Yo0H3">
    <w:name w:val="_Yo_0_H3"/>
    <w:basedOn w:val="Heading3"/>
    <w:pPr>
      <w:spacing w:before="270" w:after="160" w:line="240" w:lineRule="auto"/>
      <w:jc w:val="both"/>
    </w:pPr>
    <w:rPr>
      <w:rFonts w:ascii="Calibri" w:eastAsia="Calibri" w:hAnsi="Calibri" w:cs="Calibri"/>
      <w:iCs/>
      <w:color w:val="C00000"/>
      <w:lang w:eastAsia="fr-BE"/>
    </w:rPr>
  </w:style>
  <w:style w:type="character" w:customStyle="1" w:styleId="Heading3Char">
    <w:name w:val="Heading 3 Char"/>
    <w:link w:val="Heading3"/>
    <w:rPr>
      <w:rFonts w:ascii="Cambria" w:eastAsia="Times New Roman" w:hAnsi="Cambria" w:cs="Times New Roman"/>
      <w:b/>
      <w:bCs/>
      <w:sz w:val="26"/>
      <w:szCs w:val="26"/>
      <w:lang w:val="en-GB" w:eastAsia="en-US"/>
    </w:rPr>
  </w:style>
  <w:style w:type="paragraph" w:customStyle="1" w:styleId="Yo0H4">
    <w:name w:val="_Yo_0_H4"/>
    <w:pPr>
      <w:suppressAutoHyphens/>
      <w:spacing w:before="240"/>
      <w:ind w:left="1418" w:hanging="1418"/>
      <w:outlineLvl w:val="4"/>
    </w:pPr>
    <w:rPr>
      <w:rFonts w:ascii="Arial Narrow" w:hAnsi="Arial Narrow" w:cs="Arial"/>
      <w:b/>
      <w:bCs/>
      <w:color w:val="C00000"/>
      <w:spacing w:val="30"/>
      <w:sz w:val="22"/>
      <w:szCs w:val="22"/>
      <w:lang w:eastAsia="en-US"/>
    </w:rPr>
  </w:style>
  <w:style w:type="paragraph" w:customStyle="1" w:styleId="Yo0H5">
    <w:name w:val="_Yo_0_H5"/>
    <w:pPr>
      <w:suppressAutoHyphens/>
      <w:spacing w:before="240" w:after="60"/>
      <w:ind w:left="1418" w:hanging="1418"/>
      <w:outlineLvl w:val="5"/>
    </w:pPr>
    <w:rPr>
      <w:rFonts w:ascii="Arial" w:eastAsia="Times New Roman" w:hAnsi="Arial" w:cs="Arial"/>
      <w:bCs/>
      <w:color w:val="C00000"/>
      <w:sz w:val="22"/>
      <w:u w:val="single"/>
      <w:lang w:eastAsia="en-US"/>
    </w:rPr>
  </w:style>
  <w:style w:type="paragraph" w:customStyle="1" w:styleId="Yo0H6">
    <w:name w:val="_Yo_0_H6"/>
    <w:pPr>
      <w:suppressAutoHyphens/>
      <w:spacing w:before="240" w:after="60"/>
      <w:ind w:left="1418" w:hanging="1418"/>
      <w:jc w:val="both"/>
      <w:outlineLvl w:val="6"/>
    </w:pPr>
    <w:rPr>
      <w:rFonts w:ascii="Arial Narrow" w:eastAsia="Times New Roman" w:hAnsi="Arial Narrow" w:cs="Arial"/>
      <w:bCs/>
      <w:i/>
      <w:color w:val="C00000"/>
      <w:spacing w:val="20"/>
      <w:lang w:eastAsia="en-US"/>
    </w:rPr>
  </w:style>
  <w:style w:type="paragraph" w:customStyle="1" w:styleId="Yo0H7">
    <w:name w:val="_Yo_0_H7"/>
    <w:pPr>
      <w:suppressAutoHyphens/>
      <w:spacing w:before="240" w:after="60"/>
      <w:ind w:left="1985" w:hanging="1985"/>
      <w:jc w:val="both"/>
      <w:outlineLvl w:val="6"/>
    </w:pPr>
    <w:rPr>
      <w:rFonts w:ascii="Arial Narrow" w:eastAsia="Times New Roman" w:hAnsi="Arial Narrow" w:cs="Arial"/>
      <w:color w:val="002060"/>
      <w:spacing w:val="20"/>
      <w:u w:val="single"/>
      <w:lang w:val="en-US" w:eastAsia="en-US"/>
    </w:rPr>
  </w:style>
  <w:style w:type="paragraph" w:customStyle="1" w:styleId="Yo0H8">
    <w:name w:val="_Yo_0_H8"/>
    <w:pPr>
      <w:suppressAutoHyphens/>
      <w:spacing w:before="240" w:after="60"/>
      <w:ind w:left="1985" w:hanging="1985"/>
      <w:jc w:val="both"/>
      <w:outlineLvl w:val="6"/>
    </w:pPr>
    <w:rPr>
      <w:rFonts w:ascii="Arial Narrow" w:eastAsia="Times New Roman" w:hAnsi="Arial Narrow" w:cs="Arial"/>
      <w:b/>
      <w:bCs/>
      <w:color w:val="0070C0"/>
      <w:spacing w:val="40"/>
      <w:w w:val="80"/>
      <w:lang w:val="en-US" w:eastAsia="en-US"/>
    </w:rPr>
  </w:style>
  <w:style w:type="paragraph" w:customStyle="1" w:styleId="Yo0H9">
    <w:name w:val="_Yo_0_H9"/>
    <w:pPr>
      <w:suppressAutoHyphens/>
      <w:spacing w:before="240" w:after="60"/>
      <w:ind w:left="1985" w:hanging="1985"/>
      <w:jc w:val="both"/>
      <w:outlineLvl w:val="6"/>
    </w:pPr>
    <w:rPr>
      <w:rFonts w:ascii="Arial Narrow" w:eastAsia="Times New Roman" w:hAnsi="Arial Narrow" w:cs="Arial"/>
      <w:i/>
      <w:iCs/>
      <w:color w:val="C00000"/>
      <w:spacing w:val="20"/>
      <w:lang w:eastAsia="en-US"/>
    </w:rPr>
  </w:style>
  <w:style w:type="paragraph" w:customStyle="1" w:styleId="Yo0Paratitle1">
    <w:name w:val="_Yo_0_Para_title_1"/>
    <w:basedOn w:val="Yo0DocTitle"/>
    <w:pPr>
      <w:spacing w:before="270" w:after="160"/>
      <w:ind w:left="0"/>
      <w:jc w:val="both"/>
    </w:pPr>
    <w:rPr>
      <w:rFonts w:ascii="Arial Narrow" w:hAnsi="Arial Narrow"/>
      <w:sz w:val="24"/>
      <w:szCs w:val="24"/>
    </w:rPr>
  </w:style>
  <w:style w:type="paragraph" w:customStyle="1" w:styleId="Yo0Paratitle2">
    <w:name w:val="_Yo_0_Para_title_2"/>
    <w:pPr>
      <w:keepNext/>
      <w:tabs>
        <w:tab w:val="left" w:pos="993"/>
      </w:tabs>
      <w:suppressAutoHyphens/>
      <w:spacing w:before="120" w:after="120" w:line="300" w:lineRule="auto"/>
      <w:jc w:val="both"/>
    </w:pPr>
    <w:rPr>
      <w:rFonts w:ascii="Verdana" w:hAnsi="Verdana" w:cs="Arial"/>
      <w:b/>
      <w:noProof/>
      <w:sz w:val="18"/>
      <w:szCs w:val="18"/>
      <w:lang w:val="nl-NL" w:eastAsia="nl-NL"/>
    </w:rPr>
  </w:style>
  <w:style w:type="paragraph" w:customStyle="1" w:styleId="Yo0Paratitle3">
    <w:name w:val="_Yo_0_Para_title_3"/>
    <w:pPr>
      <w:spacing w:before="120" w:after="120" w:line="276" w:lineRule="auto"/>
    </w:pPr>
    <w:rPr>
      <w:rFonts w:ascii="Arial Narrow" w:eastAsia="Times New Roman" w:hAnsi="Arial Narrow" w:cs="Arial"/>
      <w:b/>
      <w:i/>
      <w:color w:val="1F497D"/>
      <w:spacing w:val="20"/>
      <w:lang w:eastAsia="en-US"/>
    </w:rPr>
  </w:style>
  <w:style w:type="paragraph" w:customStyle="1" w:styleId="Yo0Paratitle4">
    <w:name w:val="_Yo_0_Para_title_4"/>
    <w:pPr>
      <w:spacing w:before="240" w:after="120"/>
      <w:outlineLvl w:val="0"/>
    </w:pPr>
    <w:rPr>
      <w:rFonts w:ascii="Arial Narrow" w:eastAsia="Times New Roman" w:hAnsi="Arial Narrow" w:cs="Arial"/>
      <w:bCs/>
      <w:color w:val="1F497D"/>
      <w:spacing w:val="20"/>
      <w:w w:val="80"/>
      <w:u w:val="single"/>
      <w:lang w:val="nl-NL" w:eastAsia="en-US"/>
    </w:rPr>
  </w:style>
  <w:style w:type="paragraph" w:customStyle="1" w:styleId="Yo1Textpara">
    <w:name w:val="_Yo_1_Text_para"/>
    <w:pPr>
      <w:tabs>
        <w:tab w:val="left" w:pos="4253"/>
      </w:tabs>
      <w:spacing w:before="160" w:line="300" w:lineRule="auto"/>
      <w:jc w:val="both"/>
    </w:pPr>
    <w:rPr>
      <w:rFonts w:ascii="Times New Roman" w:hAnsi="Times New Roman"/>
      <w:sz w:val="22"/>
      <w:lang w:eastAsia="fr-BE"/>
    </w:rPr>
  </w:style>
  <w:style w:type="paragraph" w:customStyle="1" w:styleId="Yo1Text">
    <w:name w:val="_Yo_1_Text"/>
    <w:basedOn w:val="Yo1Textpara"/>
    <w:qFormat/>
    <w:pPr>
      <w:spacing w:before="0"/>
    </w:pPr>
  </w:style>
  <w:style w:type="paragraph" w:customStyle="1" w:styleId="Yo11Textbulletlvl1">
    <w:name w:val="_Yo_11_Text_bullet_lvl_1"/>
    <w:basedOn w:val="Yo1Textpara"/>
    <w:pPr>
      <w:numPr>
        <w:numId w:val="1"/>
      </w:numPr>
      <w:tabs>
        <w:tab w:val="clear" w:pos="4253"/>
        <w:tab w:val="left" w:pos="426"/>
      </w:tabs>
      <w:spacing w:before="120"/>
    </w:pPr>
    <w:rPr>
      <w:lang w:val="en-US"/>
    </w:rPr>
  </w:style>
  <w:style w:type="paragraph" w:customStyle="1" w:styleId="Yo11Textbulletlvl2">
    <w:name w:val="_Yo_11_Text_bullet_lvl_2"/>
    <w:basedOn w:val="Yo1Textpara"/>
    <w:pPr>
      <w:numPr>
        <w:numId w:val="2"/>
      </w:numPr>
      <w:tabs>
        <w:tab w:val="clear" w:pos="4253"/>
        <w:tab w:val="left" w:pos="709"/>
      </w:tabs>
      <w:spacing w:before="100" w:line="264" w:lineRule="auto"/>
    </w:pPr>
    <w:rPr>
      <w:lang w:val="en-US"/>
    </w:rPr>
  </w:style>
  <w:style w:type="paragraph" w:customStyle="1" w:styleId="Yo11Textbulletlvl3">
    <w:name w:val="_Yo_11_Text_bullet_lvl_3"/>
    <w:basedOn w:val="Yo1Textpara"/>
    <w:pPr>
      <w:numPr>
        <w:numId w:val="3"/>
      </w:numPr>
      <w:tabs>
        <w:tab w:val="clear" w:pos="4253"/>
        <w:tab w:val="left" w:pos="981"/>
      </w:tabs>
      <w:spacing w:before="100" w:after="20"/>
    </w:pPr>
    <w:rPr>
      <w:rFonts w:ascii="Arial Narrow" w:hAnsi="Arial Narrow"/>
    </w:rPr>
  </w:style>
  <w:style w:type="paragraph" w:customStyle="1" w:styleId="Yo11TextNum1">
    <w:name w:val="_Yo_11_Text_Num_1"/>
    <w:basedOn w:val="Yo1Textpara"/>
    <w:next w:val="Normal"/>
    <w:pPr>
      <w:numPr>
        <w:numId w:val="4"/>
      </w:numPr>
      <w:tabs>
        <w:tab w:val="clear" w:pos="4253"/>
        <w:tab w:val="left" w:pos="426"/>
      </w:tabs>
      <w:spacing w:after="120"/>
    </w:pPr>
    <w:rPr>
      <w:rFonts w:eastAsia="Times New Roman"/>
      <w:color w:val="1F497D"/>
      <w:lang w:val="fr-FR"/>
    </w:rPr>
  </w:style>
  <w:style w:type="paragraph" w:customStyle="1" w:styleId="Yo11TextNum2">
    <w:name w:val="_Yo_11_Text_Num_2"/>
    <w:basedOn w:val="Yo1Textpara"/>
    <w:next w:val="Normal"/>
    <w:pPr>
      <w:numPr>
        <w:numId w:val="5"/>
      </w:numPr>
      <w:tabs>
        <w:tab w:val="clear" w:pos="4253"/>
        <w:tab w:val="left" w:pos="709"/>
      </w:tabs>
      <w:spacing w:before="120" w:after="120"/>
    </w:pPr>
    <w:rPr>
      <w:rFonts w:eastAsia="Times New Roman"/>
      <w:color w:val="1F497D"/>
      <w:lang w:val="fr-FR"/>
    </w:rPr>
  </w:style>
  <w:style w:type="paragraph" w:customStyle="1" w:styleId="Yo11TextNum3">
    <w:name w:val="_Yo_11_Text_Num_3"/>
    <w:basedOn w:val="Yo1Textpara"/>
    <w:next w:val="Normal"/>
    <w:pPr>
      <w:numPr>
        <w:numId w:val="6"/>
      </w:numPr>
      <w:tabs>
        <w:tab w:val="clear" w:pos="4253"/>
        <w:tab w:val="left" w:pos="993"/>
      </w:tabs>
      <w:spacing w:before="120" w:after="120"/>
    </w:pPr>
    <w:rPr>
      <w:rFonts w:eastAsia="Times New Roman"/>
      <w:color w:val="1F497D"/>
      <w:lang w:val="fr-FR"/>
    </w:rPr>
  </w:style>
  <w:style w:type="paragraph" w:customStyle="1" w:styleId="Yo12Encart">
    <w:name w:val="_Yo_12_Encart"/>
    <w:qFormat/>
    <w:pPr>
      <w:framePr w:hSpace="180" w:wrap="around" w:vAnchor="text" w:hAnchor="margin" w:xAlign="right" w:y="675"/>
      <w:spacing w:before="60" w:after="60"/>
      <w:ind w:left="142" w:right="108"/>
      <w:suppressOverlap/>
      <w:jc w:val="both"/>
    </w:pPr>
    <w:rPr>
      <w:rFonts w:ascii="Arial Narrow" w:hAnsi="Arial Narrow"/>
      <w:sz w:val="18"/>
      <w:szCs w:val="24"/>
      <w:lang w:eastAsia="en-US"/>
    </w:rPr>
  </w:style>
  <w:style w:type="paragraph" w:customStyle="1" w:styleId="Yo12Example">
    <w:name w:val="_Yo_12_Example"/>
    <w:pPr>
      <w:spacing w:before="120" w:line="300" w:lineRule="auto"/>
      <w:ind w:left="369"/>
      <w:jc w:val="both"/>
    </w:pPr>
    <w:rPr>
      <w:rFonts w:ascii="Arial Narrow" w:hAnsi="Arial Narrow"/>
      <w:color w:val="1F497D"/>
      <w:sz w:val="18"/>
      <w:szCs w:val="24"/>
      <w:lang w:eastAsia="en-US"/>
    </w:rPr>
  </w:style>
  <w:style w:type="paragraph" w:customStyle="1" w:styleId="Yo12TextParaForeword">
    <w:name w:val="_Yo_12_Text_Para_Foreword"/>
    <w:qFormat/>
    <w:pPr>
      <w:spacing w:before="240" w:line="360" w:lineRule="auto"/>
      <w:jc w:val="both"/>
    </w:pPr>
    <w:rPr>
      <w:rFonts w:ascii="Arial" w:eastAsia="Times New Roman" w:hAnsi="Arial" w:cs="Arial"/>
      <w:color w:val="1F497D"/>
      <w:lang w:eastAsia="en-US"/>
    </w:rPr>
  </w:style>
  <w:style w:type="paragraph" w:customStyle="1" w:styleId="Yo4centeredHeader">
    <w:name w:val="_Yo_4_centered_Header"/>
    <w:qFormat/>
    <w:pPr>
      <w:pBdr>
        <w:bottom w:val="single" w:sz="4" w:space="5" w:color="C00000"/>
      </w:pBdr>
      <w:jc w:val="center"/>
    </w:pPr>
    <w:rPr>
      <w:rFonts w:ascii="Arial Narrow" w:hAnsi="Arial Narrow" w:cs="Arial"/>
      <w:color w:val="000000"/>
      <w:spacing w:val="20"/>
      <w:sz w:val="18"/>
      <w:lang w:val="en-US" w:eastAsia="en-US"/>
    </w:rPr>
  </w:style>
  <w:style w:type="paragraph" w:customStyle="1" w:styleId="Yo4FootnoteSeparator">
    <w:name w:val="_Yo_4_Footnote_Separator"/>
    <w:qFormat/>
    <w:rPr>
      <w:color w:val="DA1E48"/>
      <w:sz w:val="22"/>
      <w:szCs w:val="22"/>
      <w:lang w:val="fr-BE" w:eastAsia="en-US"/>
    </w:rPr>
  </w:style>
  <w:style w:type="paragraph" w:customStyle="1" w:styleId="Yo4Headereven">
    <w:name w:val="_Yo_4_Header_even"/>
    <w:pPr>
      <w:spacing w:after="60"/>
    </w:pPr>
    <w:rPr>
      <w:rFonts w:ascii="Arial Narrow" w:hAnsi="Arial Narrow" w:cs="Arial"/>
      <w:color w:val="DA1E48"/>
      <w:spacing w:val="20"/>
      <w:sz w:val="22"/>
      <w:lang w:eastAsia="en-US"/>
    </w:rPr>
  </w:style>
  <w:style w:type="paragraph" w:customStyle="1" w:styleId="Yo4Headerodd">
    <w:name w:val="_Yo_4_Header_odd"/>
    <w:basedOn w:val="Yo4Headereven"/>
    <w:pPr>
      <w:jc w:val="right"/>
    </w:pPr>
    <w:rPr>
      <w:lang w:val="en-US"/>
    </w:rPr>
  </w:style>
  <w:style w:type="paragraph" w:customStyle="1" w:styleId="Yo5TextbaseTable">
    <w:name w:val="_Yo_5_Text_base_Table"/>
    <w:qFormat/>
    <w:pPr>
      <w:tabs>
        <w:tab w:val="left" w:pos="1985"/>
      </w:tabs>
    </w:pPr>
    <w:rPr>
      <w:rFonts w:ascii="Arial" w:eastAsia="Times New Roman" w:hAnsi="Arial" w:cs="Arial"/>
      <w:snapToGrid w:val="0"/>
      <w:sz w:val="16"/>
      <w:szCs w:val="16"/>
      <w:lang w:val="en-US" w:eastAsia="en-US"/>
    </w:rPr>
  </w:style>
  <w:style w:type="paragraph" w:customStyle="1" w:styleId="Yo5TextNotes">
    <w:name w:val="_Yo_5_Text_Notes"/>
    <w:pPr>
      <w:widowControl w:val="0"/>
      <w:tabs>
        <w:tab w:val="left" w:pos="1985"/>
      </w:tabs>
      <w:jc w:val="both"/>
    </w:pPr>
    <w:rPr>
      <w:rFonts w:ascii="Verdana" w:eastAsia="Times New Roman" w:hAnsi="Verdana" w:cs="Arial"/>
      <w:snapToGrid w:val="0"/>
      <w:sz w:val="14"/>
      <w:szCs w:val="16"/>
      <w:lang w:val="fr-FR" w:eastAsia="en-US"/>
    </w:rPr>
  </w:style>
  <w:style w:type="paragraph" w:customStyle="1" w:styleId="Yo5TextNotesafter">
    <w:name w:val="_Yo_5_Text_Notes_after"/>
    <w:basedOn w:val="Yo5TextNotes"/>
    <w:pPr>
      <w:tabs>
        <w:tab w:val="left" w:pos="5103"/>
      </w:tabs>
      <w:spacing w:after="60"/>
    </w:pPr>
    <w:rPr>
      <w:lang w:val="en-US"/>
    </w:rPr>
  </w:style>
  <w:style w:type="paragraph" w:customStyle="1" w:styleId="Yo5TextNotesbefore">
    <w:name w:val="_Yo_5_Text_Notes_before"/>
    <w:basedOn w:val="Yo5TextNotesafter"/>
    <w:pPr>
      <w:spacing w:before="120" w:after="0"/>
    </w:pPr>
  </w:style>
  <w:style w:type="paragraph" w:customStyle="1" w:styleId="Yo5TextNotesbeforeafter">
    <w:name w:val="_Yo_5_Text_Notes_before_after"/>
    <w:basedOn w:val="Yo5TextNotes"/>
    <w:pPr>
      <w:spacing w:before="60" w:after="60"/>
    </w:pPr>
  </w:style>
  <w:style w:type="paragraph" w:customStyle="1" w:styleId="Yo5TitleFigure">
    <w:name w:val="_Yo_5_Title_Figure"/>
    <w:pPr>
      <w:keepNext/>
      <w:spacing w:before="200" w:after="60" w:line="276" w:lineRule="auto"/>
    </w:pPr>
    <w:rPr>
      <w:rFonts w:ascii="Verdana" w:eastAsia="Cambria" w:hAnsi="Verdana" w:cs="Calibri"/>
      <w:bCs/>
      <w:noProof/>
      <w:color w:val="7F7F7F"/>
      <w:w w:val="80"/>
      <w:sz w:val="22"/>
      <w:szCs w:val="22"/>
      <w:lang w:eastAsia="en-US"/>
    </w:rPr>
  </w:style>
  <w:style w:type="paragraph" w:customStyle="1" w:styleId="Yo5TitleFigureend">
    <w:name w:val="_Yo_5_Title_Figure_end"/>
    <w:basedOn w:val="Yo5TitleFigure"/>
    <w:qFormat/>
    <w:pPr>
      <w:pBdr>
        <w:bottom w:val="single" w:sz="8" w:space="1" w:color="C00000"/>
        <w:right w:val="single" w:sz="8" w:space="4" w:color="C00000"/>
      </w:pBdr>
      <w:spacing w:before="0"/>
    </w:pPr>
  </w:style>
  <w:style w:type="paragraph" w:customStyle="1" w:styleId="Yo5TitleNotes">
    <w:name w:val="_Yo_5_Title_Notes"/>
    <w:pPr>
      <w:keepNext/>
      <w:spacing w:before="100" w:after="60"/>
    </w:pPr>
    <w:rPr>
      <w:rFonts w:ascii="Arial" w:eastAsia="Times New Roman" w:hAnsi="Arial" w:cs="Arial"/>
      <w:b/>
      <w:bCs/>
      <w:color w:val="C00000"/>
      <w:sz w:val="18"/>
      <w:u w:val="single"/>
      <w:lang w:val="fr-FR" w:eastAsia="en-US"/>
    </w:rPr>
  </w:style>
  <w:style w:type="paragraph" w:customStyle="1" w:styleId="Yo5TitleNotesbefore">
    <w:name w:val="_Yo_5_Title_Notes_before"/>
    <w:basedOn w:val="Yo5TextNotes"/>
    <w:next w:val="Yo5TextNotes"/>
    <w:pPr>
      <w:widowControl/>
      <w:tabs>
        <w:tab w:val="clear" w:pos="1985"/>
      </w:tabs>
      <w:spacing w:before="60"/>
    </w:pPr>
    <w:rPr>
      <w:snapToGrid/>
      <w:sz w:val="17"/>
      <w:szCs w:val="17"/>
    </w:rPr>
  </w:style>
  <w:style w:type="paragraph" w:customStyle="1" w:styleId="Yo6TOFTextTab">
    <w:name w:val="_Yo_6_TOF_Text_Tab"/>
    <w:qFormat/>
    <w:rPr>
      <w:rFonts w:ascii="Arial Narrow" w:eastAsia="Times New Roman" w:hAnsi="Arial Narrow" w:cs="Arial"/>
      <w:sz w:val="17"/>
      <w:szCs w:val="17"/>
      <w:lang w:eastAsia="en-US"/>
    </w:rPr>
  </w:style>
  <w:style w:type="paragraph" w:customStyle="1" w:styleId="Yo6TOFnumero">
    <w:name w:val="_Yo_6_TOF_numero"/>
    <w:basedOn w:val="Yo6TOFTextTab"/>
    <w:qFormat/>
    <w:pPr>
      <w:jc w:val="center"/>
    </w:pPr>
    <w:rPr>
      <w:sz w:val="16"/>
      <w:szCs w:val="16"/>
    </w:rPr>
  </w:style>
  <w:style w:type="paragraph" w:customStyle="1" w:styleId="Yo7ackCountries">
    <w:name w:val="_Yo_7_ack_Countries"/>
    <w:pPr>
      <w:pBdr>
        <w:top w:val="single" w:sz="4" w:space="3" w:color="C00000"/>
        <w:bottom w:val="single" w:sz="4" w:space="3" w:color="C00000"/>
      </w:pBdr>
      <w:spacing w:before="100" w:after="60"/>
    </w:pPr>
    <w:rPr>
      <w:rFonts w:ascii="Arial Narrow" w:eastAsia="Times New Roman" w:hAnsi="Arial Narrow"/>
      <w:b/>
      <w:color w:val="C00000"/>
      <w:sz w:val="18"/>
      <w:szCs w:val="18"/>
      <w:lang w:val="fr-FR" w:eastAsia="en-US"/>
    </w:rPr>
  </w:style>
  <w:style w:type="paragraph" w:customStyle="1" w:styleId="Yo7ackCountriesaddresses">
    <w:name w:val="_Yo_7_ack_Countries_addresses"/>
    <w:rPr>
      <w:rFonts w:ascii="Arial" w:eastAsia="Times New Roman" w:hAnsi="Arial" w:cs="Arial"/>
      <w:sz w:val="16"/>
      <w:szCs w:val="16"/>
      <w:lang w:val="fr-FR" w:eastAsia="en-US"/>
    </w:rPr>
  </w:style>
  <w:style w:type="paragraph" w:customStyle="1" w:styleId="Yo7ackeurydice">
    <w:name w:val="_Yo_7_ack_eurydice"/>
    <w:qFormat/>
    <w:pPr>
      <w:spacing w:before="240" w:line="300" w:lineRule="auto"/>
      <w:jc w:val="center"/>
    </w:pPr>
    <w:rPr>
      <w:rFonts w:ascii="Arial" w:eastAsia="Times New Roman" w:hAnsi="Arial" w:cs="Arial"/>
      <w:b/>
      <w:bCs/>
      <w:color w:val="C00000"/>
      <w:sz w:val="32"/>
      <w:lang w:eastAsia="en-US"/>
    </w:rPr>
  </w:style>
  <w:style w:type="paragraph" w:customStyle="1" w:styleId="Yo7ackFunctions">
    <w:name w:val="_Yo_7_ack_Functions"/>
    <w:qFormat/>
    <w:pPr>
      <w:spacing w:before="320" w:after="60"/>
      <w:jc w:val="center"/>
    </w:pPr>
    <w:rPr>
      <w:rFonts w:ascii="Arial" w:eastAsia="Times New Roman" w:hAnsi="Arial" w:cs="Arial"/>
      <w:b/>
      <w:bCs/>
      <w:color w:val="C00000"/>
      <w:sz w:val="24"/>
      <w:szCs w:val="24"/>
      <w:lang w:eastAsia="en-US"/>
    </w:rPr>
  </w:style>
  <w:style w:type="paragraph" w:customStyle="1" w:styleId="Yo7ackSubTitle">
    <w:name w:val="_Yo_7_ack_SubTitle"/>
    <w:qFormat/>
    <w:pPr>
      <w:spacing w:before="200" w:after="120"/>
      <w:jc w:val="center"/>
    </w:pPr>
    <w:rPr>
      <w:rFonts w:ascii="Arial" w:eastAsia="Times New Roman" w:hAnsi="Arial" w:cs="Arial"/>
      <w:b/>
      <w:bCs/>
      <w:color w:val="C00000"/>
      <w:sz w:val="28"/>
      <w:szCs w:val="28"/>
      <w:lang w:val="fr-FR" w:eastAsia="en-US"/>
    </w:rPr>
  </w:style>
  <w:style w:type="paragraph" w:customStyle="1" w:styleId="Yo7ackTextParacentered">
    <w:name w:val="_Yo_7_ack_Text_Para_centered"/>
    <w:qFormat/>
    <w:pPr>
      <w:spacing w:before="240" w:line="300" w:lineRule="auto"/>
      <w:jc w:val="center"/>
    </w:pPr>
    <w:rPr>
      <w:rFonts w:ascii="Arial" w:eastAsia="Times New Roman" w:hAnsi="Arial" w:cs="Arial"/>
      <w:lang w:val="fr-FR"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link w:val="Header"/>
    <w:uiPriority w:val="99"/>
    <w:rPr>
      <w:sz w:val="22"/>
      <w:szCs w:val="22"/>
      <w:lang w:val="en-GB" w:eastAsia="en-US"/>
    </w:rPr>
  </w:style>
  <w:style w:type="character" w:customStyle="1" w:styleId="Heading4Char">
    <w:name w:val="Heading 4 Char"/>
    <w:link w:val="Heading4"/>
    <w:rPr>
      <w:rFonts w:ascii="Times New Roman" w:eastAsia="Times New Roman" w:hAnsi="Times New Roman"/>
      <w:bCs/>
      <w:sz w:val="24"/>
      <w:szCs w:val="28"/>
      <w:lang w:val="en-GB" w:eastAsia="x-none"/>
    </w:rPr>
  </w:style>
  <w:style w:type="character" w:customStyle="1" w:styleId="Heading5Char">
    <w:name w:val="Heading 5 Char"/>
    <w:link w:val="Heading5"/>
    <w:rPr>
      <w:rFonts w:ascii="Arial Narrow" w:hAnsi="Arial Narrow"/>
      <w:bCs/>
      <w:spacing w:val="8"/>
      <w:u w:val="single"/>
      <w:lang w:val="en-IE" w:eastAsia="x-none"/>
    </w:rPr>
  </w:style>
  <w:style w:type="character" w:customStyle="1" w:styleId="Heading6Char">
    <w:name w:val="Heading 6 Char"/>
    <w:link w:val="Heading6"/>
    <w:rPr>
      <w:rFonts w:ascii="Myriad Pro SemiExt" w:hAnsi="Myriad Pro SemiExt"/>
      <w:b/>
      <w:bCs/>
      <w:sz w:val="16"/>
      <w:lang w:val="fr-FR" w:eastAsia="x-none"/>
    </w:rPr>
  </w:style>
  <w:style w:type="character" w:customStyle="1" w:styleId="Heading7Char">
    <w:name w:val="Heading 7 Char"/>
    <w:link w:val="Heading7"/>
    <w:rPr>
      <w:rFonts w:ascii="Myriad Pro Light" w:hAnsi="Myriad Pro Light"/>
      <w:b/>
      <w:bCs/>
      <w:sz w:val="16"/>
      <w:lang w:val="x-none" w:eastAsia="x-none"/>
    </w:rPr>
  </w:style>
  <w:style w:type="character" w:customStyle="1" w:styleId="Heading8Char">
    <w:name w:val="Heading 8 Char"/>
    <w:link w:val="Heading8"/>
    <w:rPr>
      <w:rFonts w:ascii="Helvetica" w:hAnsi="Helvetica"/>
      <w:i/>
      <w:sz w:val="21"/>
      <w:lang w:val="fr-FR" w:eastAsia="x-none"/>
    </w:rPr>
  </w:style>
  <w:style w:type="character" w:customStyle="1" w:styleId="Heading9Char">
    <w:name w:val="Heading 9 Char"/>
    <w:link w:val="Heading9"/>
    <w:rPr>
      <w:rFonts w:ascii="Myriad Pro Light" w:hAnsi="Myriad Pro Light"/>
      <w:b/>
      <w:bCs/>
      <w:i/>
      <w:iCs/>
      <w:sz w:val="26"/>
      <w:lang w:val="en-GB" w:eastAsia="en-GB"/>
    </w:rPr>
  </w:style>
  <w:style w:type="paragraph" w:styleId="FootnoteText">
    <w:name w:val="footnote text"/>
    <w:basedOn w:val="Normal"/>
    <w:link w:val="FootnoteTextChar"/>
    <w:pPr>
      <w:spacing w:before="40" w:after="0" w:line="240" w:lineRule="auto"/>
      <w:ind w:left="720" w:hanging="720"/>
      <w:jc w:val="both"/>
    </w:pPr>
    <w:rPr>
      <w:rFonts w:ascii="Times New Roman" w:eastAsia="Times New Roman" w:hAnsi="Times New Roman"/>
      <w:sz w:val="20"/>
      <w:szCs w:val="20"/>
      <w:lang w:val="x-none" w:eastAsia="x-none"/>
    </w:rPr>
  </w:style>
  <w:style w:type="character" w:customStyle="1" w:styleId="FootnoteTextChar">
    <w:name w:val="Footnote Text Char"/>
    <w:link w:val="FootnoteText"/>
    <w:rPr>
      <w:rFonts w:ascii="Times New Roman" w:eastAsia="Times New Roman" w:hAnsi="Times New Roman"/>
      <w:lang w:val="x-none" w:eastAsia="x-none"/>
    </w:rPr>
  </w:style>
  <w:style w:type="character" w:styleId="FootnoteReference">
    <w:name w:val="footnote reference"/>
    <w:rPr>
      <w:shd w:val="clear" w:color="auto" w:fill="auto"/>
      <w:vertAlign w:val="superscript"/>
    </w:rPr>
  </w:style>
  <w:style w:type="character" w:styleId="Hyperlink">
    <w:name w:val="Hyperlink"/>
    <w:uiPriority w:val="99"/>
    <w:rPr>
      <w:rFonts w:cs="Times New Roman"/>
      <w:color w:val="0000FF"/>
      <w:u w:val="single"/>
      <w:shd w:val="clear" w:color="auto" w:fill="auto"/>
    </w:rPr>
  </w:style>
  <w:style w:type="character" w:styleId="Strong">
    <w:name w:val="Strong"/>
    <w:qFormat/>
    <w:rPr>
      <w:rFonts w:cs="Times New Roman"/>
      <w:b/>
      <w:bCs/>
    </w:rPr>
  </w:style>
  <w:style w:type="paragraph" w:customStyle="1" w:styleId="textepar">
    <w:name w:val="texte+par"/>
    <w:link w:val="texteparChar"/>
    <w:pPr>
      <w:spacing w:before="160" w:line="300" w:lineRule="auto"/>
      <w:jc w:val="both"/>
    </w:pPr>
    <w:rPr>
      <w:rFonts w:ascii="Verdana" w:eastAsia="Times New Roman" w:hAnsi="Verdana"/>
      <w:color w:val="632423"/>
      <w:sz w:val="22"/>
      <w:szCs w:val="22"/>
      <w:lang w:eastAsia="en-US"/>
    </w:rPr>
  </w:style>
  <w:style w:type="character" w:customStyle="1" w:styleId="texteparChar">
    <w:name w:val="texte+par Char"/>
    <w:link w:val="textepar"/>
    <w:rPr>
      <w:rFonts w:ascii="Verdana" w:eastAsia="Times New Roman" w:hAnsi="Verdana"/>
      <w:color w:val="632423"/>
      <w:sz w:val="22"/>
      <w:szCs w:val="22"/>
      <w:lang w:val="en-GB" w:eastAsia="en-US" w:bidi="ar-SA"/>
    </w:rPr>
  </w:style>
  <w:style w:type="paragraph" w:styleId="Caption">
    <w:name w:val="caption"/>
    <w:basedOn w:val="Normal"/>
    <w:next w:val="Normal"/>
    <w:link w:val="CaptionChar"/>
    <w:autoRedefine/>
    <w:uiPriority w:val="99"/>
    <w:qFormat/>
    <w:pPr>
      <w:keepNext/>
      <w:spacing w:before="40" w:after="0" w:line="240" w:lineRule="auto"/>
      <w:jc w:val="both"/>
    </w:pPr>
    <w:rPr>
      <w:rFonts w:ascii="Arial" w:hAnsi="Arial"/>
      <w:b/>
      <w:bCs/>
      <w:noProof/>
      <w:color w:val="FF0000"/>
      <w:sz w:val="18"/>
      <w:szCs w:val="20"/>
      <w:lang w:val="en-US" w:eastAsia="x-none"/>
    </w:rPr>
  </w:style>
  <w:style w:type="character" w:customStyle="1" w:styleId="CaptionChar">
    <w:name w:val="Caption Char"/>
    <w:link w:val="Caption"/>
    <w:uiPriority w:val="99"/>
    <w:locked/>
    <w:rPr>
      <w:rFonts w:ascii="Arial" w:hAnsi="Arial" w:cs="Arial"/>
      <w:b/>
      <w:bCs/>
      <w:noProof/>
      <w:color w:val="FF0000"/>
      <w:sz w:val="18"/>
      <w:lang w:val="en-US" w:eastAsia="x-none"/>
    </w:rPr>
  </w:style>
  <w:style w:type="paragraph" w:customStyle="1" w:styleId="texte8">
    <w:name w:val="texte8"/>
    <w:link w:val="texte8Char"/>
    <w:pPr>
      <w:widowControl w:val="0"/>
    </w:pPr>
    <w:rPr>
      <w:rFonts w:ascii="Arial" w:hAnsi="Arial"/>
      <w:color w:val="632423"/>
      <w:sz w:val="16"/>
      <w:szCs w:val="16"/>
      <w:lang w:val="fr-FR"/>
    </w:rPr>
  </w:style>
  <w:style w:type="character" w:customStyle="1" w:styleId="texte8Char">
    <w:name w:val="texte8 Char"/>
    <w:link w:val="texte8"/>
    <w:locked/>
    <w:rPr>
      <w:rFonts w:ascii="Arial" w:hAnsi="Arial"/>
      <w:color w:val="632423"/>
      <w:sz w:val="16"/>
      <w:szCs w:val="16"/>
      <w:lang w:val="fr-FR" w:eastAsia="en-GB" w:bidi="ar-SA"/>
    </w:rPr>
  </w:style>
  <w:style w:type="paragraph" w:customStyle="1" w:styleId="Source">
    <w:name w:val="Source"/>
    <w:basedOn w:val="Normal"/>
    <w:next w:val="Normal"/>
    <w:qFormat/>
    <w:pPr>
      <w:widowControl w:val="0"/>
      <w:spacing w:before="40" w:after="120" w:line="240" w:lineRule="auto"/>
      <w:contextualSpacing/>
      <w:jc w:val="both"/>
    </w:pPr>
    <w:rPr>
      <w:rFonts w:ascii="Arial" w:eastAsia="Times New Roman" w:hAnsi="Arial"/>
      <w:snapToGrid w:val="0"/>
      <w:sz w:val="16"/>
      <w:szCs w:val="16"/>
    </w:rPr>
  </w:style>
  <w:style w:type="paragraph" w:customStyle="1" w:styleId="texte83av3ap">
    <w:name w:val="texte8_3av_3ap"/>
    <w:basedOn w:val="Normal"/>
    <w:pPr>
      <w:widowControl w:val="0"/>
      <w:spacing w:before="60" w:after="60" w:line="240" w:lineRule="auto"/>
      <w:jc w:val="both"/>
    </w:pPr>
    <w:rPr>
      <w:rFonts w:ascii="Arial" w:eastAsia="Times New Roman" w:hAnsi="Arial" w:cs="Arial"/>
      <w:color w:val="632423"/>
      <w:sz w:val="16"/>
      <w:szCs w:val="16"/>
    </w:rPr>
  </w:style>
  <w:style w:type="paragraph" w:customStyle="1" w:styleId="texte83av">
    <w:name w:val="texte8_3av"/>
    <w:basedOn w:val="Normal"/>
    <w:pPr>
      <w:widowControl w:val="0"/>
      <w:spacing w:before="60" w:after="0" w:line="240" w:lineRule="auto"/>
      <w:jc w:val="both"/>
    </w:pPr>
    <w:rPr>
      <w:rFonts w:ascii="Arial" w:eastAsia="Times New Roman" w:hAnsi="Arial" w:cs="Arial"/>
      <w:sz w:val="16"/>
      <w:szCs w:val="16"/>
    </w:rPr>
  </w:style>
  <w:style w:type="character" w:customStyle="1" w:styleId="Heading1Char1">
    <w:name w:val="Heading 1 Char1"/>
    <w:uiPriority w:val="99"/>
    <w:rPr>
      <w:rFonts w:ascii="Times New Roman" w:eastAsia="Times New Roman" w:hAnsi="Times New Roman" w:cs="Times New Roman"/>
      <w:b/>
      <w:bCs/>
      <w:smallCaps/>
      <w:sz w:val="24"/>
      <w:szCs w:val="32"/>
      <w:lang w:val="en-GB"/>
    </w:rPr>
  </w:style>
  <w:style w:type="character" w:customStyle="1" w:styleId="Heading2Char1">
    <w:name w:val="Heading 2 Char1"/>
    <w:uiPriority w:val="99"/>
    <w:rPr>
      <w:rFonts w:ascii="Times New Roman" w:eastAsia="Times New Roman" w:hAnsi="Times New Roman" w:cs="Times New Roman"/>
      <w:b/>
      <w:bCs/>
      <w:iCs/>
      <w:sz w:val="24"/>
      <w:szCs w:val="28"/>
      <w:lang w:val="en-GB"/>
    </w:rPr>
  </w:style>
  <w:style w:type="character" w:customStyle="1" w:styleId="Heading3Char1">
    <w:name w:val="Heading 3 Char1"/>
    <w:uiPriority w:val="99"/>
    <w:rPr>
      <w:rFonts w:ascii="Times New Roman" w:eastAsia="Times New Roman" w:hAnsi="Times New Roman" w:cs="Times New Roman"/>
      <w:bCs/>
      <w:i/>
      <w:sz w:val="24"/>
      <w:szCs w:val="26"/>
      <w:lang w:val="en-GB"/>
    </w:rPr>
  </w:style>
  <w:style w:type="character" w:customStyle="1" w:styleId="Heading4Char1">
    <w:name w:val="Heading 4 Char1"/>
    <w:uiPriority w:val="99"/>
    <w:rPr>
      <w:rFonts w:ascii="Times New Roman" w:eastAsia="Times New Roman" w:hAnsi="Times New Roman" w:cs="Times New Roman"/>
      <w:bCs/>
      <w:sz w:val="24"/>
      <w:szCs w:val="28"/>
      <w:lang w:val="en-GB"/>
    </w:rPr>
  </w:style>
  <w:style w:type="paragraph" w:customStyle="1" w:styleId="Text1">
    <w:name w:val="Text 1"/>
    <w:basedOn w:val="Normal"/>
    <w:uiPriority w:val="99"/>
    <w:pPr>
      <w:spacing w:before="120" w:after="120" w:line="240" w:lineRule="auto"/>
      <w:ind w:left="850"/>
      <w:jc w:val="both"/>
    </w:pPr>
    <w:rPr>
      <w:rFonts w:ascii="Times New Roman" w:eastAsia="Times New Roman" w:hAnsi="Times New Roman"/>
      <w:sz w:val="24"/>
      <w:szCs w:val="24"/>
    </w:rPr>
  </w:style>
  <w:style w:type="character" w:customStyle="1" w:styleId="HeaderChar1">
    <w:name w:val="Header Char1"/>
    <w:rPr>
      <w:rFonts w:ascii="Times New Roman" w:eastAsia="Times New Roman" w:hAnsi="Times New Roman"/>
      <w:sz w:val="24"/>
      <w:szCs w:val="24"/>
      <w:lang w:eastAsia="x-none"/>
    </w:rPr>
  </w:style>
  <w:style w:type="character" w:customStyle="1" w:styleId="FooterChar1">
    <w:name w:val="Footer Char1"/>
    <w:uiPriority w:val="99"/>
    <w:rPr>
      <w:rFonts w:ascii="Times New Roman" w:eastAsia="Times New Roman" w:hAnsi="Times New Roman"/>
      <w:sz w:val="24"/>
      <w:szCs w:val="24"/>
      <w:lang w:eastAsia="x-none"/>
    </w:rPr>
  </w:style>
  <w:style w:type="character" w:customStyle="1" w:styleId="FootnoteTextChar1">
    <w:name w:val="Footnote Text Char1"/>
    <w:semiHidden/>
    <w:rPr>
      <w:rFonts w:ascii="Times New Roman" w:eastAsia="Times New Roman" w:hAnsi="Times New Roman" w:cs="Times New Roman"/>
      <w:sz w:val="20"/>
      <w:szCs w:val="20"/>
      <w:lang w:val="en-GB"/>
    </w:rPr>
  </w:style>
  <w:style w:type="paragraph" w:styleId="TOC1">
    <w:name w:val="toc 1"/>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2">
    <w:name w:val="toc 2"/>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3">
    <w:name w:val="toc 3"/>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4">
    <w:name w:val="toc 4"/>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5">
    <w:name w:val="toc 5"/>
    <w:basedOn w:val="Normal"/>
    <w:next w:val="Normal"/>
    <w:uiPriority w:val="39"/>
    <w:pPr>
      <w:tabs>
        <w:tab w:val="right" w:leader="dot" w:pos="9071"/>
      </w:tabs>
      <w:spacing w:before="300" w:after="120" w:line="240" w:lineRule="auto"/>
      <w:jc w:val="both"/>
    </w:pPr>
    <w:rPr>
      <w:rFonts w:ascii="Times New Roman" w:eastAsia="Times New Roman" w:hAnsi="Times New Roman"/>
      <w:sz w:val="24"/>
      <w:szCs w:val="24"/>
    </w:rPr>
  </w:style>
  <w:style w:type="paragraph" w:styleId="TOC6">
    <w:name w:val="toc 6"/>
    <w:basedOn w:val="Normal"/>
    <w:next w:val="Normal"/>
    <w:uiPriority w:val="39"/>
    <w:pPr>
      <w:tabs>
        <w:tab w:val="right" w:leader="dot" w:pos="9071"/>
      </w:tabs>
      <w:spacing w:before="240" w:after="120" w:line="240" w:lineRule="auto"/>
      <w:jc w:val="both"/>
    </w:pPr>
    <w:rPr>
      <w:rFonts w:ascii="Times New Roman" w:eastAsia="Times New Roman" w:hAnsi="Times New Roman"/>
      <w:sz w:val="24"/>
      <w:szCs w:val="24"/>
    </w:rPr>
  </w:style>
  <w:style w:type="paragraph" w:styleId="TOC7">
    <w:name w:val="toc 7"/>
    <w:basedOn w:val="Normal"/>
    <w:next w:val="Normal"/>
    <w:uiPriority w:val="39"/>
    <w:pPr>
      <w:tabs>
        <w:tab w:val="right" w:leader="dot" w:pos="9071"/>
      </w:tabs>
      <w:spacing w:before="180" w:after="120" w:line="240" w:lineRule="auto"/>
      <w:jc w:val="both"/>
    </w:pPr>
    <w:rPr>
      <w:rFonts w:ascii="Times New Roman" w:eastAsia="Times New Roman" w:hAnsi="Times New Roman"/>
      <w:sz w:val="24"/>
      <w:szCs w:val="24"/>
    </w:rPr>
  </w:style>
  <w:style w:type="paragraph" w:styleId="TOC8">
    <w:name w:val="toc 8"/>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styleId="TOC9">
    <w:name w:val="toc 9"/>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customStyle="1" w:styleId="HeaderLandscape">
    <w:name w:val="HeaderLandscape"/>
    <w:basedOn w:val="Normal"/>
    <w:pPr>
      <w:tabs>
        <w:tab w:val="center" w:pos="7285"/>
        <w:tab w:val="right" w:pos="14003"/>
      </w:tabs>
      <w:spacing w:before="120" w:after="120" w:line="240" w:lineRule="auto"/>
      <w:jc w:val="both"/>
    </w:pPr>
    <w:rPr>
      <w:rFonts w:ascii="Times New Roman" w:eastAsia="Times New Roman" w:hAnsi="Times New Roman"/>
      <w:sz w:val="24"/>
      <w:szCs w:val="24"/>
    </w:rPr>
  </w:style>
  <w:style w:type="paragraph" w:customStyle="1" w:styleId="FooterLandscape">
    <w:name w:val="FooterLandscape"/>
    <w:basedOn w:val="Normal"/>
    <w:uiPriority w:val="99"/>
    <w:pPr>
      <w:tabs>
        <w:tab w:val="center" w:pos="7285"/>
        <w:tab w:val="center" w:pos="10913"/>
        <w:tab w:val="right" w:pos="15137"/>
      </w:tabs>
      <w:spacing w:before="360" w:after="0" w:line="240" w:lineRule="auto"/>
      <w:ind w:left="-567" w:right="-567"/>
      <w:jc w:val="both"/>
    </w:pPr>
    <w:rPr>
      <w:rFonts w:ascii="Times New Roman" w:eastAsia="Times New Roman" w:hAnsi="Times New Roman"/>
      <w:sz w:val="24"/>
      <w:szCs w:val="24"/>
    </w:rPr>
  </w:style>
  <w:style w:type="paragraph" w:customStyle="1" w:styleId="Text2">
    <w:name w:val="Text 2"/>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Text3">
    <w:name w:val="Text 3"/>
    <w:basedOn w:val="Normal"/>
    <w:uiPriority w:val="99"/>
    <w:pPr>
      <w:spacing w:before="120" w:after="120" w:line="240" w:lineRule="auto"/>
      <w:ind w:left="1984"/>
      <w:jc w:val="both"/>
    </w:pPr>
    <w:rPr>
      <w:rFonts w:ascii="Times New Roman" w:eastAsia="Times New Roman" w:hAnsi="Times New Roman"/>
      <w:sz w:val="24"/>
      <w:szCs w:val="24"/>
    </w:rPr>
  </w:style>
  <w:style w:type="paragraph" w:customStyle="1" w:styleId="Text4">
    <w:name w:val="Text 4"/>
    <w:basedOn w:val="Normal"/>
    <w:uiPriority w:val="99"/>
    <w:pPr>
      <w:spacing w:before="120" w:after="120" w:line="240" w:lineRule="auto"/>
      <w:ind w:left="2551"/>
      <w:jc w:val="both"/>
    </w:pPr>
    <w:rPr>
      <w:rFonts w:ascii="Times New Roman" w:eastAsia="Times New Roman" w:hAnsi="Times New Roman"/>
      <w:sz w:val="24"/>
      <w:szCs w:val="24"/>
    </w:rPr>
  </w:style>
  <w:style w:type="paragraph" w:customStyle="1" w:styleId="NormalCentered">
    <w:name w:val="Normal Centered"/>
    <w:basedOn w:val="Normal"/>
    <w:uiPriority w:val="99"/>
    <w:pPr>
      <w:spacing w:before="120" w:after="120" w:line="240" w:lineRule="auto"/>
      <w:jc w:val="center"/>
    </w:pPr>
    <w:rPr>
      <w:rFonts w:ascii="Times New Roman" w:eastAsia="Times New Roman" w:hAnsi="Times New Roman"/>
      <w:sz w:val="24"/>
      <w:szCs w:val="24"/>
    </w:rPr>
  </w:style>
  <w:style w:type="paragraph" w:customStyle="1" w:styleId="NormalLeft">
    <w:name w:val="Normal Left"/>
    <w:basedOn w:val="Normal"/>
    <w:uiPriority w:val="99"/>
    <w:pPr>
      <w:spacing w:before="120" w:after="120" w:line="240" w:lineRule="auto"/>
      <w:jc w:val="both"/>
    </w:pPr>
    <w:rPr>
      <w:rFonts w:ascii="Times New Roman" w:eastAsia="Times New Roman" w:hAnsi="Times New Roman"/>
      <w:sz w:val="24"/>
      <w:szCs w:val="24"/>
    </w:rPr>
  </w:style>
  <w:style w:type="paragraph" w:customStyle="1" w:styleId="NormalRight">
    <w:name w:val="Normal Right"/>
    <w:basedOn w:val="Normal"/>
    <w:uiPriority w:val="99"/>
    <w:pPr>
      <w:spacing w:before="120" w:after="120" w:line="240" w:lineRule="auto"/>
      <w:jc w:val="right"/>
    </w:pPr>
    <w:rPr>
      <w:rFonts w:ascii="Times New Roman" w:eastAsia="Times New Roman" w:hAnsi="Times New Roman"/>
      <w:sz w:val="24"/>
      <w:szCs w:val="24"/>
    </w:rPr>
  </w:style>
  <w:style w:type="paragraph" w:customStyle="1" w:styleId="QuotedText">
    <w:name w:val="Quoted Text"/>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Point0">
    <w:name w:val="Point 0"/>
    <w:basedOn w:val="Normal"/>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Point1">
    <w:name w:val="Point 1"/>
    <w:basedOn w:val="Normal"/>
    <w:pPr>
      <w:spacing w:before="120" w:after="120" w:line="240" w:lineRule="auto"/>
      <w:ind w:left="1417" w:hanging="567"/>
      <w:jc w:val="both"/>
    </w:pPr>
    <w:rPr>
      <w:rFonts w:ascii="Times New Roman" w:eastAsia="Times New Roman" w:hAnsi="Times New Roman"/>
      <w:sz w:val="24"/>
      <w:szCs w:val="24"/>
    </w:rPr>
  </w:style>
  <w:style w:type="paragraph" w:customStyle="1" w:styleId="Point2">
    <w:name w:val="Point 2"/>
    <w:basedOn w:val="Normal"/>
    <w:uiPriority w:val="99"/>
    <w:pPr>
      <w:spacing w:before="120" w:after="120" w:line="240" w:lineRule="auto"/>
      <w:ind w:left="1984" w:hanging="567"/>
      <w:jc w:val="both"/>
    </w:pPr>
    <w:rPr>
      <w:rFonts w:ascii="Times New Roman" w:eastAsia="Times New Roman" w:hAnsi="Times New Roman"/>
      <w:sz w:val="24"/>
      <w:szCs w:val="24"/>
    </w:rPr>
  </w:style>
  <w:style w:type="paragraph" w:customStyle="1" w:styleId="Point3">
    <w:name w:val="Point 3"/>
    <w:basedOn w:val="Normal"/>
    <w:uiPriority w:val="99"/>
    <w:pPr>
      <w:spacing w:before="120" w:after="120" w:line="240" w:lineRule="auto"/>
      <w:ind w:left="2551" w:hanging="567"/>
      <w:jc w:val="both"/>
    </w:pPr>
    <w:rPr>
      <w:rFonts w:ascii="Times New Roman" w:eastAsia="Times New Roman" w:hAnsi="Times New Roman"/>
      <w:sz w:val="24"/>
      <w:szCs w:val="24"/>
    </w:rPr>
  </w:style>
  <w:style w:type="paragraph" w:customStyle="1" w:styleId="Point4">
    <w:name w:val="Point 4"/>
    <w:basedOn w:val="Normal"/>
    <w:uiPriority w:val="99"/>
    <w:pPr>
      <w:spacing w:before="120" w:after="120" w:line="240" w:lineRule="auto"/>
      <w:ind w:left="3118" w:hanging="567"/>
      <w:jc w:val="both"/>
    </w:pPr>
    <w:rPr>
      <w:rFonts w:ascii="Times New Roman" w:eastAsia="Times New Roman" w:hAnsi="Times New Roman"/>
      <w:sz w:val="24"/>
      <w:szCs w:val="24"/>
    </w:rPr>
  </w:style>
  <w:style w:type="paragraph" w:customStyle="1" w:styleId="Tiret0">
    <w:name w:val="Tiret 0"/>
    <w:basedOn w:val="Point0"/>
    <w:pPr>
      <w:numPr>
        <w:numId w:val="19"/>
      </w:numPr>
    </w:pPr>
  </w:style>
  <w:style w:type="paragraph" w:customStyle="1" w:styleId="Tiret1">
    <w:name w:val="Tiret 1"/>
    <w:basedOn w:val="Point1"/>
    <w:pPr>
      <w:numPr>
        <w:numId w:val="20"/>
      </w:numPr>
    </w:pPr>
  </w:style>
  <w:style w:type="paragraph" w:customStyle="1" w:styleId="Tiret2">
    <w:name w:val="Tiret 2"/>
    <w:basedOn w:val="Point2"/>
    <w:pPr>
      <w:numPr>
        <w:numId w:val="21"/>
      </w:numPr>
    </w:pPr>
  </w:style>
  <w:style w:type="paragraph" w:customStyle="1" w:styleId="Tiret3">
    <w:name w:val="Tiret 3"/>
    <w:basedOn w:val="Point3"/>
    <w:pPr>
      <w:numPr>
        <w:numId w:val="22"/>
      </w:numPr>
    </w:pPr>
  </w:style>
  <w:style w:type="paragraph" w:customStyle="1" w:styleId="Tiret4">
    <w:name w:val="Tiret 4"/>
    <w:basedOn w:val="Point4"/>
    <w:pPr>
      <w:numPr>
        <w:numId w:val="23"/>
      </w:numPr>
    </w:pPr>
  </w:style>
  <w:style w:type="paragraph" w:customStyle="1" w:styleId="PointDouble0">
    <w:name w:val="PointDouble 0"/>
    <w:basedOn w:val="Normal"/>
    <w:uiPriority w:val="99"/>
    <w:pPr>
      <w:tabs>
        <w:tab w:val="left" w:pos="850"/>
      </w:tabs>
      <w:spacing w:before="120" w:after="120" w:line="240" w:lineRule="auto"/>
      <w:ind w:left="1417" w:hanging="1417"/>
      <w:jc w:val="both"/>
    </w:pPr>
    <w:rPr>
      <w:rFonts w:ascii="Times New Roman" w:eastAsia="Times New Roman" w:hAnsi="Times New Roman"/>
      <w:sz w:val="24"/>
      <w:szCs w:val="24"/>
    </w:rPr>
  </w:style>
  <w:style w:type="paragraph" w:customStyle="1" w:styleId="PointDouble1">
    <w:name w:val="PointDouble 1"/>
    <w:basedOn w:val="Normal"/>
    <w:uiPriority w:val="99"/>
    <w:pPr>
      <w:tabs>
        <w:tab w:val="left" w:pos="1417"/>
      </w:tabs>
      <w:spacing w:before="120" w:after="120" w:line="240" w:lineRule="auto"/>
      <w:ind w:left="1984" w:hanging="1134"/>
      <w:jc w:val="both"/>
    </w:pPr>
    <w:rPr>
      <w:rFonts w:ascii="Times New Roman" w:eastAsia="Times New Roman" w:hAnsi="Times New Roman"/>
      <w:sz w:val="24"/>
      <w:szCs w:val="24"/>
    </w:rPr>
  </w:style>
  <w:style w:type="paragraph" w:customStyle="1" w:styleId="PointDouble2">
    <w:name w:val="PointDouble 2"/>
    <w:basedOn w:val="Normal"/>
    <w:uiPriority w:val="99"/>
    <w:pPr>
      <w:tabs>
        <w:tab w:val="left" w:pos="1984"/>
      </w:tabs>
      <w:spacing w:before="120" w:after="120" w:line="240" w:lineRule="auto"/>
      <w:ind w:left="2551" w:hanging="1134"/>
      <w:jc w:val="both"/>
    </w:pPr>
    <w:rPr>
      <w:rFonts w:ascii="Times New Roman" w:eastAsia="Times New Roman" w:hAnsi="Times New Roman"/>
      <w:sz w:val="24"/>
      <w:szCs w:val="24"/>
    </w:rPr>
  </w:style>
  <w:style w:type="paragraph" w:customStyle="1" w:styleId="PointDouble3">
    <w:name w:val="PointDouble 3"/>
    <w:basedOn w:val="Normal"/>
    <w:uiPriority w:val="99"/>
    <w:pPr>
      <w:tabs>
        <w:tab w:val="left" w:pos="2551"/>
      </w:tabs>
      <w:spacing w:before="120" w:after="120" w:line="240" w:lineRule="auto"/>
      <w:ind w:left="3118" w:hanging="1134"/>
      <w:jc w:val="both"/>
    </w:pPr>
    <w:rPr>
      <w:rFonts w:ascii="Times New Roman" w:eastAsia="Times New Roman" w:hAnsi="Times New Roman"/>
      <w:sz w:val="24"/>
      <w:szCs w:val="24"/>
    </w:rPr>
  </w:style>
  <w:style w:type="paragraph" w:customStyle="1" w:styleId="PointDouble4">
    <w:name w:val="PointDouble 4"/>
    <w:basedOn w:val="Normal"/>
    <w:uiPriority w:val="99"/>
    <w:pPr>
      <w:tabs>
        <w:tab w:val="left" w:pos="3118"/>
      </w:tabs>
      <w:spacing w:before="120" w:after="120" w:line="240" w:lineRule="auto"/>
      <w:ind w:left="3685" w:hanging="1134"/>
      <w:jc w:val="both"/>
    </w:pPr>
    <w:rPr>
      <w:rFonts w:ascii="Times New Roman" w:eastAsia="Times New Roman" w:hAnsi="Times New Roman"/>
      <w:sz w:val="24"/>
      <w:szCs w:val="24"/>
    </w:rPr>
  </w:style>
  <w:style w:type="paragraph" w:customStyle="1" w:styleId="PointTriple0">
    <w:name w:val="PointTriple 0"/>
    <w:basedOn w:val="Normal"/>
    <w:uiPriority w:val="99"/>
    <w:pPr>
      <w:tabs>
        <w:tab w:val="left" w:pos="850"/>
        <w:tab w:val="left" w:pos="1417"/>
      </w:tabs>
      <w:spacing w:before="120" w:after="120" w:line="240" w:lineRule="auto"/>
      <w:ind w:left="1984" w:hanging="1984"/>
      <w:jc w:val="both"/>
    </w:pPr>
    <w:rPr>
      <w:rFonts w:ascii="Times New Roman" w:eastAsia="Times New Roman" w:hAnsi="Times New Roman"/>
      <w:sz w:val="24"/>
      <w:szCs w:val="24"/>
    </w:rPr>
  </w:style>
  <w:style w:type="paragraph" w:customStyle="1" w:styleId="PointTriple1">
    <w:name w:val="PointTriple 1"/>
    <w:basedOn w:val="Normal"/>
    <w:uiPriority w:val="99"/>
    <w:pPr>
      <w:tabs>
        <w:tab w:val="left" w:pos="1417"/>
        <w:tab w:val="left" w:pos="1984"/>
      </w:tabs>
      <w:spacing w:before="120" w:after="120" w:line="240" w:lineRule="auto"/>
      <w:ind w:left="2551" w:hanging="1701"/>
      <w:jc w:val="both"/>
    </w:pPr>
    <w:rPr>
      <w:rFonts w:ascii="Times New Roman" w:eastAsia="Times New Roman" w:hAnsi="Times New Roman"/>
      <w:sz w:val="24"/>
      <w:szCs w:val="24"/>
    </w:rPr>
  </w:style>
  <w:style w:type="paragraph" w:customStyle="1" w:styleId="PointTriple2">
    <w:name w:val="PointTriple 2"/>
    <w:basedOn w:val="Normal"/>
    <w:uiPriority w:val="99"/>
    <w:pPr>
      <w:tabs>
        <w:tab w:val="left" w:pos="1984"/>
        <w:tab w:val="left" w:pos="2551"/>
      </w:tabs>
      <w:spacing w:before="120" w:after="120" w:line="240" w:lineRule="auto"/>
      <w:ind w:left="3118" w:hanging="1701"/>
      <w:jc w:val="both"/>
    </w:pPr>
    <w:rPr>
      <w:rFonts w:ascii="Times New Roman" w:eastAsia="Times New Roman" w:hAnsi="Times New Roman"/>
      <w:sz w:val="24"/>
      <w:szCs w:val="24"/>
    </w:rPr>
  </w:style>
  <w:style w:type="paragraph" w:customStyle="1" w:styleId="PointTriple3">
    <w:name w:val="PointTriple 3"/>
    <w:basedOn w:val="Normal"/>
    <w:uiPriority w:val="99"/>
    <w:pPr>
      <w:tabs>
        <w:tab w:val="left" w:pos="2551"/>
        <w:tab w:val="left" w:pos="3118"/>
      </w:tabs>
      <w:spacing w:before="120" w:after="120" w:line="240" w:lineRule="auto"/>
      <w:ind w:left="3685" w:hanging="1701"/>
      <w:jc w:val="both"/>
    </w:pPr>
    <w:rPr>
      <w:rFonts w:ascii="Times New Roman" w:eastAsia="Times New Roman" w:hAnsi="Times New Roman"/>
      <w:sz w:val="24"/>
      <w:szCs w:val="24"/>
    </w:rPr>
  </w:style>
  <w:style w:type="paragraph" w:customStyle="1" w:styleId="PointTriple4">
    <w:name w:val="PointTriple 4"/>
    <w:basedOn w:val="Normal"/>
    <w:uiPriority w:val="99"/>
    <w:pPr>
      <w:tabs>
        <w:tab w:val="left" w:pos="3118"/>
        <w:tab w:val="left" w:pos="3685"/>
      </w:tabs>
      <w:spacing w:before="120" w:after="120" w:line="240" w:lineRule="auto"/>
      <w:ind w:left="4252" w:hanging="1701"/>
      <w:jc w:val="both"/>
    </w:pPr>
    <w:rPr>
      <w:rFonts w:ascii="Times New Roman" w:eastAsia="Times New Roman" w:hAnsi="Times New Roman"/>
      <w:sz w:val="24"/>
      <w:szCs w:val="24"/>
    </w:rPr>
  </w:style>
  <w:style w:type="paragraph" w:customStyle="1" w:styleId="NumPar1">
    <w:name w:val="NumPar 1"/>
    <w:basedOn w:val="Normal"/>
    <w:next w:val="Text1"/>
    <w:pPr>
      <w:numPr>
        <w:numId w:val="24"/>
      </w:numPr>
      <w:spacing w:before="120" w:after="120" w:line="240" w:lineRule="auto"/>
      <w:jc w:val="both"/>
    </w:pPr>
    <w:rPr>
      <w:rFonts w:ascii="Times New Roman" w:eastAsia="Times New Roman" w:hAnsi="Times New Roman"/>
      <w:sz w:val="24"/>
      <w:szCs w:val="24"/>
    </w:rPr>
  </w:style>
  <w:style w:type="paragraph" w:customStyle="1" w:styleId="NumPar2">
    <w:name w:val="NumPar 2"/>
    <w:basedOn w:val="Normal"/>
    <w:next w:val="Text1"/>
    <w:pPr>
      <w:numPr>
        <w:ilvl w:val="1"/>
        <w:numId w:val="24"/>
      </w:numPr>
      <w:spacing w:before="120" w:after="120" w:line="240" w:lineRule="auto"/>
      <w:jc w:val="both"/>
    </w:pPr>
    <w:rPr>
      <w:rFonts w:ascii="Times New Roman" w:eastAsia="Times New Roman" w:hAnsi="Times New Roman"/>
      <w:sz w:val="24"/>
      <w:szCs w:val="24"/>
    </w:rPr>
  </w:style>
  <w:style w:type="paragraph" w:customStyle="1" w:styleId="NumPar3">
    <w:name w:val="NumPar 3"/>
    <w:basedOn w:val="Normal"/>
    <w:next w:val="Text1"/>
    <w:pPr>
      <w:numPr>
        <w:ilvl w:val="2"/>
        <w:numId w:val="24"/>
      </w:numPr>
      <w:spacing w:before="120" w:after="120" w:line="240" w:lineRule="auto"/>
      <w:jc w:val="both"/>
    </w:pPr>
    <w:rPr>
      <w:rFonts w:ascii="Times New Roman" w:eastAsia="Times New Roman" w:hAnsi="Times New Roman"/>
      <w:sz w:val="24"/>
      <w:szCs w:val="24"/>
    </w:rPr>
  </w:style>
  <w:style w:type="paragraph" w:customStyle="1" w:styleId="NumPar4">
    <w:name w:val="NumPar 4"/>
    <w:basedOn w:val="Normal"/>
    <w:next w:val="Text1"/>
    <w:pPr>
      <w:numPr>
        <w:ilvl w:val="3"/>
        <w:numId w:val="24"/>
      </w:numPr>
      <w:spacing w:before="120" w:after="120" w:line="240" w:lineRule="auto"/>
      <w:jc w:val="both"/>
    </w:pPr>
    <w:rPr>
      <w:rFonts w:ascii="Times New Roman" w:eastAsia="Times New Roman" w:hAnsi="Times New Roman"/>
      <w:sz w:val="24"/>
      <w:szCs w:val="24"/>
    </w:rPr>
  </w:style>
  <w:style w:type="paragraph" w:customStyle="1" w:styleId="ManualNumPar1">
    <w:name w:val="Manual NumPar 1"/>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2">
    <w:name w:val="Manual NumPar 2"/>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3">
    <w:name w:val="Manual NumPar 3"/>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4">
    <w:name w:val="Manual NumPar 4"/>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QuotedNumPar">
    <w:name w:val="Quoted NumPar"/>
    <w:basedOn w:val="Normal"/>
    <w:uiPriority w:val="99"/>
    <w:pPr>
      <w:spacing w:before="120" w:after="120" w:line="240" w:lineRule="auto"/>
      <w:ind w:left="1417" w:hanging="567"/>
      <w:jc w:val="both"/>
    </w:pPr>
    <w:rPr>
      <w:rFonts w:ascii="Times New Roman" w:eastAsia="Times New Roman" w:hAnsi="Times New Roman"/>
      <w:sz w:val="24"/>
      <w:szCs w:val="24"/>
    </w:rPr>
  </w:style>
  <w:style w:type="paragraph" w:customStyle="1" w:styleId="ManualHeading1">
    <w:name w:val="Manual Heading 1"/>
    <w:basedOn w:val="Normal"/>
    <w:next w:val="Text1"/>
    <w:uiPriority w:val="99"/>
    <w:pPr>
      <w:keepNext/>
      <w:tabs>
        <w:tab w:val="left" w:pos="850"/>
      </w:tabs>
      <w:spacing w:before="360" w:after="120" w:line="240" w:lineRule="auto"/>
      <w:ind w:left="850" w:hanging="850"/>
      <w:jc w:val="both"/>
      <w:outlineLvl w:val="0"/>
    </w:pPr>
    <w:rPr>
      <w:rFonts w:ascii="Times New Roman" w:eastAsia="Times New Roman" w:hAnsi="Times New Roman"/>
      <w:b/>
      <w:smallCaps/>
      <w:sz w:val="24"/>
      <w:szCs w:val="24"/>
    </w:rPr>
  </w:style>
  <w:style w:type="paragraph" w:customStyle="1" w:styleId="ManualHeading2">
    <w:name w:val="Manual Heading 2"/>
    <w:basedOn w:val="Normal"/>
    <w:next w:val="Text1"/>
    <w:uiPriority w:val="99"/>
    <w:pPr>
      <w:keepNext/>
      <w:tabs>
        <w:tab w:val="left" w:pos="850"/>
      </w:tabs>
      <w:spacing w:before="120" w:after="120" w:line="240" w:lineRule="auto"/>
      <w:ind w:left="850" w:hanging="850"/>
      <w:jc w:val="both"/>
      <w:outlineLvl w:val="1"/>
    </w:pPr>
    <w:rPr>
      <w:rFonts w:ascii="Times New Roman" w:eastAsia="Times New Roman" w:hAnsi="Times New Roman"/>
      <w:b/>
      <w:sz w:val="24"/>
      <w:szCs w:val="24"/>
    </w:rPr>
  </w:style>
  <w:style w:type="paragraph" w:customStyle="1" w:styleId="ManualHeading3">
    <w:name w:val="Manual Heading 3"/>
    <w:basedOn w:val="Normal"/>
    <w:next w:val="Text1"/>
    <w:uiPriority w:val="99"/>
    <w:pPr>
      <w:keepNext/>
      <w:tabs>
        <w:tab w:val="left" w:pos="850"/>
      </w:tabs>
      <w:spacing w:before="120" w:after="120" w:line="240" w:lineRule="auto"/>
      <w:ind w:left="850" w:hanging="850"/>
      <w:jc w:val="both"/>
      <w:outlineLvl w:val="2"/>
    </w:pPr>
    <w:rPr>
      <w:rFonts w:ascii="Times New Roman" w:eastAsia="Times New Roman" w:hAnsi="Times New Roman"/>
      <w:i/>
      <w:sz w:val="24"/>
      <w:szCs w:val="24"/>
    </w:rPr>
  </w:style>
  <w:style w:type="paragraph" w:customStyle="1" w:styleId="ManualHeading4">
    <w:name w:val="Manual Heading 4"/>
    <w:basedOn w:val="Normal"/>
    <w:next w:val="Text1"/>
    <w:uiPriority w:val="99"/>
    <w:pPr>
      <w:keepNext/>
      <w:tabs>
        <w:tab w:val="left" w:pos="850"/>
      </w:tabs>
      <w:spacing w:before="120" w:after="120" w:line="240" w:lineRule="auto"/>
      <w:ind w:left="850" w:hanging="850"/>
      <w:jc w:val="both"/>
      <w:outlineLvl w:val="3"/>
    </w:pPr>
    <w:rPr>
      <w:rFonts w:ascii="Times New Roman" w:eastAsia="Times New Roman" w:hAnsi="Times New Roman"/>
      <w:sz w:val="24"/>
      <w:szCs w:val="24"/>
    </w:rPr>
  </w:style>
  <w:style w:type="paragraph" w:customStyle="1" w:styleId="ChapterTitle">
    <w:name w:val="ChapterTitle"/>
    <w:basedOn w:val="Normal"/>
    <w:next w:val="Normal"/>
    <w:uiPriority w:val="99"/>
    <w:pPr>
      <w:keepNext/>
      <w:spacing w:before="120" w:after="360" w:line="240" w:lineRule="auto"/>
      <w:jc w:val="center"/>
    </w:pPr>
    <w:rPr>
      <w:rFonts w:ascii="Times New Roman" w:eastAsia="Times New Roman" w:hAnsi="Times New Roman"/>
      <w:b/>
      <w:sz w:val="32"/>
      <w:szCs w:val="24"/>
    </w:rPr>
  </w:style>
  <w:style w:type="paragraph" w:customStyle="1" w:styleId="PartTitle">
    <w:name w:val="PartTitle"/>
    <w:basedOn w:val="Normal"/>
    <w:next w:val="ChapterTitle"/>
    <w:uiPriority w:val="99"/>
    <w:pPr>
      <w:keepNext/>
      <w:pageBreakBefore/>
      <w:spacing w:before="120" w:after="360" w:line="240" w:lineRule="auto"/>
      <w:jc w:val="center"/>
    </w:pPr>
    <w:rPr>
      <w:rFonts w:ascii="Times New Roman" w:eastAsia="Times New Roman" w:hAnsi="Times New Roman"/>
      <w:b/>
      <w:sz w:val="36"/>
      <w:szCs w:val="24"/>
    </w:rPr>
  </w:style>
  <w:style w:type="paragraph" w:customStyle="1" w:styleId="SectionTitle">
    <w:name w:val="SectionTitle"/>
    <w:basedOn w:val="Normal"/>
    <w:next w:val="Heading1"/>
    <w:uiPriority w:val="99"/>
    <w:pPr>
      <w:keepNext/>
      <w:spacing w:before="120" w:after="360" w:line="240" w:lineRule="auto"/>
      <w:jc w:val="center"/>
    </w:pPr>
    <w:rPr>
      <w:rFonts w:ascii="Times New Roman" w:eastAsia="Times New Roman" w:hAnsi="Times New Roman"/>
      <w:b/>
      <w:smallCaps/>
      <w:sz w:val="28"/>
      <w:szCs w:val="24"/>
    </w:rPr>
  </w:style>
  <w:style w:type="paragraph" w:customStyle="1" w:styleId="TableTitle">
    <w:name w:val="Table Title"/>
    <w:basedOn w:val="Normal"/>
    <w:next w:val="Normal"/>
    <w:uiPriority w:val="99"/>
    <w:pPr>
      <w:spacing w:before="120" w:after="120" w:line="240" w:lineRule="auto"/>
      <w:jc w:val="center"/>
    </w:pPr>
    <w:rPr>
      <w:rFonts w:ascii="Times New Roman" w:eastAsia="Times New Roman" w:hAnsi="Times New Roman"/>
      <w:b/>
      <w:sz w:val="24"/>
      <w:szCs w:val="24"/>
    </w:rPr>
  </w:style>
  <w:style w:type="character" w:customStyle="1" w:styleId="Marker">
    <w:name w:val="Marker"/>
    <w:uiPriority w:val="99"/>
    <w:rPr>
      <w:rFonts w:cs="Times New Roman"/>
      <w:color w:val="0000FF"/>
      <w:shd w:val="clear" w:color="auto" w:fill="auto"/>
    </w:rPr>
  </w:style>
  <w:style w:type="character" w:customStyle="1" w:styleId="Marker1">
    <w:name w:val="Marker1"/>
    <w:uiPriority w:val="99"/>
    <w:rPr>
      <w:rFonts w:cs="Times New Roman"/>
      <w:color w:val="008000"/>
      <w:shd w:val="clear" w:color="auto" w:fill="auto"/>
    </w:rPr>
  </w:style>
  <w:style w:type="character" w:customStyle="1" w:styleId="Marker2">
    <w:name w:val="Marker2"/>
    <w:uiPriority w:val="99"/>
    <w:rPr>
      <w:rFonts w:cs="Times New Roman"/>
      <w:color w:val="FF0000"/>
      <w:shd w:val="clear" w:color="auto" w:fill="auto"/>
    </w:rPr>
  </w:style>
  <w:style w:type="paragraph" w:customStyle="1" w:styleId="Titolosommario">
    <w:name w:val="Titolo sommario"/>
    <w:basedOn w:val="Normal"/>
    <w:next w:val="Normal"/>
    <w:link w:val="TitolosommarioCarattere"/>
    <w:uiPriority w:val="39"/>
    <w:qFormat/>
    <w:pPr>
      <w:spacing w:before="120" w:after="240" w:line="240" w:lineRule="auto"/>
      <w:jc w:val="center"/>
    </w:pPr>
    <w:rPr>
      <w:rFonts w:ascii="Times New Roman" w:eastAsia="Times New Roman" w:hAnsi="Times New Roman"/>
      <w:b/>
      <w:sz w:val="28"/>
      <w:szCs w:val="24"/>
      <w:lang w:val="x-none"/>
    </w:rPr>
  </w:style>
  <w:style w:type="paragraph" w:customStyle="1" w:styleId="Point0number">
    <w:name w:val="Point 0 (number)"/>
    <w:basedOn w:val="Normal"/>
    <w:pPr>
      <w:numPr>
        <w:numId w:val="25"/>
      </w:numPr>
      <w:spacing w:before="120" w:after="120" w:line="240" w:lineRule="auto"/>
      <w:jc w:val="both"/>
    </w:pPr>
    <w:rPr>
      <w:rFonts w:ascii="Times New Roman" w:eastAsia="Times New Roman" w:hAnsi="Times New Roman"/>
      <w:sz w:val="24"/>
      <w:szCs w:val="24"/>
    </w:rPr>
  </w:style>
  <w:style w:type="paragraph" w:customStyle="1" w:styleId="Point1number">
    <w:name w:val="Point 1 (number)"/>
    <w:basedOn w:val="Normal"/>
    <w:pPr>
      <w:numPr>
        <w:ilvl w:val="2"/>
        <w:numId w:val="25"/>
      </w:numPr>
      <w:spacing w:before="120" w:after="120" w:line="240" w:lineRule="auto"/>
      <w:jc w:val="both"/>
    </w:pPr>
    <w:rPr>
      <w:rFonts w:ascii="Times New Roman" w:eastAsia="Times New Roman" w:hAnsi="Times New Roman"/>
      <w:sz w:val="24"/>
      <w:szCs w:val="24"/>
    </w:rPr>
  </w:style>
  <w:style w:type="paragraph" w:customStyle="1" w:styleId="Point2number">
    <w:name w:val="Point 2 (number)"/>
    <w:basedOn w:val="Normal"/>
    <w:pPr>
      <w:numPr>
        <w:ilvl w:val="4"/>
        <w:numId w:val="25"/>
      </w:numPr>
      <w:spacing w:before="120" w:after="120" w:line="240" w:lineRule="auto"/>
      <w:jc w:val="both"/>
    </w:pPr>
    <w:rPr>
      <w:rFonts w:ascii="Times New Roman" w:eastAsia="Times New Roman" w:hAnsi="Times New Roman"/>
      <w:sz w:val="24"/>
      <w:szCs w:val="24"/>
    </w:rPr>
  </w:style>
  <w:style w:type="paragraph" w:customStyle="1" w:styleId="Point3number">
    <w:name w:val="Point 3 (number)"/>
    <w:basedOn w:val="Normal"/>
    <w:pPr>
      <w:numPr>
        <w:ilvl w:val="6"/>
        <w:numId w:val="25"/>
      </w:numPr>
      <w:spacing w:before="120" w:after="120" w:line="240" w:lineRule="auto"/>
      <w:jc w:val="both"/>
    </w:pPr>
    <w:rPr>
      <w:rFonts w:ascii="Times New Roman" w:eastAsia="Times New Roman" w:hAnsi="Times New Roman"/>
      <w:sz w:val="24"/>
      <w:szCs w:val="24"/>
    </w:rPr>
  </w:style>
  <w:style w:type="paragraph" w:customStyle="1" w:styleId="Point0letter">
    <w:name w:val="Point 0 (letter)"/>
    <w:basedOn w:val="Normal"/>
    <w:pPr>
      <w:numPr>
        <w:ilvl w:val="1"/>
        <w:numId w:val="25"/>
      </w:numPr>
      <w:spacing w:before="120" w:after="120" w:line="240" w:lineRule="auto"/>
      <w:jc w:val="both"/>
    </w:pPr>
    <w:rPr>
      <w:rFonts w:ascii="Times New Roman" w:eastAsia="Times New Roman" w:hAnsi="Times New Roman"/>
      <w:sz w:val="24"/>
      <w:szCs w:val="24"/>
    </w:rPr>
  </w:style>
  <w:style w:type="paragraph" w:customStyle="1" w:styleId="Point1letter">
    <w:name w:val="Point 1 (letter)"/>
    <w:basedOn w:val="Normal"/>
    <w:pPr>
      <w:numPr>
        <w:ilvl w:val="3"/>
        <w:numId w:val="25"/>
      </w:numPr>
      <w:spacing w:before="120" w:after="120" w:line="240" w:lineRule="auto"/>
      <w:jc w:val="both"/>
    </w:pPr>
    <w:rPr>
      <w:rFonts w:ascii="Times New Roman" w:eastAsia="Times New Roman" w:hAnsi="Times New Roman"/>
      <w:sz w:val="24"/>
      <w:szCs w:val="24"/>
    </w:rPr>
  </w:style>
  <w:style w:type="paragraph" w:customStyle="1" w:styleId="Point2letter">
    <w:name w:val="Point 2 (letter)"/>
    <w:basedOn w:val="Normal"/>
    <w:pPr>
      <w:numPr>
        <w:ilvl w:val="5"/>
        <w:numId w:val="25"/>
      </w:numPr>
      <w:spacing w:before="120" w:after="120" w:line="240" w:lineRule="auto"/>
      <w:jc w:val="both"/>
    </w:pPr>
    <w:rPr>
      <w:rFonts w:ascii="Times New Roman" w:eastAsia="Times New Roman" w:hAnsi="Times New Roman"/>
      <w:sz w:val="24"/>
      <w:szCs w:val="24"/>
    </w:rPr>
  </w:style>
  <w:style w:type="paragraph" w:customStyle="1" w:styleId="Point3letter">
    <w:name w:val="Point 3 (letter)"/>
    <w:basedOn w:val="Normal"/>
    <w:pPr>
      <w:numPr>
        <w:ilvl w:val="7"/>
        <w:numId w:val="25"/>
      </w:numPr>
      <w:spacing w:before="120" w:after="120" w:line="240" w:lineRule="auto"/>
      <w:jc w:val="both"/>
    </w:pPr>
    <w:rPr>
      <w:rFonts w:ascii="Times New Roman" w:eastAsia="Times New Roman" w:hAnsi="Times New Roman"/>
      <w:sz w:val="24"/>
      <w:szCs w:val="24"/>
    </w:rPr>
  </w:style>
  <w:style w:type="paragraph" w:customStyle="1" w:styleId="Point4letter">
    <w:name w:val="Point 4 (letter)"/>
    <w:basedOn w:val="Normal"/>
    <w:pPr>
      <w:numPr>
        <w:ilvl w:val="8"/>
        <w:numId w:val="25"/>
      </w:numPr>
      <w:spacing w:before="120" w:after="120" w:line="240" w:lineRule="auto"/>
      <w:jc w:val="both"/>
    </w:pPr>
    <w:rPr>
      <w:rFonts w:ascii="Times New Roman" w:eastAsia="Times New Roman" w:hAnsi="Times New Roman"/>
      <w:sz w:val="24"/>
      <w:szCs w:val="24"/>
    </w:rPr>
  </w:style>
  <w:style w:type="paragraph" w:customStyle="1" w:styleId="Bullet0">
    <w:name w:val="Bullet 0"/>
    <w:basedOn w:val="Normal"/>
    <w:pPr>
      <w:numPr>
        <w:numId w:val="26"/>
      </w:numPr>
      <w:spacing w:before="120" w:after="120" w:line="240" w:lineRule="auto"/>
      <w:jc w:val="both"/>
    </w:pPr>
    <w:rPr>
      <w:rFonts w:ascii="Times New Roman" w:eastAsia="Times New Roman" w:hAnsi="Times New Roman"/>
      <w:sz w:val="24"/>
      <w:szCs w:val="24"/>
    </w:rPr>
  </w:style>
  <w:style w:type="paragraph" w:customStyle="1" w:styleId="Bullet1">
    <w:name w:val="Bullet 1"/>
    <w:basedOn w:val="Normal"/>
    <w:pPr>
      <w:numPr>
        <w:numId w:val="27"/>
      </w:numPr>
      <w:spacing w:before="120" w:after="120" w:line="240" w:lineRule="auto"/>
      <w:jc w:val="both"/>
    </w:pPr>
    <w:rPr>
      <w:rFonts w:ascii="Times New Roman" w:eastAsia="Times New Roman" w:hAnsi="Times New Roman"/>
      <w:sz w:val="24"/>
      <w:szCs w:val="24"/>
    </w:rPr>
  </w:style>
  <w:style w:type="paragraph" w:customStyle="1" w:styleId="Bullet2">
    <w:name w:val="Bullet 2"/>
    <w:basedOn w:val="Normal"/>
    <w:pPr>
      <w:numPr>
        <w:numId w:val="28"/>
      </w:numPr>
      <w:spacing w:before="120" w:after="120" w:line="240" w:lineRule="auto"/>
      <w:jc w:val="both"/>
    </w:pPr>
    <w:rPr>
      <w:rFonts w:ascii="Times New Roman" w:eastAsia="Times New Roman" w:hAnsi="Times New Roman"/>
      <w:sz w:val="24"/>
      <w:szCs w:val="24"/>
    </w:rPr>
  </w:style>
  <w:style w:type="paragraph" w:customStyle="1" w:styleId="Bullet3">
    <w:name w:val="Bullet 3"/>
    <w:basedOn w:val="Normal"/>
    <w:pPr>
      <w:numPr>
        <w:numId w:val="29"/>
      </w:numPr>
      <w:spacing w:before="120" w:after="120" w:line="240" w:lineRule="auto"/>
      <w:jc w:val="both"/>
    </w:pPr>
    <w:rPr>
      <w:rFonts w:ascii="Times New Roman" w:eastAsia="Times New Roman" w:hAnsi="Times New Roman"/>
      <w:sz w:val="24"/>
      <w:szCs w:val="24"/>
    </w:rPr>
  </w:style>
  <w:style w:type="paragraph" w:customStyle="1" w:styleId="Bullet4">
    <w:name w:val="Bullet 4"/>
    <w:basedOn w:val="Normal"/>
    <w:pPr>
      <w:numPr>
        <w:numId w:val="30"/>
      </w:numPr>
      <w:spacing w:before="120" w:after="120" w:line="240" w:lineRule="auto"/>
      <w:jc w:val="both"/>
    </w:pPr>
    <w:rPr>
      <w:rFonts w:ascii="Times New Roman" w:eastAsia="Times New Roman" w:hAnsi="Times New Roman"/>
      <w:sz w:val="24"/>
      <w:szCs w:val="24"/>
    </w:rPr>
  </w:style>
  <w:style w:type="paragraph" w:customStyle="1" w:styleId="Annexetitreexpos">
    <w:name w:val="Annexe titre (exposé)"/>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
    <w:name w:val="Annex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fichefinancire">
    <w:name w:val="Annexe titre (fiche financiè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pplicationdirecte">
    <w:name w:val="Application directe"/>
    <w:basedOn w:val="Normal"/>
    <w:next w:val="Fait"/>
    <w:uiPriority w:val="99"/>
    <w:pPr>
      <w:spacing w:before="480" w:after="120" w:line="240" w:lineRule="auto"/>
      <w:jc w:val="both"/>
    </w:pPr>
    <w:rPr>
      <w:rFonts w:ascii="Times New Roman" w:eastAsia="Times New Roman" w:hAnsi="Times New Roman"/>
      <w:sz w:val="24"/>
      <w:szCs w:val="24"/>
    </w:rPr>
  </w:style>
  <w:style w:type="paragraph" w:customStyle="1" w:styleId="Fait">
    <w:name w:val="Fait à"/>
    <w:basedOn w:val="Normal"/>
    <w:next w:val="Institutionquisigne"/>
    <w:uiPriority w:val="99"/>
    <w:pPr>
      <w:keepNext/>
      <w:spacing w:before="120" w:after="0" w:line="240" w:lineRule="auto"/>
      <w:jc w:val="both"/>
    </w:pPr>
    <w:rPr>
      <w:rFonts w:ascii="Times New Roman" w:eastAsia="Times New Roman" w:hAnsi="Times New Roman"/>
      <w:sz w:val="24"/>
      <w:szCs w:val="24"/>
    </w:rPr>
  </w:style>
  <w:style w:type="paragraph" w:customStyle="1" w:styleId="Institutionquisigne">
    <w:name w:val="Institution qui signe"/>
    <w:basedOn w:val="Normal"/>
    <w:next w:val="Personnequisigne"/>
    <w:uiPriority w:val="99"/>
    <w:pPr>
      <w:keepNext/>
      <w:tabs>
        <w:tab w:val="left" w:pos="4252"/>
      </w:tabs>
      <w:spacing w:before="720" w:after="0" w:line="240" w:lineRule="auto"/>
      <w:jc w:val="both"/>
    </w:pPr>
    <w:rPr>
      <w:rFonts w:ascii="Times New Roman" w:eastAsia="Times New Roman" w:hAnsi="Times New Roman"/>
      <w:i/>
      <w:sz w:val="24"/>
      <w:szCs w:val="24"/>
    </w:rPr>
  </w:style>
  <w:style w:type="paragraph" w:customStyle="1" w:styleId="Personnequisigne">
    <w:name w:val="Personne qui signe"/>
    <w:basedOn w:val="Normal"/>
    <w:next w:val="Institutionquisigne"/>
    <w:uiPriority w:val="99"/>
    <w:pPr>
      <w:tabs>
        <w:tab w:val="left" w:pos="4252"/>
      </w:tabs>
      <w:spacing w:before="40" w:after="0" w:line="240" w:lineRule="auto"/>
      <w:jc w:val="both"/>
    </w:pPr>
    <w:rPr>
      <w:rFonts w:ascii="Times New Roman" w:eastAsia="Times New Roman" w:hAnsi="Times New Roman"/>
      <w:i/>
      <w:sz w:val="24"/>
      <w:szCs w:val="24"/>
    </w:rPr>
  </w:style>
  <w:style w:type="paragraph" w:customStyle="1" w:styleId="Avertissementtitre">
    <w:name w:val="Avertissement titre"/>
    <w:basedOn w:val="Normal"/>
    <w:next w:val="Normal"/>
    <w:uiPriority w:val="99"/>
    <w:pPr>
      <w:keepNext/>
      <w:spacing w:before="480" w:after="120" w:line="240" w:lineRule="auto"/>
      <w:jc w:val="both"/>
    </w:pPr>
    <w:rPr>
      <w:rFonts w:ascii="Times New Roman" w:eastAsia="Times New Roman" w:hAnsi="Times New Roman"/>
      <w:sz w:val="24"/>
      <w:szCs w:val="24"/>
      <w:u w:val="single"/>
    </w:rPr>
  </w:style>
  <w:style w:type="paragraph" w:customStyle="1" w:styleId="Confidence">
    <w:name w:val="Confidence"/>
    <w:basedOn w:val="Normal"/>
    <w:next w:val="Normal"/>
    <w:uiPriority w:val="99"/>
    <w:pPr>
      <w:spacing w:before="360" w:after="120" w:line="240" w:lineRule="auto"/>
      <w:jc w:val="center"/>
    </w:pPr>
    <w:rPr>
      <w:rFonts w:ascii="Times New Roman" w:eastAsia="Times New Roman" w:hAnsi="Times New Roman"/>
      <w:sz w:val="24"/>
      <w:szCs w:val="24"/>
    </w:rPr>
  </w:style>
  <w:style w:type="paragraph" w:customStyle="1" w:styleId="Confidentialit">
    <w:name w:val="Confidentialité"/>
    <w:basedOn w:val="Normal"/>
    <w:next w:val="TypedudocumentPagedecouverture"/>
    <w:uiPriority w:val="99"/>
    <w:pPr>
      <w:spacing w:before="240" w:after="240" w:line="240" w:lineRule="auto"/>
      <w:ind w:left="5103"/>
      <w:jc w:val="both"/>
    </w:pPr>
    <w:rPr>
      <w:rFonts w:ascii="Times New Roman" w:eastAsia="Times New Roman" w:hAnsi="Times New Roman"/>
      <w:i/>
      <w:sz w:val="32"/>
      <w:szCs w:val="24"/>
    </w:rPr>
  </w:style>
  <w:style w:type="paragraph" w:customStyle="1" w:styleId="TypedudocumentPagedecouverture">
    <w:name w:val="Type du document (Page de couverture)"/>
    <w:basedOn w:val="Typedudocument"/>
    <w:next w:val="TitreobjetPagedecouverture"/>
    <w:uiPriority w:val="99"/>
  </w:style>
  <w:style w:type="paragraph" w:customStyle="1" w:styleId="Typedudocument">
    <w:name w:val="Type du document"/>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Titreobjet">
    <w:name w:val="Titre objet"/>
    <w:basedOn w:val="Normal"/>
    <w:next w:val="Sous-titreobjet"/>
    <w:uiPriority w:val="99"/>
    <w:pPr>
      <w:spacing w:before="360" w:after="360" w:line="240" w:lineRule="auto"/>
      <w:jc w:val="center"/>
    </w:pPr>
    <w:rPr>
      <w:rFonts w:ascii="Times New Roman" w:eastAsia="Times New Roman" w:hAnsi="Times New Roman"/>
      <w:b/>
      <w:sz w:val="24"/>
      <w:szCs w:val="24"/>
    </w:rPr>
  </w:style>
  <w:style w:type="paragraph" w:customStyle="1" w:styleId="Sous-titreobjet">
    <w:name w:val="Sous-titre objet"/>
    <w:basedOn w:val="Normal"/>
    <w:uiPriority w:val="99"/>
    <w:pPr>
      <w:spacing w:before="40" w:after="0" w:line="240" w:lineRule="auto"/>
      <w:jc w:val="center"/>
    </w:pPr>
    <w:rPr>
      <w:rFonts w:ascii="Times New Roman" w:eastAsia="Times New Roman" w:hAnsi="Times New Roman"/>
      <w:b/>
      <w:sz w:val="24"/>
      <w:szCs w:val="24"/>
    </w:rPr>
  </w:style>
  <w:style w:type="paragraph" w:customStyle="1" w:styleId="TitreobjetPagedecouverture">
    <w:name w:val="Titre objet (Page de couverture)"/>
    <w:basedOn w:val="Titreobjet"/>
    <w:next w:val="Sous-titreobjetPagedecouverture"/>
    <w:uiPriority w:val="99"/>
  </w:style>
  <w:style w:type="paragraph" w:customStyle="1" w:styleId="Sous-titreobjetPagedecouverture">
    <w:name w:val="Sous-titre objet (Page de couverture)"/>
    <w:basedOn w:val="Sous-titreobjet"/>
    <w:uiPriority w:val="99"/>
  </w:style>
  <w:style w:type="paragraph" w:customStyle="1" w:styleId="Considrant">
    <w:name w:val="Considérant"/>
    <w:basedOn w:val="Normal"/>
    <w:pPr>
      <w:numPr>
        <w:numId w:val="31"/>
      </w:numPr>
      <w:spacing w:before="120" w:after="120" w:line="240" w:lineRule="auto"/>
      <w:jc w:val="both"/>
    </w:pPr>
    <w:rPr>
      <w:rFonts w:ascii="Times New Roman" w:eastAsia="Times New Roman" w:hAnsi="Times New Roman"/>
      <w:sz w:val="24"/>
      <w:szCs w:val="24"/>
    </w:rPr>
  </w:style>
  <w:style w:type="paragraph" w:customStyle="1" w:styleId="Corrigendum">
    <w:name w:val="Corrigendum"/>
    <w:basedOn w:val="Normal"/>
    <w:next w:val="Normal"/>
    <w:uiPriority w:val="99"/>
    <w:pPr>
      <w:spacing w:before="40" w:after="240" w:line="240" w:lineRule="auto"/>
      <w:jc w:val="both"/>
    </w:pPr>
    <w:rPr>
      <w:rFonts w:ascii="Times New Roman" w:eastAsia="Times New Roman" w:hAnsi="Times New Roman"/>
      <w:sz w:val="24"/>
      <w:szCs w:val="24"/>
    </w:rPr>
  </w:style>
  <w:style w:type="paragraph" w:customStyle="1" w:styleId="Datedadoption">
    <w:name w:val="Date d'adoption"/>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Emission">
    <w:name w:val="Emission"/>
    <w:basedOn w:val="Normal"/>
    <w:next w:val="Rfrence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stitutionnelle">
    <w:name w:val="Référence institutionnell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Exposdesmotifstitre">
    <w:name w:val="Exposé des motifs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Formuledadoption">
    <w:name w:val="Formule d'adoption"/>
    <w:basedOn w:val="Normal"/>
    <w:next w:val="Titrearticle"/>
    <w:uiPriority w:val="99"/>
    <w:pPr>
      <w:keepNext/>
      <w:spacing w:before="120" w:after="120" w:line="240" w:lineRule="auto"/>
      <w:jc w:val="both"/>
    </w:pPr>
    <w:rPr>
      <w:rFonts w:ascii="Times New Roman" w:eastAsia="Times New Roman" w:hAnsi="Times New Roman"/>
      <w:sz w:val="24"/>
      <w:szCs w:val="24"/>
    </w:rPr>
  </w:style>
  <w:style w:type="paragraph" w:customStyle="1" w:styleId="Titrearticle">
    <w:name w:val="Titre article"/>
    <w:basedOn w:val="Normal"/>
    <w:next w:val="Normal"/>
    <w:uiPriority w:val="99"/>
    <w:pPr>
      <w:keepNext/>
      <w:spacing w:before="360" w:after="120" w:line="240" w:lineRule="auto"/>
      <w:jc w:val="center"/>
    </w:pPr>
    <w:rPr>
      <w:rFonts w:ascii="Times New Roman" w:eastAsia="Times New Roman" w:hAnsi="Times New Roman"/>
      <w:i/>
      <w:sz w:val="24"/>
      <w:szCs w:val="24"/>
    </w:rPr>
  </w:style>
  <w:style w:type="paragraph" w:customStyle="1" w:styleId="Institutionquiagit">
    <w:name w:val="Institution qui agit"/>
    <w:basedOn w:val="Normal"/>
    <w:next w:val="Normal"/>
    <w:uiPriority w:val="99"/>
    <w:pPr>
      <w:keepNext/>
      <w:spacing w:before="600" w:after="120" w:line="240" w:lineRule="auto"/>
      <w:jc w:val="both"/>
    </w:pPr>
    <w:rPr>
      <w:rFonts w:ascii="Times New Roman" w:eastAsia="Times New Roman" w:hAnsi="Times New Roman"/>
      <w:sz w:val="24"/>
      <w:szCs w:val="24"/>
    </w:rPr>
  </w:style>
  <w:style w:type="paragraph" w:customStyle="1" w:styleId="Langue">
    <w:name w:val="Langue"/>
    <w:basedOn w:val="Normal"/>
    <w:next w:val="Rfrenceinterne"/>
    <w:pPr>
      <w:framePr w:wrap="around" w:vAnchor="page" w:hAnchor="text" w:xAlign="center" w:y="14741"/>
      <w:spacing w:before="40" w:after="600" w:line="240" w:lineRule="auto"/>
      <w:jc w:val="center"/>
    </w:pPr>
    <w:rPr>
      <w:rFonts w:ascii="Times New Roman" w:eastAsia="Times New Roman" w:hAnsi="Times New Roman"/>
      <w:b/>
      <w:caps/>
      <w:sz w:val="24"/>
      <w:szCs w:val="24"/>
    </w:rPr>
  </w:style>
  <w:style w:type="paragraph" w:customStyle="1" w:styleId="Rfrenceinterne">
    <w:name w:val="Référence interne"/>
    <w:basedOn w:val="Normal"/>
    <w:next w:val="Rfrenceinter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terinstitutionnelle">
    <w:name w:val="Référence interinstitutionnelle"/>
    <w:basedOn w:val="Normal"/>
    <w:next w:val="Statut"/>
    <w:uiPriority w:val="99"/>
    <w:pPr>
      <w:spacing w:before="40" w:after="0" w:line="240" w:lineRule="auto"/>
      <w:ind w:left="5103"/>
      <w:jc w:val="both"/>
    </w:pPr>
    <w:rPr>
      <w:rFonts w:ascii="Times New Roman" w:eastAsia="Times New Roman" w:hAnsi="Times New Roman"/>
      <w:sz w:val="24"/>
      <w:szCs w:val="24"/>
    </w:rPr>
  </w:style>
  <w:style w:type="paragraph" w:customStyle="1" w:styleId="Statut">
    <w:name w:val="Statut"/>
    <w:basedOn w:val="Normal"/>
    <w:next w:val="Typedudocument"/>
    <w:uiPriority w:val="99"/>
    <w:pPr>
      <w:spacing w:before="360" w:after="0" w:line="240" w:lineRule="auto"/>
      <w:jc w:val="center"/>
    </w:pPr>
    <w:rPr>
      <w:rFonts w:ascii="Times New Roman" w:eastAsia="Times New Roman" w:hAnsi="Times New Roman"/>
      <w:sz w:val="24"/>
      <w:szCs w:val="24"/>
    </w:rPr>
  </w:style>
  <w:style w:type="paragraph" w:customStyle="1" w:styleId="ManualConsidrant">
    <w:name w:val="Manual Considérant"/>
    <w:basedOn w:val="Normal"/>
    <w:uiPriority w:val="99"/>
    <w:pPr>
      <w:spacing w:before="120" w:after="120" w:line="240" w:lineRule="auto"/>
      <w:ind w:left="709" w:hanging="709"/>
      <w:jc w:val="both"/>
    </w:pPr>
    <w:rPr>
      <w:rFonts w:ascii="Times New Roman" w:eastAsia="Times New Roman" w:hAnsi="Times New Roman"/>
      <w:sz w:val="24"/>
      <w:szCs w:val="24"/>
    </w:rPr>
  </w:style>
  <w:style w:type="paragraph" w:customStyle="1" w:styleId="Nomdelinstitution">
    <w:name w:val="Nom de l'institution"/>
    <w:basedOn w:val="Normal"/>
    <w:next w:val="Emission"/>
    <w:uiPriority w:val="99"/>
    <w:pPr>
      <w:spacing w:before="40" w:after="0" w:line="240" w:lineRule="auto"/>
      <w:jc w:val="both"/>
    </w:pPr>
    <w:rPr>
      <w:rFonts w:ascii="Arial" w:eastAsia="Times New Roman" w:hAnsi="Arial" w:cs="Arial"/>
      <w:sz w:val="24"/>
      <w:szCs w:val="24"/>
    </w:rPr>
  </w:style>
  <w:style w:type="character" w:customStyle="1" w:styleId="Added">
    <w:name w:val="Added"/>
    <w:uiPriority w:val="99"/>
    <w:rPr>
      <w:rFonts w:cs="Times New Roman"/>
      <w:b/>
      <w:u w:val="single"/>
      <w:shd w:val="clear" w:color="auto" w:fill="auto"/>
    </w:rPr>
  </w:style>
  <w:style w:type="character" w:customStyle="1" w:styleId="Deleted">
    <w:name w:val="Deleted"/>
    <w:uiPriority w:val="99"/>
    <w:rPr>
      <w:rFonts w:cs="Times New Roman"/>
      <w:strike/>
      <w:shd w:val="clear" w:color="auto" w:fill="auto"/>
    </w:rPr>
  </w:style>
  <w:style w:type="paragraph" w:customStyle="1" w:styleId="Address">
    <w:name w:val="Address"/>
    <w:basedOn w:val="Normal"/>
    <w:next w:val="Normal"/>
    <w:uiPriority w:val="99"/>
    <w:pPr>
      <w:keepLines/>
      <w:spacing w:before="120" w:after="120" w:line="360" w:lineRule="auto"/>
      <w:ind w:left="3402"/>
      <w:jc w:val="both"/>
    </w:pPr>
    <w:rPr>
      <w:rFonts w:ascii="Times New Roman" w:eastAsia="Times New Roman" w:hAnsi="Times New Roman"/>
      <w:sz w:val="24"/>
      <w:szCs w:val="24"/>
    </w:rPr>
  </w:style>
  <w:style w:type="paragraph" w:customStyle="1" w:styleId="Objetexterne">
    <w:name w:val="Objet externe"/>
    <w:basedOn w:val="Normal"/>
    <w:next w:val="Normal"/>
    <w:uiPriority w:val="99"/>
    <w:pPr>
      <w:spacing w:before="120" w:after="120" w:line="240" w:lineRule="auto"/>
      <w:jc w:val="both"/>
    </w:pPr>
    <w:rPr>
      <w:rFonts w:ascii="Times New Roman" w:eastAsia="Times New Roman" w:hAnsi="Times New Roman"/>
      <w:i/>
      <w:caps/>
      <w:sz w:val="24"/>
      <w:szCs w:val="24"/>
    </w:rPr>
  </w:style>
  <w:style w:type="paragraph" w:customStyle="1" w:styleId="Pagedecouverture">
    <w:name w:val="Page de couverture"/>
    <w:basedOn w:val="Normal"/>
    <w:next w:val="Normal"/>
    <w:uiPriority w:val="99"/>
    <w:pPr>
      <w:spacing w:before="120" w:after="120" w:line="240" w:lineRule="auto"/>
      <w:jc w:val="both"/>
    </w:pPr>
    <w:rPr>
      <w:rFonts w:ascii="Times New Roman" w:eastAsia="Times New Roman" w:hAnsi="Times New Roman"/>
      <w:sz w:val="24"/>
      <w:szCs w:val="24"/>
    </w:rPr>
  </w:style>
  <w:style w:type="paragraph" w:customStyle="1" w:styleId="Supertitre">
    <w:name w:val="Supertitre"/>
    <w:basedOn w:val="Normal"/>
    <w:next w:val="Normal"/>
    <w:uiPriority w:val="99"/>
    <w:pPr>
      <w:spacing w:before="40" w:after="600" w:line="240" w:lineRule="auto"/>
      <w:jc w:val="center"/>
    </w:pPr>
    <w:rPr>
      <w:rFonts w:ascii="Times New Roman" w:eastAsia="Times New Roman" w:hAnsi="Times New Roman"/>
      <w:b/>
      <w:sz w:val="24"/>
      <w:szCs w:val="24"/>
    </w:rPr>
  </w:style>
  <w:style w:type="paragraph" w:customStyle="1" w:styleId="Languesfaisantfoi">
    <w:name w:val="Langues faisant foi"/>
    <w:basedOn w:val="Normal"/>
    <w:next w:val="Normal"/>
    <w:uiPriority w:val="99"/>
    <w:pPr>
      <w:spacing w:before="360" w:after="0" w:line="240" w:lineRule="auto"/>
      <w:jc w:val="center"/>
    </w:pPr>
    <w:rPr>
      <w:rFonts w:ascii="Times New Roman" w:eastAsia="Times New Roman" w:hAnsi="Times New Roman"/>
      <w:sz w:val="24"/>
      <w:szCs w:val="24"/>
    </w:rPr>
  </w:style>
  <w:style w:type="paragraph" w:customStyle="1" w:styleId="Rfrencecroise">
    <w:name w:val="Référence croisée"/>
    <w:basedOn w:val="Normal"/>
    <w:uiPriority w:val="99"/>
    <w:pPr>
      <w:spacing w:before="40" w:after="0" w:line="240" w:lineRule="auto"/>
      <w:jc w:val="center"/>
    </w:pPr>
    <w:rPr>
      <w:rFonts w:ascii="Times New Roman" w:eastAsia="Times New Roman" w:hAnsi="Times New Roman"/>
      <w:sz w:val="24"/>
      <w:szCs w:val="24"/>
    </w:rPr>
  </w:style>
  <w:style w:type="paragraph" w:customStyle="1" w:styleId="Fichefinanciretitre">
    <w:name w:val="Fiche financièr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DatedadoptionPagedecouverture">
    <w:name w:val="Date d'adoption (Page de couverture)"/>
    <w:basedOn w:val="Datedadoption"/>
    <w:next w:val="TitreobjetPagedecouverture"/>
    <w:uiPriority w:val="99"/>
  </w:style>
  <w:style w:type="paragraph" w:customStyle="1" w:styleId="RfrenceinterinstitutionnellePagedecouverture">
    <w:name w:val="Référence interinstitutionnelle (Page de couverture)"/>
    <w:basedOn w:val="Rfrenceinterinstitutionnelle"/>
    <w:next w:val="Confidentialit"/>
    <w:uiPriority w:val="99"/>
  </w:style>
  <w:style w:type="paragraph" w:customStyle="1" w:styleId="StatutPagedecouverture">
    <w:name w:val="Statut (Page de couverture)"/>
    <w:basedOn w:val="Statut"/>
    <w:next w:val="TypedudocumentPagedecouverture"/>
    <w:uiPriority w:val="99"/>
  </w:style>
  <w:style w:type="paragraph" w:customStyle="1" w:styleId="Volume">
    <w:name w:val="Volum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IntrtEEE">
    <w:name w:val="Intérêt EEE"/>
    <w:basedOn w:val="Languesfaisantfoi"/>
    <w:next w:val="Normal"/>
    <w:uiPriority w:val="99"/>
    <w:pPr>
      <w:spacing w:after="240"/>
    </w:pPr>
  </w:style>
  <w:style w:type="paragraph" w:customStyle="1" w:styleId="Accompagnant">
    <w:name w:val="Accompagnant"/>
    <w:basedOn w:val="Normal"/>
    <w:next w:val="Typeacteprincipal"/>
    <w:uiPriority w:val="99"/>
    <w:pPr>
      <w:spacing w:before="40" w:after="240" w:line="240" w:lineRule="auto"/>
      <w:jc w:val="center"/>
    </w:pPr>
    <w:rPr>
      <w:rFonts w:ascii="Times New Roman" w:eastAsia="Times New Roman" w:hAnsi="Times New Roman"/>
      <w:b/>
      <w:i/>
      <w:sz w:val="24"/>
      <w:szCs w:val="24"/>
    </w:rPr>
  </w:style>
  <w:style w:type="paragraph" w:customStyle="1" w:styleId="Typeacteprincipal">
    <w:name w:val="Type acte principal"/>
    <w:basedOn w:val="Normal"/>
    <w:next w:val="Objetacteprincipal"/>
    <w:uiPriority w:val="99"/>
    <w:pPr>
      <w:spacing w:before="40" w:after="240" w:line="240" w:lineRule="auto"/>
      <w:jc w:val="center"/>
    </w:pPr>
    <w:rPr>
      <w:rFonts w:ascii="Times New Roman" w:eastAsia="Times New Roman" w:hAnsi="Times New Roman"/>
      <w:b/>
      <w:sz w:val="24"/>
      <w:szCs w:val="24"/>
    </w:rPr>
  </w:style>
  <w:style w:type="paragraph" w:customStyle="1" w:styleId="Objetacteprincipal">
    <w:name w:val="Objet acte principal"/>
    <w:basedOn w:val="Normal"/>
    <w:next w:val="Titrearticle"/>
    <w:uiPriority w:val="99"/>
    <w:pPr>
      <w:spacing w:before="40" w:after="360" w:line="240" w:lineRule="auto"/>
      <w:jc w:val="center"/>
    </w:pPr>
    <w:rPr>
      <w:rFonts w:ascii="Times New Roman" w:eastAsia="Times New Roman" w:hAnsi="Times New Roman"/>
      <w:b/>
      <w:sz w:val="24"/>
      <w:szCs w:val="24"/>
    </w:rPr>
  </w:style>
  <w:style w:type="paragraph" w:customStyle="1" w:styleId="IntrtEEEPagedecouverture">
    <w:name w:val="Intérêt EEE (Page de couverture)"/>
    <w:basedOn w:val="IntrtEEE"/>
    <w:next w:val="Rfrencecroise"/>
    <w:uiPriority w:val="99"/>
  </w:style>
  <w:style w:type="paragraph" w:customStyle="1" w:styleId="AccompagnantPagedecouverture">
    <w:name w:val="Accompagnant (Page de couverture)"/>
    <w:basedOn w:val="Accompagnant"/>
    <w:next w:val="TypeacteprincipalPagedecouverture"/>
    <w:uiPriority w:val="99"/>
  </w:style>
  <w:style w:type="paragraph" w:customStyle="1" w:styleId="TypeacteprincipalPagedecouverture">
    <w:name w:val="Type acte principal (Page de couverture)"/>
    <w:basedOn w:val="Typeacteprincipal"/>
    <w:next w:val="ObjetacteprincipalPagedecouverture"/>
    <w:uiPriority w:val="99"/>
  </w:style>
  <w:style w:type="paragraph" w:customStyle="1" w:styleId="ObjetacteprincipalPagedecouverture">
    <w:name w:val="Objet acte principal (Page de couverture)"/>
    <w:basedOn w:val="Objetacteprincipal"/>
    <w:next w:val="Rfrencecroise"/>
    <w:uiPriority w:val="99"/>
  </w:style>
  <w:style w:type="paragraph" w:customStyle="1" w:styleId="LanguesfaisantfoiPagedecouverture">
    <w:name w:val="Langues faisant foi (Page de couverture)"/>
    <w:basedOn w:val="Normal"/>
    <w:next w:val="Normal"/>
    <w:uiPriority w:val="99"/>
    <w:pPr>
      <w:spacing w:before="360" w:after="0" w:line="240" w:lineRule="auto"/>
      <w:jc w:val="center"/>
    </w:pPr>
    <w:rPr>
      <w:rFonts w:ascii="Times New Roman" w:eastAsia="Times New Roman" w:hAnsi="Times New Roman"/>
      <w:sz w:val="24"/>
      <w:szCs w:val="24"/>
    </w:rPr>
  </w:style>
  <w:style w:type="paragraph" w:styleId="ListBullet">
    <w:name w:val="List Bullet"/>
    <w:basedOn w:val="Normal"/>
    <w:uiPriority w:val="99"/>
    <w:pPr>
      <w:numPr>
        <w:numId w:val="13"/>
      </w:numPr>
      <w:tabs>
        <w:tab w:val="clear" w:pos="643"/>
        <w:tab w:val="num" w:pos="926"/>
        <w:tab w:val="num" w:pos="1984"/>
      </w:tabs>
      <w:spacing w:before="120" w:after="120" w:line="240" w:lineRule="auto"/>
      <w:ind w:left="360"/>
      <w:jc w:val="both"/>
    </w:pPr>
    <w:rPr>
      <w:rFonts w:ascii="Times New Roman" w:eastAsia="Times New Roman" w:hAnsi="Times New Roman"/>
      <w:sz w:val="24"/>
      <w:szCs w:val="24"/>
    </w:rPr>
  </w:style>
  <w:style w:type="paragraph" w:styleId="ListBullet2">
    <w:name w:val="List Bullet 2"/>
    <w:basedOn w:val="Normal"/>
    <w:uiPriority w:val="99"/>
    <w:pPr>
      <w:numPr>
        <w:numId w:val="14"/>
      </w:numPr>
      <w:tabs>
        <w:tab w:val="clear" w:pos="926"/>
        <w:tab w:val="num" w:pos="643"/>
        <w:tab w:val="num" w:pos="1209"/>
        <w:tab w:val="num" w:pos="2551"/>
      </w:tabs>
      <w:spacing w:before="120" w:after="120" w:line="240" w:lineRule="auto"/>
      <w:ind w:left="643"/>
      <w:jc w:val="both"/>
    </w:pPr>
    <w:rPr>
      <w:rFonts w:ascii="Times New Roman" w:eastAsia="Times New Roman" w:hAnsi="Times New Roman"/>
      <w:sz w:val="24"/>
      <w:szCs w:val="24"/>
    </w:rPr>
  </w:style>
  <w:style w:type="paragraph" w:styleId="ListBullet3">
    <w:name w:val="List Bullet 3"/>
    <w:basedOn w:val="Normal"/>
    <w:uiPriority w:val="99"/>
    <w:pPr>
      <w:numPr>
        <w:numId w:val="8"/>
      </w:numPr>
      <w:tabs>
        <w:tab w:val="clear" w:pos="360"/>
        <w:tab w:val="num" w:pos="926"/>
        <w:tab w:val="num" w:pos="3118"/>
      </w:tabs>
      <w:spacing w:before="120" w:after="120" w:line="240" w:lineRule="auto"/>
      <w:ind w:left="926"/>
      <w:jc w:val="both"/>
    </w:pPr>
    <w:rPr>
      <w:rFonts w:ascii="Times New Roman" w:eastAsia="Times New Roman" w:hAnsi="Times New Roman"/>
      <w:sz w:val="24"/>
      <w:szCs w:val="24"/>
    </w:rPr>
  </w:style>
  <w:style w:type="paragraph" w:styleId="ListBullet4">
    <w:name w:val="List Bullet 4"/>
    <w:basedOn w:val="Normal"/>
    <w:uiPriority w:val="99"/>
    <w:pPr>
      <w:numPr>
        <w:numId w:val="9"/>
      </w:numPr>
      <w:tabs>
        <w:tab w:val="num" w:pos="709"/>
        <w:tab w:val="num" w:pos="1209"/>
      </w:tabs>
      <w:spacing w:before="120" w:after="120" w:line="240" w:lineRule="auto"/>
      <w:ind w:left="1209"/>
      <w:jc w:val="both"/>
    </w:pPr>
    <w:rPr>
      <w:rFonts w:ascii="Times New Roman" w:eastAsia="Times New Roman" w:hAnsi="Times New Roman"/>
      <w:sz w:val="24"/>
      <w:szCs w:val="24"/>
    </w:rPr>
  </w:style>
  <w:style w:type="character" w:styleId="Emphasis">
    <w:name w:val="Emphasis"/>
    <w:uiPriority w:val="20"/>
    <w:qFormat/>
    <w:rPr>
      <w:rFonts w:cs="Times New Roman"/>
      <w:i/>
    </w:rPr>
  </w:style>
  <w:style w:type="paragraph" w:styleId="NormalWeb">
    <w:name w:val="Normal (Web)"/>
    <w:basedOn w:val="Normal"/>
    <w:uiPriority w:val="99"/>
    <w:pPr>
      <w:spacing w:before="100" w:beforeAutospacing="1" w:after="115" w:line="240" w:lineRule="auto"/>
      <w:jc w:val="both"/>
    </w:pPr>
    <w:rPr>
      <w:rFonts w:ascii="Times" w:eastAsia="Times New Roman" w:hAnsi="Times"/>
      <w:sz w:val="20"/>
      <w:szCs w:val="20"/>
      <w:lang w:val="en-US"/>
    </w:rPr>
  </w:style>
  <w:style w:type="paragraph" w:styleId="PlainText">
    <w:name w:val="Plain Text"/>
    <w:basedOn w:val="Normal"/>
    <w:link w:val="PlainTextChar1"/>
    <w:uiPriority w:val="99"/>
    <w:pPr>
      <w:widowControl w:val="0"/>
      <w:suppressAutoHyphens/>
      <w:spacing w:before="40" w:after="0" w:line="240" w:lineRule="auto"/>
      <w:jc w:val="both"/>
    </w:pPr>
    <w:rPr>
      <w:rFonts w:ascii="Arial" w:eastAsia="Arial Unicode MS" w:hAnsi="Arial" w:cs="Arial Unicode MS"/>
      <w:kern w:val="1"/>
      <w:sz w:val="24"/>
      <w:szCs w:val="24"/>
      <w:lang w:eastAsia="hi-IN" w:bidi="hi-IN"/>
    </w:rPr>
  </w:style>
  <w:style w:type="character" w:customStyle="1" w:styleId="PlainTextChar">
    <w:name w:val="Plain Text Char"/>
    <w:rPr>
      <w:rFonts w:ascii="Courier New" w:hAnsi="Courier New" w:cs="Courier New"/>
      <w:lang w:val="en-GB" w:eastAsia="en-US"/>
    </w:rPr>
  </w:style>
  <w:style w:type="character" w:customStyle="1" w:styleId="PlainTextChar1">
    <w:name w:val="Plain Text Char1"/>
    <w:link w:val="PlainText"/>
    <w:uiPriority w:val="99"/>
    <w:rPr>
      <w:rFonts w:ascii="Arial" w:eastAsia="Arial Unicode MS" w:hAnsi="Arial" w:cs="Arial Unicode MS"/>
      <w:kern w:val="1"/>
      <w:sz w:val="24"/>
      <w:szCs w:val="24"/>
      <w:lang w:val="en-GB" w:eastAsia="hi-IN" w:bidi="hi-IN"/>
    </w:rPr>
  </w:style>
  <w:style w:type="paragraph" w:styleId="BodyText">
    <w:name w:val="Body Text"/>
    <w:basedOn w:val="Normal"/>
    <w:link w:val="BodyTextChar1"/>
    <w:uiPriority w:val="99"/>
    <w:pPr>
      <w:widowControl w:val="0"/>
      <w:suppressAutoHyphens/>
      <w:spacing w:before="40" w:after="120" w:line="240" w:lineRule="auto"/>
      <w:jc w:val="both"/>
    </w:pPr>
    <w:rPr>
      <w:rFonts w:ascii="Arial" w:eastAsia="Arial Unicode MS" w:hAnsi="Arial" w:cs="Arial Unicode MS"/>
      <w:kern w:val="1"/>
      <w:sz w:val="24"/>
      <w:szCs w:val="24"/>
      <w:lang w:eastAsia="hi-IN" w:bidi="hi-IN"/>
    </w:rPr>
  </w:style>
  <w:style w:type="character" w:customStyle="1" w:styleId="BodyTextChar">
    <w:name w:val="Body Text Char"/>
    <w:rPr>
      <w:sz w:val="22"/>
      <w:szCs w:val="22"/>
      <w:lang w:val="en-GB" w:eastAsia="en-US"/>
    </w:rPr>
  </w:style>
  <w:style w:type="character" w:customStyle="1" w:styleId="BodyTextChar1">
    <w:name w:val="Body Text Char1"/>
    <w:link w:val="BodyText"/>
    <w:uiPriority w:val="99"/>
    <w:rPr>
      <w:rFonts w:ascii="Arial" w:eastAsia="Arial Unicode MS" w:hAnsi="Arial" w:cs="Arial Unicode MS"/>
      <w:kern w:val="1"/>
      <w:sz w:val="24"/>
      <w:szCs w:val="24"/>
      <w:lang w:val="en-GB" w:eastAsia="hi-IN" w:bidi="hi-IN"/>
    </w:rPr>
  </w:style>
  <w:style w:type="paragraph" w:styleId="ListNumber">
    <w:name w:val="List Number"/>
    <w:basedOn w:val="Normal"/>
    <w:uiPriority w:val="99"/>
    <w:pPr>
      <w:numPr>
        <w:numId w:val="15"/>
      </w:numPr>
      <w:spacing w:before="40"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uiPriority w:val="99"/>
    <w:pPr>
      <w:numPr>
        <w:ilvl w:val="1"/>
        <w:numId w:val="15"/>
      </w:numPr>
      <w:spacing w:before="40"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uiPriority w:val="99"/>
    <w:pPr>
      <w:numPr>
        <w:ilvl w:val="2"/>
        <w:numId w:val="15"/>
      </w:numPr>
      <w:spacing w:before="40"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uiPriority w:val="99"/>
    <w:pPr>
      <w:numPr>
        <w:ilvl w:val="3"/>
        <w:numId w:val="15"/>
      </w:numPr>
      <w:spacing w:before="40" w:after="240" w:line="240" w:lineRule="auto"/>
      <w:jc w:val="both"/>
    </w:pPr>
    <w:rPr>
      <w:rFonts w:ascii="Times New Roman" w:eastAsia="Times New Roman" w:hAnsi="Times New Roman"/>
      <w:sz w:val="24"/>
      <w:szCs w:val="20"/>
    </w:rPr>
  </w:style>
  <w:style w:type="character" w:customStyle="1" w:styleId="CommentTextChar1">
    <w:name w:val="Comment Text Char1"/>
    <w:rPr>
      <w:rFonts w:eastAsia="Times New Roman"/>
      <w:lang w:val="x-none" w:eastAsia="x-none"/>
    </w:rPr>
  </w:style>
  <w:style w:type="paragraph" w:customStyle="1" w:styleId="Not">
    <w:name w:val="Not"/>
    <w:basedOn w:val="FootnoteText"/>
    <w:uiPriority w:val="99"/>
    <w:pPr>
      <w:ind w:left="0" w:firstLine="0"/>
    </w:pPr>
  </w:style>
  <w:style w:type="character" w:customStyle="1" w:styleId="t23">
    <w:name w:val="t23"/>
    <w:uiPriority w:val="99"/>
    <w:rPr>
      <w:rFonts w:cs="Times New Roman"/>
      <w:shd w:val="clear" w:color="auto" w:fill="auto"/>
    </w:rPr>
  </w:style>
  <w:style w:type="character" w:customStyle="1" w:styleId="t25">
    <w:name w:val="t25"/>
    <w:uiPriority w:val="99"/>
    <w:rPr>
      <w:rFonts w:cs="Times New Roman"/>
      <w:shd w:val="clear" w:color="auto" w:fill="auto"/>
    </w:rPr>
  </w:style>
  <w:style w:type="character" w:customStyle="1" w:styleId="Caractresdenotedebasdepage">
    <w:name w:val="Caractères de note de bas de page"/>
    <w:uiPriority w:val="99"/>
    <w:rPr>
      <w:rFonts w:cs="Times New Roman"/>
      <w:shd w:val="clear" w:color="auto" w:fill="auto"/>
      <w:vertAlign w:val="superscript"/>
    </w:rPr>
  </w:style>
  <w:style w:type="character" w:customStyle="1" w:styleId="t9">
    <w:name w:val="t9"/>
    <w:uiPriority w:val="99"/>
    <w:rPr>
      <w:rFonts w:cs="Times New Roman"/>
      <w:shd w:val="clear" w:color="auto" w:fill="auto"/>
    </w:rPr>
  </w:style>
  <w:style w:type="character" w:customStyle="1" w:styleId="t10">
    <w:name w:val="t10"/>
    <w:uiPriority w:val="99"/>
    <w:rPr>
      <w:rFonts w:cs="Times New Roman"/>
      <w:shd w:val="clear" w:color="auto" w:fill="auto"/>
    </w:rPr>
  </w:style>
  <w:style w:type="character" w:customStyle="1" w:styleId="t20">
    <w:name w:val="t20"/>
    <w:uiPriority w:val="99"/>
    <w:rPr>
      <w:rFonts w:cs="Times New Roman"/>
      <w:shd w:val="clear" w:color="auto" w:fill="auto"/>
    </w:rPr>
  </w:style>
  <w:style w:type="character" w:customStyle="1" w:styleId="t21">
    <w:name w:val="t21"/>
    <w:uiPriority w:val="99"/>
    <w:rPr>
      <w:rFonts w:cs="Times New Roman"/>
      <w:shd w:val="clear" w:color="auto" w:fill="auto"/>
    </w:rPr>
  </w:style>
  <w:style w:type="character" w:customStyle="1" w:styleId="t5">
    <w:name w:val="t5"/>
    <w:uiPriority w:val="99"/>
    <w:rPr>
      <w:rFonts w:cs="Times New Roman"/>
      <w:shd w:val="clear" w:color="auto" w:fill="auto"/>
    </w:rPr>
  </w:style>
  <w:style w:type="character" w:customStyle="1" w:styleId="t4">
    <w:name w:val="t4"/>
    <w:uiPriority w:val="99"/>
    <w:rPr>
      <w:rFonts w:cs="Times New Roman"/>
      <w:shd w:val="clear" w:color="auto" w:fill="auto"/>
    </w:rPr>
  </w:style>
  <w:style w:type="character" w:customStyle="1" w:styleId="t11">
    <w:name w:val="t11"/>
    <w:uiPriority w:val="99"/>
    <w:rPr>
      <w:rFonts w:cs="Times New Roman"/>
      <w:shd w:val="clear" w:color="auto" w:fill="auto"/>
    </w:rPr>
  </w:style>
  <w:style w:type="character" w:customStyle="1" w:styleId="CaptionChar1">
    <w:name w:val="Caption Char1"/>
    <w:uiPriority w:val="99"/>
    <w:locked/>
    <w:rPr>
      <w:rFonts w:ascii="Times New Roman" w:eastAsia="Times New Roman" w:hAnsi="Times New Roman" w:cs="Times New Roman"/>
      <w:b/>
      <w:bCs/>
      <w:sz w:val="20"/>
      <w:szCs w:val="20"/>
      <w:lang w:val="en-GB"/>
    </w:rPr>
  </w:style>
  <w:style w:type="paragraph" w:styleId="TableofFigures">
    <w:name w:val="table of figures"/>
    <w:basedOn w:val="Normal"/>
    <w:next w:val="Normal"/>
    <w:uiPriority w:val="99"/>
    <w:pPr>
      <w:spacing w:before="40" w:after="120" w:line="240" w:lineRule="auto"/>
      <w:ind w:left="482" w:hanging="482"/>
      <w:jc w:val="both"/>
    </w:pPr>
    <w:rPr>
      <w:rFonts w:ascii="Times New Roman" w:eastAsia="Times New Roman" w:hAnsi="Times New Roman"/>
      <w:bCs/>
      <w:sz w:val="24"/>
      <w:szCs w:val="20"/>
    </w:rPr>
  </w:style>
  <w:style w:type="paragraph" w:styleId="ListNumber2">
    <w:name w:val="List Number 2"/>
    <w:basedOn w:val="Normal"/>
    <w:uiPriority w:val="99"/>
    <w:pPr>
      <w:numPr>
        <w:numId w:val="10"/>
      </w:numPr>
      <w:tabs>
        <w:tab w:val="clear" w:pos="926"/>
        <w:tab w:val="num" w:pos="643"/>
        <w:tab w:val="num" w:pos="850"/>
        <w:tab w:val="num" w:pos="1209"/>
      </w:tabs>
      <w:spacing w:before="120" w:after="120" w:line="240" w:lineRule="auto"/>
      <w:ind w:left="643"/>
      <w:jc w:val="both"/>
    </w:pPr>
    <w:rPr>
      <w:rFonts w:ascii="Times New Roman" w:eastAsia="Times New Roman" w:hAnsi="Times New Roman"/>
      <w:sz w:val="24"/>
      <w:szCs w:val="24"/>
    </w:rPr>
  </w:style>
  <w:style w:type="paragraph" w:styleId="ListNumber3">
    <w:name w:val="List Number 3"/>
    <w:basedOn w:val="Normal"/>
    <w:uiPriority w:val="99"/>
    <w:pPr>
      <w:numPr>
        <w:numId w:val="11"/>
      </w:numPr>
      <w:tabs>
        <w:tab w:val="clear" w:pos="1209"/>
        <w:tab w:val="num" w:pos="926"/>
        <w:tab w:val="num" w:pos="1417"/>
      </w:tabs>
      <w:spacing w:before="120" w:after="120" w:line="240" w:lineRule="auto"/>
      <w:ind w:left="926"/>
      <w:jc w:val="both"/>
    </w:pPr>
    <w:rPr>
      <w:rFonts w:ascii="Times New Roman" w:eastAsia="Times New Roman" w:hAnsi="Times New Roman"/>
      <w:sz w:val="24"/>
      <w:szCs w:val="24"/>
    </w:rPr>
  </w:style>
  <w:style w:type="paragraph" w:styleId="ListNumber4">
    <w:name w:val="List Number 4"/>
    <w:basedOn w:val="Normal"/>
    <w:uiPriority w:val="99"/>
    <w:pPr>
      <w:numPr>
        <w:numId w:val="12"/>
      </w:numPr>
      <w:tabs>
        <w:tab w:val="clear" w:pos="360"/>
        <w:tab w:val="num" w:pos="643"/>
        <w:tab w:val="num" w:pos="1209"/>
        <w:tab w:val="num" w:pos="1984"/>
      </w:tabs>
      <w:spacing w:before="120" w:after="120" w:line="240" w:lineRule="auto"/>
      <w:ind w:left="1209"/>
      <w:jc w:val="both"/>
    </w:pPr>
    <w:rPr>
      <w:rFonts w:ascii="Times New Roman" w:eastAsia="Times New Roman" w:hAnsi="Times New Roman"/>
      <w:sz w:val="24"/>
      <w:szCs w:val="24"/>
    </w:rPr>
  </w:style>
  <w:style w:type="paragraph" w:customStyle="1" w:styleId="Nomral">
    <w:name w:val="Nomral"/>
    <w:basedOn w:val="Normal"/>
    <w:uiPriority w:val="99"/>
    <w:pPr>
      <w:spacing w:before="120" w:after="120" w:line="240" w:lineRule="auto"/>
      <w:jc w:val="both"/>
    </w:pPr>
    <w:rPr>
      <w:rFonts w:ascii="Times New Roman" w:eastAsia="Times New Roman" w:hAnsi="Times New Roman"/>
      <w:sz w:val="24"/>
      <w:szCs w:val="24"/>
    </w:rPr>
  </w:style>
  <w:style w:type="paragraph" w:customStyle="1" w:styleId="Heading">
    <w:name w:val="Heading"/>
    <w:basedOn w:val="Heading1"/>
    <w:uiPriority w:val="99"/>
    <w:pPr>
      <w:tabs>
        <w:tab w:val="num" w:pos="643"/>
        <w:tab w:val="num" w:pos="850"/>
      </w:tabs>
      <w:spacing w:before="360" w:after="120" w:line="240" w:lineRule="auto"/>
      <w:ind w:left="850" w:hanging="850"/>
      <w:jc w:val="both"/>
    </w:pPr>
    <w:rPr>
      <w:rFonts w:ascii="Times New Roman" w:hAnsi="Times New Roman"/>
      <w:smallCaps/>
      <w:kern w:val="0"/>
      <w:sz w:val="24"/>
      <w:lang w:eastAsia="x-none"/>
    </w:rPr>
  </w:style>
  <w:style w:type="character" w:styleId="FollowedHyperlink">
    <w:name w:val="FollowedHyperlink"/>
    <w:uiPriority w:val="99"/>
    <w:rPr>
      <w:rFonts w:cs="Times New Roman"/>
      <w:color w:val="800080"/>
      <w:u w:val="single"/>
    </w:rPr>
  </w:style>
  <w:style w:type="paragraph" w:customStyle="1" w:styleId="FootnotesText">
    <w:name w:val="Footnotes Text"/>
    <w:basedOn w:val="Normal"/>
    <w:link w:val="FootnotesTextChar"/>
    <w:uiPriority w:val="99"/>
    <w:pPr>
      <w:autoSpaceDE w:val="0"/>
      <w:autoSpaceDN w:val="0"/>
      <w:adjustRightInd w:val="0"/>
      <w:spacing w:before="40" w:after="0" w:line="240" w:lineRule="auto"/>
      <w:jc w:val="both"/>
    </w:pPr>
    <w:rPr>
      <w:rFonts w:ascii="Times New Roman" w:eastAsia="Times New Roman" w:hAnsi="Times New Roman"/>
      <w:b/>
      <w:bCs/>
      <w:sz w:val="24"/>
      <w:szCs w:val="24"/>
      <w:lang w:eastAsia="en-GB"/>
    </w:rPr>
  </w:style>
  <w:style w:type="character" w:customStyle="1" w:styleId="FootnotesTextChar">
    <w:name w:val="Footnotes Text Char"/>
    <w:link w:val="FootnotesText"/>
    <w:uiPriority w:val="99"/>
    <w:locked/>
    <w:rPr>
      <w:rFonts w:ascii="Times New Roman" w:eastAsia="Times New Roman" w:hAnsi="Times New Roman"/>
      <w:b/>
      <w:bCs/>
      <w:sz w:val="24"/>
      <w:szCs w:val="24"/>
      <w:lang w:val="en-GB" w:eastAsia="en-GB"/>
    </w:rPr>
  </w:style>
  <w:style w:type="character" w:customStyle="1" w:styleId="hps">
    <w:name w:val="hps"/>
    <w:uiPriority w:val="99"/>
    <w:rPr>
      <w:rFonts w:cs="Times New Roman"/>
    </w:rPr>
  </w:style>
  <w:style w:type="paragraph" w:customStyle="1" w:styleId="Default">
    <w:name w:val="Default"/>
    <w:uiPriority w:val="99"/>
    <w:pPr>
      <w:autoSpaceDE w:val="0"/>
      <w:autoSpaceDN w:val="0"/>
      <w:adjustRightInd w:val="0"/>
    </w:pPr>
    <w:rPr>
      <w:rFonts w:ascii="EUAlbertina" w:eastAsia="Times New Roman" w:hAnsi="EUAlbertina" w:cs="EUAlbertina"/>
      <w:color w:val="000000"/>
      <w:sz w:val="24"/>
      <w:szCs w:val="24"/>
    </w:rPr>
  </w:style>
  <w:style w:type="paragraph" w:customStyle="1" w:styleId="CM4">
    <w:name w:val="CM4"/>
    <w:basedOn w:val="Default"/>
    <w:next w:val="Default"/>
    <w:uiPriority w:val="99"/>
    <w:rPr>
      <w:rFonts w:cs="Times New Roman"/>
      <w:color w:val="auto"/>
    </w:rPr>
  </w:style>
  <w:style w:type="character" w:customStyle="1" w:styleId="spiritsinfol">
    <w:name w:val="spirit s_info_l"/>
    <w:uiPriority w:val="99"/>
    <w:rPr>
      <w:rFonts w:cs="Times New Roman"/>
      <w:sz w:val="24"/>
      <w:szCs w:val="24"/>
    </w:rPr>
  </w:style>
  <w:style w:type="character" w:styleId="HTMLCite">
    <w:name w:val="HTML Cite"/>
    <w:uiPriority w:val="99"/>
    <w:rPr>
      <w:rFonts w:cs="Times New Roman"/>
      <w:i/>
      <w:iCs/>
    </w:rPr>
  </w:style>
  <w:style w:type="paragraph" w:customStyle="1" w:styleId="NormalBorderSinglesolidline">
    <w:name w:val="Normal + Border: : (Single solid line"/>
    <w:aliases w:val="Auto,0.5 pt Line width)"/>
    <w:basedOn w:val="Normal"/>
    <w:uiPriority w:val="99"/>
    <w:pPr>
      <w:spacing w:before="120" w:after="120" w:line="240" w:lineRule="auto"/>
      <w:jc w:val="both"/>
    </w:pPr>
    <w:rPr>
      <w:rFonts w:ascii="Times New Roman" w:eastAsia="Times New Roman" w:hAnsi="Times New Roman"/>
      <w:sz w:val="24"/>
      <w:szCs w:val="24"/>
      <w:bdr w:val="single" w:sz="4" w:space="0" w:color="auto"/>
    </w:rPr>
  </w:style>
  <w:style w:type="paragraph" w:customStyle="1" w:styleId="a3520normal">
    <w:name w:val="a___35__20_normal"/>
    <w:basedOn w:val="Normal"/>
    <w:uiPriority w:val="99"/>
    <w:pPr>
      <w:spacing w:before="100" w:beforeAutospacing="1" w:after="100" w:afterAutospacing="1" w:line="240" w:lineRule="auto"/>
      <w:jc w:val="both"/>
    </w:pPr>
    <w:rPr>
      <w:rFonts w:ascii="Times New Roman" w:eastAsia="Times New Roman" w:hAnsi="Times New Roman"/>
      <w:sz w:val="24"/>
      <w:szCs w:val="24"/>
      <w:lang w:eastAsia="en-GB"/>
    </w:rPr>
  </w:style>
  <w:style w:type="paragraph" w:customStyle="1" w:styleId="Noral">
    <w:name w:val="Noral"/>
    <w:basedOn w:val="Normal"/>
    <w:uiPriority w:val="99"/>
    <w:pPr>
      <w:spacing w:before="120" w:after="120" w:line="240" w:lineRule="auto"/>
      <w:jc w:val="both"/>
    </w:pPr>
    <w:rPr>
      <w:rFonts w:ascii="Times New Roman" w:eastAsia="Times New Roman" w:hAnsi="Times New Roman"/>
      <w:color w:val="0000FF"/>
      <w:sz w:val="24"/>
      <w:szCs w:val="24"/>
    </w:rPr>
  </w:style>
  <w:style w:type="character" w:customStyle="1" w:styleId="CharChar3">
    <w:name w:val="Char Char3"/>
    <w:uiPriority w:val="99"/>
    <w:semiHidden/>
    <w:locked/>
    <w:rPr>
      <w:lang w:val="en-GB" w:eastAsia="en-US"/>
    </w:rPr>
  </w:style>
  <w:style w:type="character" w:customStyle="1" w:styleId="CharChar2">
    <w:name w:val="Char Char2"/>
    <w:semiHidden/>
    <w:locked/>
    <w:rPr>
      <w:rFonts w:cs="Times New Roman"/>
      <w:sz w:val="20"/>
      <w:szCs w:val="20"/>
      <w:lang w:eastAsia="en-US"/>
    </w:rPr>
  </w:style>
  <w:style w:type="character" w:customStyle="1" w:styleId="CharChar5">
    <w:name w:val="Char Char5"/>
    <w:semiHidden/>
    <w:locked/>
    <w:rPr>
      <w:rFonts w:cs="Times New Roman"/>
      <w:lang w:val="en-GB" w:eastAsia="en-US" w:bidi="ar-SA"/>
    </w:rPr>
  </w:style>
  <w:style w:type="character" w:customStyle="1" w:styleId="CharChar7">
    <w:name w:val="Char Char7"/>
    <w:semiHidden/>
    <w:locked/>
    <w:rPr>
      <w:rFonts w:cs="Times New Roman"/>
      <w:lang w:val="en-GB" w:eastAsia="en-US" w:bidi="ar-SA"/>
    </w:rPr>
  </w:style>
  <w:style w:type="paragraph" w:styleId="Title">
    <w:name w:val="Title"/>
    <w:basedOn w:val="Normal"/>
    <w:link w:val="TitleChar"/>
    <w:qFormat/>
    <w:pPr>
      <w:spacing w:before="240" w:after="60" w:line="240" w:lineRule="auto"/>
      <w:jc w:val="center"/>
      <w:outlineLvl w:val="0"/>
    </w:pPr>
    <w:rPr>
      <w:rFonts w:ascii="Arial" w:hAnsi="Arial"/>
      <w:b/>
      <w:bCs/>
      <w:kern w:val="28"/>
      <w:sz w:val="32"/>
      <w:szCs w:val="32"/>
      <w:lang w:eastAsia="x-none"/>
    </w:rPr>
  </w:style>
  <w:style w:type="character" w:customStyle="1" w:styleId="TitleChar">
    <w:name w:val="Title Char"/>
    <w:link w:val="Title"/>
    <w:rPr>
      <w:rFonts w:ascii="Arial" w:hAnsi="Arial"/>
      <w:b/>
      <w:bCs/>
      <w:kern w:val="28"/>
      <w:sz w:val="32"/>
      <w:szCs w:val="32"/>
      <w:lang w:val="en-GB" w:eastAsia="x-none"/>
    </w:rPr>
  </w:style>
  <w:style w:type="paragraph" w:customStyle="1" w:styleId="entetepair">
    <w:name w:val="entete_pair"/>
    <w:pPr>
      <w:pBdr>
        <w:bottom w:val="single" w:sz="4" w:space="5" w:color="C00000"/>
      </w:pBdr>
      <w:spacing w:after="300"/>
    </w:pPr>
    <w:rPr>
      <w:rFonts w:ascii="Arial Narrow" w:hAnsi="Arial Narrow" w:cs="Arial"/>
      <w:color w:val="000000"/>
      <w:spacing w:val="20"/>
      <w:sz w:val="18"/>
      <w:lang w:eastAsia="en-US"/>
    </w:rPr>
  </w:style>
  <w:style w:type="paragraph" w:customStyle="1" w:styleId="enteteimpair">
    <w:name w:val="entete_impair"/>
    <w:basedOn w:val="entetepair"/>
    <w:pPr>
      <w:jc w:val="right"/>
    </w:pPr>
    <w:rPr>
      <w:lang w:val="en-US"/>
    </w:rPr>
  </w:style>
  <w:style w:type="paragraph" w:customStyle="1" w:styleId="exemple">
    <w:name w:val="exemple"/>
    <w:pPr>
      <w:spacing w:before="120" w:line="300" w:lineRule="auto"/>
      <w:ind w:left="369"/>
      <w:jc w:val="both"/>
    </w:pPr>
    <w:rPr>
      <w:rFonts w:ascii="Arial Narrow" w:hAnsi="Arial Narrow"/>
      <w:lang w:eastAsia="en-US"/>
    </w:rPr>
  </w:style>
  <w:style w:type="paragraph" w:customStyle="1" w:styleId="H1etiket">
    <w:name w:val="H1_etiket"/>
    <w:basedOn w:val="Heading1"/>
    <w:pPr>
      <w:spacing w:before="0" w:after="600" w:line="300" w:lineRule="auto"/>
      <w:jc w:val="right"/>
    </w:pPr>
    <w:rPr>
      <w:rFonts w:ascii="Verdana" w:eastAsia="Calibri" w:hAnsi="Verdana" w:cs="Arial"/>
      <w:bCs w:val="0"/>
      <w:caps/>
      <w:noProof/>
      <w:color w:val="943634"/>
      <w:kern w:val="0"/>
      <w:sz w:val="52"/>
      <w:szCs w:val="52"/>
      <w:lang w:eastAsia="x-none"/>
    </w:rPr>
  </w:style>
  <w:style w:type="paragraph" w:customStyle="1" w:styleId="H1prelim">
    <w:name w:val="H1_prelim"/>
    <w:pPr>
      <w:pBdr>
        <w:bottom w:val="single" w:sz="8" w:space="31" w:color="auto"/>
      </w:pBdr>
      <w:tabs>
        <w:tab w:val="left" w:pos="2268"/>
      </w:tabs>
      <w:spacing w:before="800" w:after="180"/>
      <w:jc w:val="center"/>
    </w:pPr>
    <w:rPr>
      <w:rFonts w:ascii="Arial" w:hAnsi="Arial" w:cs="Arial"/>
      <w:b/>
      <w:caps/>
      <w:color w:val="000000"/>
      <w:spacing w:val="60"/>
      <w:sz w:val="36"/>
      <w:lang w:val="fr-FR" w:eastAsia="en-US"/>
    </w:rPr>
  </w:style>
  <w:style w:type="paragraph" w:customStyle="1" w:styleId="H1subtitle">
    <w:name w:val="H1_subtitle"/>
    <w:basedOn w:val="Heading1"/>
    <w:pPr>
      <w:widowControl w:val="0"/>
      <w:shd w:val="clear" w:color="auto" w:fill="FFCC99"/>
      <w:spacing w:after="0" w:line="360" w:lineRule="auto"/>
      <w:jc w:val="center"/>
    </w:pPr>
    <w:rPr>
      <w:rFonts w:ascii="Verdana" w:eastAsia="Calibri" w:hAnsi="Verdana" w:cs="Arial"/>
      <w:bCs w:val="0"/>
      <w:caps/>
      <w:noProof/>
      <w:spacing w:val="20"/>
      <w:kern w:val="28"/>
      <w:lang w:eastAsia="x-none"/>
    </w:rPr>
  </w:style>
  <w:style w:type="paragraph" w:customStyle="1" w:styleId="noteexplicative">
    <w:name w:val="note explicative"/>
    <w:pPr>
      <w:spacing w:before="100" w:after="60"/>
    </w:pPr>
    <w:rPr>
      <w:rFonts w:ascii="Arial" w:hAnsi="Arial" w:cs="Arial"/>
      <w:b/>
      <w:bCs/>
      <w:color w:val="C00000"/>
      <w:sz w:val="18"/>
      <w:u w:val="single"/>
      <w:lang w:eastAsia="en-US"/>
    </w:rPr>
  </w:style>
  <w:style w:type="paragraph" w:customStyle="1" w:styleId="pays">
    <w:name w:val="pays"/>
    <w:pPr>
      <w:spacing w:before="200" w:after="100"/>
    </w:pPr>
    <w:rPr>
      <w:rFonts w:ascii="Myriad Pro" w:hAnsi="Myriad Pro"/>
      <w:b/>
      <w:color w:val="993300"/>
      <w:sz w:val="21"/>
      <w:lang w:eastAsia="en-US"/>
    </w:rPr>
  </w:style>
  <w:style w:type="paragraph" w:customStyle="1" w:styleId="tableauougraphique">
    <w:name w:val="tableau ou graphique"/>
    <w:pPr>
      <w:keepNext/>
      <w:numPr>
        <w:numId w:val="18"/>
      </w:numPr>
      <w:spacing w:before="200" w:after="200" w:line="276" w:lineRule="auto"/>
      <w:ind w:hanging="720"/>
    </w:pPr>
    <w:rPr>
      <w:rFonts w:ascii="Arial Narrow" w:eastAsia="Times New Roman" w:hAnsi="Arial Narrow" w:cs="Arial"/>
      <w:b/>
      <w:bCs/>
      <w:noProof/>
      <w:color w:val="943634"/>
      <w:lang w:eastAsia="en-US"/>
    </w:rPr>
  </w:style>
  <w:style w:type="paragraph" w:customStyle="1" w:styleId="texteparbullet">
    <w:name w:val="texte+par+bullet"/>
    <w:basedOn w:val="Normal"/>
    <w:pPr>
      <w:numPr>
        <w:numId w:val="17"/>
      </w:numPr>
      <w:spacing w:before="160" w:after="0" w:line="300" w:lineRule="auto"/>
      <w:jc w:val="both"/>
    </w:pPr>
    <w:rPr>
      <w:rFonts w:ascii="Arial" w:hAnsi="Arial" w:cs="Arial"/>
      <w:noProof/>
      <w:sz w:val="20"/>
      <w:szCs w:val="20"/>
      <w:lang w:eastAsia="de-DE"/>
    </w:rPr>
  </w:style>
  <w:style w:type="paragraph" w:customStyle="1" w:styleId="texteparbulletretrait">
    <w:name w:val="texte+par+bullet+retrait"/>
    <w:basedOn w:val="texteparbullet"/>
    <w:pPr>
      <w:numPr>
        <w:numId w:val="0"/>
      </w:numPr>
      <w:spacing w:before="80"/>
    </w:pPr>
  </w:style>
  <w:style w:type="paragraph" w:customStyle="1" w:styleId="texte1">
    <w:name w:val="texte1"/>
    <w:basedOn w:val="Normal"/>
    <w:pPr>
      <w:spacing w:before="40" w:after="0" w:line="240" w:lineRule="auto"/>
      <w:jc w:val="both"/>
    </w:pPr>
    <w:rPr>
      <w:rFonts w:ascii="Arial" w:hAnsi="Arial" w:cs="Arial"/>
      <w:sz w:val="2"/>
      <w:szCs w:val="17"/>
      <w:lang w:eastAsia="en-GB"/>
    </w:rPr>
  </w:style>
  <w:style w:type="paragraph" w:customStyle="1" w:styleId="texte83ap">
    <w:name w:val="texte8_3ap"/>
    <w:basedOn w:val="Normal"/>
    <w:pPr>
      <w:widowControl w:val="0"/>
      <w:spacing w:before="40" w:after="60" w:line="240" w:lineRule="auto"/>
      <w:jc w:val="both"/>
    </w:pPr>
    <w:rPr>
      <w:rFonts w:ascii="Arial" w:hAnsi="Arial" w:cs="Arial"/>
      <w:sz w:val="16"/>
      <w:szCs w:val="16"/>
    </w:rPr>
  </w:style>
  <w:style w:type="paragraph" w:customStyle="1" w:styleId="texte">
    <w:name w:val="texte"/>
    <w:basedOn w:val="textepar"/>
    <w:pPr>
      <w:spacing w:before="0"/>
      <w:jc w:val="left"/>
    </w:pPr>
    <w:rPr>
      <w:rFonts w:eastAsia="Calibri" w:cs="Arial"/>
      <w:sz w:val="20"/>
      <w:szCs w:val="20"/>
      <w:lang w:eastAsia="en-GB"/>
    </w:rPr>
  </w:style>
  <w:style w:type="character" w:customStyle="1" w:styleId="Caracteresdenotaderodap">
    <w:name w:val="Caracteres de nota de rodapé"/>
    <w:rPr>
      <w:rFonts w:cs="Times New Roman"/>
      <w:vertAlign w:val="superscript"/>
    </w:rPr>
  </w:style>
  <w:style w:type="character" w:customStyle="1" w:styleId="rightside">
    <w:name w:val="right_side"/>
    <w:rPr>
      <w:rFonts w:cs="Times New Roman"/>
    </w:rPr>
  </w:style>
  <w:style w:type="paragraph" w:customStyle="1" w:styleId="CM1">
    <w:name w:val="CM1"/>
    <w:basedOn w:val="Default"/>
    <w:next w:val="Default"/>
    <w:rPr>
      <w:rFonts w:cs="Times New Roman"/>
      <w:color w:val="auto"/>
    </w:rPr>
  </w:style>
  <w:style w:type="paragraph" w:customStyle="1" w:styleId="CM3">
    <w:name w:val="CM3"/>
    <w:basedOn w:val="Default"/>
    <w:next w:val="Default"/>
    <w:rPr>
      <w:rFonts w:cs="Times New Roman"/>
      <w:color w:val="auto"/>
    </w:rPr>
  </w:style>
  <w:style w:type="paragraph" w:customStyle="1" w:styleId="Headin2">
    <w:name w:val="Headin 2"/>
    <w:basedOn w:val="Normal"/>
    <w:pPr>
      <w:keepNext/>
      <w:tabs>
        <w:tab w:val="left" w:pos="540"/>
      </w:tabs>
      <w:spacing w:before="320" w:after="360" w:line="240" w:lineRule="auto"/>
      <w:jc w:val="both"/>
      <w:outlineLvl w:val="1"/>
    </w:pPr>
    <w:rPr>
      <w:rFonts w:ascii="Arial" w:eastAsia="Times New Roman" w:hAnsi="Arial" w:cs="Arial"/>
      <w:b/>
      <w:bCs/>
      <w:color w:val="943634"/>
      <w:spacing w:val="10"/>
      <w:sz w:val="28"/>
      <w:szCs w:val="28"/>
    </w:rPr>
  </w:style>
  <w:style w:type="paragraph" w:customStyle="1" w:styleId="HwSINF">
    <w:name w:val="HwSINF §"/>
    <w:basedOn w:val="Normal"/>
    <w:pPr>
      <w:keepNext/>
      <w:spacing w:before="270" w:after="160" w:line="240" w:lineRule="auto"/>
      <w:jc w:val="both"/>
      <w:outlineLvl w:val="2"/>
    </w:pPr>
    <w:rPr>
      <w:rFonts w:ascii="Verdana" w:eastAsia="Times New Roman" w:hAnsi="Verdana"/>
      <w:b/>
      <w:color w:val="943634"/>
      <w:sz w:val="24"/>
    </w:rPr>
  </w:style>
  <w:style w:type="paragraph" w:styleId="DocumentMap">
    <w:name w:val="Document Map"/>
    <w:basedOn w:val="Normal"/>
    <w:link w:val="DocumentMapChar"/>
    <w:semiHidden/>
    <w:pPr>
      <w:shd w:val="clear" w:color="auto" w:fill="000080"/>
      <w:spacing w:before="120" w:after="120" w:line="240" w:lineRule="auto"/>
      <w:jc w:val="both"/>
    </w:pPr>
    <w:rPr>
      <w:rFonts w:ascii="Tahoma" w:eastAsia="Times New Roman" w:hAnsi="Tahoma"/>
      <w:sz w:val="20"/>
      <w:szCs w:val="20"/>
      <w:lang w:eastAsia="x-none"/>
    </w:rPr>
  </w:style>
  <w:style w:type="character" w:customStyle="1" w:styleId="DocumentMapChar">
    <w:name w:val="Document Map Char"/>
    <w:link w:val="DocumentMap"/>
    <w:semiHidden/>
    <w:rPr>
      <w:rFonts w:ascii="Tahoma" w:eastAsia="Times New Roman" w:hAnsi="Tahoma"/>
      <w:shd w:val="clear" w:color="auto" w:fill="000080"/>
      <w:lang w:val="en-GB" w:eastAsia="x-none"/>
    </w:rPr>
  </w:style>
  <w:style w:type="paragraph" w:customStyle="1" w:styleId="PartTit">
    <w:name w:val="PartTit#"/>
    <w:basedOn w:val="Heading1"/>
    <w:pPr>
      <w:tabs>
        <w:tab w:val="num" w:pos="850"/>
      </w:tabs>
      <w:spacing w:before="360" w:after="120" w:line="240" w:lineRule="auto"/>
      <w:ind w:left="850" w:hanging="850"/>
      <w:jc w:val="both"/>
    </w:pPr>
    <w:rPr>
      <w:rFonts w:ascii="Times New Roman" w:hAnsi="Times New Roman"/>
      <w:smallCaps/>
      <w:kern w:val="0"/>
      <w:sz w:val="24"/>
      <w:lang w:eastAsia="x-none"/>
    </w:rPr>
  </w:style>
  <w:style w:type="paragraph" w:customStyle="1" w:styleId="ManualHeading10">
    <w:name w:val="ManualHeading 1"/>
    <w:basedOn w:val="Normal"/>
    <w:qFormat/>
    <w:pPr>
      <w:spacing w:before="120" w:after="120" w:line="240" w:lineRule="auto"/>
      <w:jc w:val="both"/>
    </w:pPr>
    <w:rPr>
      <w:rFonts w:ascii="Times New Roman" w:eastAsia="Times New Roman" w:hAnsi="Times New Roman"/>
      <w:sz w:val="24"/>
      <w:szCs w:val="24"/>
    </w:rPr>
  </w:style>
  <w:style w:type="paragraph" w:customStyle="1" w:styleId="PartTitel">
    <w:name w:val="PartTitel"/>
    <w:basedOn w:val="Normal"/>
    <w:pPr>
      <w:spacing w:before="120" w:after="120" w:line="240" w:lineRule="auto"/>
      <w:jc w:val="both"/>
    </w:pPr>
    <w:rPr>
      <w:rFonts w:ascii="Times New Roman" w:eastAsia="Times New Roman" w:hAnsi="Times New Roman"/>
      <w:sz w:val="24"/>
      <w:szCs w:val="24"/>
    </w:rPr>
  </w:style>
  <w:style w:type="paragraph" w:customStyle="1" w:styleId="Heading20">
    <w:name w:val="Heading 2#"/>
    <w:basedOn w:val="Normal"/>
    <w:qFormat/>
    <w:pPr>
      <w:spacing w:before="160" w:after="0" w:line="300" w:lineRule="auto"/>
      <w:jc w:val="both"/>
    </w:pPr>
    <w:rPr>
      <w:rFonts w:ascii="Verdana" w:eastAsia="Times New Roman" w:hAnsi="Verdana" w:cs="Arial"/>
      <w:color w:val="632423"/>
      <w:sz w:val="20"/>
      <w:szCs w:val="20"/>
    </w:rPr>
  </w:style>
  <w:style w:type="paragraph" w:customStyle="1" w:styleId="Point00">
    <w:name w:val="Point0"/>
    <w:basedOn w:val="Point1"/>
    <w:pPr>
      <w:tabs>
        <w:tab w:val="left" w:pos="567"/>
      </w:tabs>
      <w:ind w:left="719" w:hanging="435"/>
    </w:pPr>
  </w:style>
  <w:style w:type="paragraph" w:customStyle="1" w:styleId="ManualHeading20">
    <w:name w:val="ManualHeading 2"/>
    <w:basedOn w:val="Normal"/>
    <w:pPr>
      <w:spacing w:before="120" w:after="120" w:line="240" w:lineRule="auto"/>
      <w:jc w:val="both"/>
    </w:pPr>
    <w:rPr>
      <w:rFonts w:ascii="Times New Roman" w:eastAsia="Times New Roman" w:hAnsi="Times New Roman"/>
      <w:sz w:val="24"/>
      <w:szCs w:val="24"/>
    </w:rPr>
  </w:style>
  <w:style w:type="character" w:customStyle="1" w:styleId="at1">
    <w:name w:val="a__t1"/>
  </w:style>
  <w:style w:type="paragraph" w:customStyle="1" w:styleId="Caption0">
    <w:name w:val="Caption#"/>
    <w:basedOn w:val="Normal"/>
    <w:qFormat/>
    <w:pPr>
      <w:spacing w:before="40" w:after="180" w:line="240" w:lineRule="auto"/>
      <w:jc w:val="both"/>
    </w:pPr>
    <w:rPr>
      <w:rFonts w:ascii="Times New Roman" w:eastAsia="Times New Roman" w:hAnsi="Times New Roman"/>
      <w:sz w:val="24"/>
      <w:lang w:val="en-US"/>
    </w:rPr>
  </w:style>
  <w:style w:type="character" w:customStyle="1" w:styleId="Titolodellibro">
    <w:name w:val="Titolo del libro"/>
    <w:uiPriority w:val="33"/>
    <w:qFormat/>
    <w:rPr>
      <w:b/>
      <w:bCs/>
      <w:smallCaps/>
      <w:spacing w:val="5"/>
    </w:rPr>
  </w:style>
  <w:style w:type="paragraph" w:customStyle="1" w:styleId="Reference">
    <w:name w:val="Reference"/>
    <w:basedOn w:val="Normal"/>
    <w:link w:val="ReferenceChar"/>
    <w:qFormat/>
    <w:pPr>
      <w:keepLines/>
      <w:spacing w:before="40" w:after="120" w:line="240" w:lineRule="auto"/>
      <w:ind w:left="720" w:hanging="720"/>
    </w:pPr>
    <w:rPr>
      <w:rFonts w:ascii="Times New Roman" w:eastAsia="Times New Roman" w:hAnsi="Times New Roman"/>
      <w:noProof/>
      <w:lang w:val="en-US"/>
    </w:rPr>
  </w:style>
  <w:style w:type="character" w:customStyle="1" w:styleId="st1">
    <w:name w:val="st1"/>
  </w:style>
  <w:style w:type="character" w:customStyle="1" w:styleId="ReferenceChar">
    <w:name w:val="Reference Char"/>
    <w:link w:val="Reference"/>
    <w:rPr>
      <w:rFonts w:ascii="Times New Roman" w:eastAsia="Times New Roman" w:hAnsi="Times New Roman"/>
      <w:noProof/>
      <w:sz w:val="22"/>
      <w:szCs w:val="22"/>
      <w:lang w:val="en-US"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TitolosommarioCarattere">
    <w:name w:val="Titolo sommario Carattere"/>
    <w:link w:val="Titolosommario"/>
    <w:uiPriority w:val="39"/>
    <w:rPr>
      <w:rFonts w:ascii="Times New Roman" w:eastAsia="Times New Roman" w:hAnsi="Times New Roman"/>
      <w:b/>
      <w:sz w:val="28"/>
      <w:szCs w:val="24"/>
      <w:lang w:val="x-none" w:eastAsia="en-US"/>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customStyle="1" w:styleId="top">
    <w:name w:val="top"/>
    <w:basedOn w:val="Normal"/>
    <w:link w:val="topChar"/>
    <w:qFormat/>
    <w:pPr>
      <w:spacing w:after="0" w:line="240" w:lineRule="auto"/>
      <w:jc w:val="both"/>
    </w:pPr>
    <w:rPr>
      <w:rFonts w:ascii="Times New Roman" w:eastAsia="Times New Roman" w:hAnsi="Times New Roman"/>
      <w:sz w:val="2"/>
      <w:szCs w:val="2"/>
      <w:lang w:val="en-US"/>
    </w:rPr>
  </w:style>
  <w:style w:type="paragraph" w:customStyle="1" w:styleId="Tiop">
    <w:name w:val="Tiop"/>
    <w:basedOn w:val="Normal"/>
    <w:qFormat/>
    <w:pPr>
      <w:spacing w:before="40" w:after="180" w:line="240" w:lineRule="auto"/>
      <w:jc w:val="both"/>
    </w:pPr>
    <w:rPr>
      <w:rFonts w:ascii="Times New Roman" w:eastAsia="Times New Roman" w:hAnsi="Times New Roman"/>
      <w:sz w:val="24"/>
      <w:lang w:val="en-US"/>
    </w:rPr>
  </w:style>
  <w:style w:type="character" w:customStyle="1" w:styleId="topChar">
    <w:name w:val="top Char"/>
    <w:link w:val="top"/>
    <w:rPr>
      <w:rFonts w:ascii="Times New Roman" w:eastAsia="Times New Roman" w:hAnsi="Times New Roman"/>
      <w:sz w:val="2"/>
      <w:szCs w:val="2"/>
      <w:lang w:val="en-US" w:eastAsia="en-US"/>
    </w:rPr>
  </w:style>
  <w:style w:type="paragraph" w:customStyle="1" w:styleId="a75TextbaseTable">
    <w:name w:val="_a7_5_Text_base_Table"/>
    <w:qFormat/>
    <w:pPr>
      <w:tabs>
        <w:tab w:val="left" w:pos="1985"/>
      </w:tabs>
    </w:pPr>
    <w:rPr>
      <w:rFonts w:ascii="Arial" w:eastAsia="Times New Roman" w:hAnsi="Arial" w:cs="Arial"/>
      <w:snapToGrid w:val="0"/>
      <w:color w:val="1F497D"/>
      <w:sz w:val="16"/>
      <w:szCs w:val="16"/>
      <w:lang w:val="en-US" w:eastAsia="en-US"/>
    </w:rPr>
  </w:style>
  <w:style w:type="paragraph" w:customStyle="1" w:styleId="p91Textpara">
    <w:name w:val="_p9_1_Text_para"/>
    <w:pPr>
      <w:tabs>
        <w:tab w:val="left" w:pos="4253"/>
      </w:tabs>
      <w:spacing w:before="160" w:line="300" w:lineRule="auto"/>
      <w:jc w:val="both"/>
    </w:pPr>
    <w:rPr>
      <w:rFonts w:ascii="Arial" w:hAnsi="Arial" w:cs="Arial"/>
      <w:color w:val="1F497D"/>
      <w:lang w:eastAsia="en-US"/>
    </w:rPr>
  </w:style>
  <w:style w:type="paragraph" w:styleId="Revision">
    <w:name w:val="Revision"/>
    <w:hidden/>
    <w:uiPriority w:val="99"/>
    <w:semiHidden/>
    <w:rPr>
      <w:sz w:val="22"/>
      <w:szCs w:val="22"/>
      <w:lang w:eastAsia="en-US"/>
    </w:rPr>
  </w:style>
  <w:style w:type="paragraph" w:customStyle="1" w:styleId="Yo13YouthIndicator">
    <w:name w:val="_Yo_13_Youth_Indicator"/>
    <w:qFormat/>
    <w:pPr>
      <w:spacing w:line="300" w:lineRule="auto"/>
      <w:ind w:left="113" w:right="113"/>
    </w:pPr>
    <w:rPr>
      <w:rFonts w:ascii="Verdana" w:hAnsi="Verdana"/>
      <w:b/>
      <w:color w:val="FFFFFF"/>
      <w:sz w:val="16"/>
      <w:szCs w:val="22"/>
      <w:lang w:eastAsia="en-US"/>
    </w:rPr>
  </w:style>
  <w:style w:type="paragraph" w:customStyle="1" w:styleId="Yo5TextEUYouthTOC">
    <w:name w:val="_Yo_5_Text_EU_Youth_TOC"/>
    <w:pPr>
      <w:keepNext/>
      <w:framePr w:hSpace="180" w:wrap="around" w:vAnchor="text" w:hAnchor="margin" w:x="108" w:y="100"/>
    </w:pPr>
    <w:rPr>
      <w:rFonts w:ascii="Arial Narrow" w:eastAsia="Cambria" w:hAnsi="Arial Narrow" w:cs="Arial"/>
      <w:b/>
      <w:bCs/>
      <w:noProof/>
      <w:color w:val="C00000"/>
      <w:lang w:eastAsia="en-US"/>
    </w:rPr>
  </w:style>
  <w:style w:type="paragraph" w:customStyle="1" w:styleId="Yo5TextEUYouth">
    <w:name w:val="_Yo_5_Text_EU_Youth"/>
    <w:basedOn w:val="Yo5TextNotes"/>
    <w:qFormat/>
    <w:pPr>
      <w:framePr w:hSpace="180" w:wrap="around" w:vAnchor="text" w:hAnchor="margin" w:x="108" w:y="100"/>
    </w:pPr>
    <w:rPr>
      <w:b/>
      <w:color w:val="C00000"/>
      <w:sz w:val="2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Yo0H1Char">
    <w:name w:val="_Yo_0_H1 Char"/>
    <w:link w:val="Yo0H1"/>
    <w:rPr>
      <w:rFonts w:ascii="Verdana" w:eastAsia="Times New Roman" w:hAnsi="Verdana" w:cs="MyriadPro-Bold"/>
      <w:b/>
      <w:bCs w:val="0"/>
      <w:color w:val="DB1E48"/>
      <w:kern w:val="32"/>
      <w:sz w:val="44"/>
      <w:szCs w:val="44"/>
      <w:lang w:val="en-US" w:eastAsia="fr-BE"/>
    </w:rPr>
  </w:style>
  <w:style w:type="character" w:customStyle="1" w:styleId="FooterSensitivityChar">
    <w:name w:val="Footer Sensitivity Char"/>
    <w:link w:val="FooterSensitivity"/>
    <w:rPr>
      <w:rFonts w:ascii="Times New Roman" w:hAnsi="Times New Roman"/>
      <w:b/>
      <w:sz w:val="32"/>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link w:val="HeaderSensitivity"/>
    <w:rPr>
      <w:rFonts w:ascii="Times New Roman" w:hAnsi="Times New Roman"/>
      <w:b/>
      <w:sz w:val="32"/>
      <w:szCs w:val="22"/>
      <w:lang w:eastAsia="en-US"/>
    </w:rPr>
  </w:style>
  <w:style w:type="paragraph" w:styleId="TOCHeading">
    <w:name w:val="TOC Heading"/>
    <w:basedOn w:val="Heading1"/>
    <w:next w:val="Normal"/>
    <w:uiPriority w:val="39"/>
    <w:unhideWhenUsed/>
    <w:qFormat/>
    <w:pPr>
      <w:keepLines/>
      <w:spacing w:after="0" w:line="259" w:lineRule="auto"/>
      <w:outlineLvl w:val="9"/>
    </w:pPr>
    <w:rPr>
      <w:rFonts w:ascii="Calibri Light" w:hAnsi="Calibri Light"/>
      <w:b w:val="0"/>
      <w:bCs w:val="0"/>
      <w:color w:val="2E74B5"/>
      <w:kern w:val="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pPr>
      <w:keepNext/>
      <w:tabs>
        <w:tab w:val="num" w:pos="850"/>
      </w:tabs>
      <w:spacing w:before="120" w:after="120" w:line="240" w:lineRule="auto"/>
      <w:ind w:left="850" w:hanging="850"/>
      <w:jc w:val="both"/>
      <w:outlineLvl w:val="3"/>
    </w:pPr>
    <w:rPr>
      <w:rFonts w:ascii="Times New Roman" w:eastAsia="Times New Roman" w:hAnsi="Times New Roman"/>
      <w:bCs/>
      <w:sz w:val="24"/>
      <w:szCs w:val="28"/>
      <w:lang w:eastAsia="x-none"/>
    </w:rPr>
  </w:style>
  <w:style w:type="paragraph" w:styleId="Heading5">
    <w:name w:val="heading 5"/>
    <w:basedOn w:val="Normal"/>
    <w:next w:val="Normal"/>
    <w:link w:val="Heading5Char"/>
    <w:qFormat/>
    <w:pPr>
      <w:keepNext/>
      <w:spacing w:before="160" w:after="60" w:line="240" w:lineRule="auto"/>
      <w:jc w:val="both"/>
      <w:outlineLvl w:val="4"/>
    </w:pPr>
    <w:rPr>
      <w:rFonts w:ascii="Arial Narrow" w:hAnsi="Arial Narrow"/>
      <w:bCs/>
      <w:spacing w:val="8"/>
      <w:sz w:val="20"/>
      <w:szCs w:val="20"/>
      <w:u w:val="single"/>
      <w:lang w:val="en-IE" w:eastAsia="x-none"/>
    </w:rPr>
  </w:style>
  <w:style w:type="paragraph" w:styleId="Heading6">
    <w:name w:val="heading 6"/>
    <w:basedOn w:val="Normal"/>
    <w:next w:val="Normal"/>
    <w:link w:val="Heading6Char"/>
    <w:qFormat/>
    <w:pPr>
      <w:keepNext/>
      <w:spacing w:before="40" w:after="0" w:line="240" w:lineRule="auto"/>
      <w:ind w:left="57"/>
      <w:jc w:val="both"/>
      <w:outlineLvl w:val="5"/>
    </w:pPr>
    <w:rPr>
      <w:rFonts w:ascii="Myriad Pro SemiExt" w:hAnsi="Myriad Pro SemiExt"/>
      <w:b/>
      <w:bCs/>
      <w:sz w:val="16"/>
      <w:szCs w:val="20"/>
      <w:lang w:val="fr-FR" w:eastAsia="x-none"/>
    </w:rPr>
  </w:style>
  <w:style w:type="paragraph" w:styleId="Heading7">
    <w:name w:val="heading 7"/>
    <w:basedOn w:val="Normal"/>
    <w:next w:val="Normal"/>
    <w:link w:val="Heading7Char"/>
    <w:qFormat/>
    <w:pPr>
      <w:keepNext/>
      <w:spacing w:before="40" w:after="0" w:line="240" w:lineRule="auto"/>
      <w:ind w:left="57"/>
      <w:jc w:val="both"/>
      <w:outlineLvl w:val="6"/>
    </w:pPr>
    <w:rPr>
      <w:rFonts w:ascii="Myriad Pro Light" w:hAnsi="Myriad Pro Light"/>
      <w:b/>
      <w:bCs/>
      <w:sz w:val="16"/>
      <w:szCs w:val="20"/>
      <w:lang w:val="x-none" w:eastAsia="x-none"/>
    </w:rPr>
  </w:style>
  <w:style w:type="paragraph" w:styleId="Heading8">
    <w:name w:val="heading 8"/>
    <w:basedOn w:val="Normal"/>
    <w:next w:val="Normal"/>
    <w:link w:val="Heading8Char"/>
    <w:qFormat/>
    <w:pPr>
      <w:numPr>
        <w:numId w:val="16"/>
      </w:numPr>
      <w:spacing w:before="100" w:after="110" w:line="240" w:lineRule="auto"/>
      <w:jc w:val="both"/>
      <w:outlineLvl w:val="7"/>
    </w:pPr>
    <w:rPr>
      <w:rFonts w:ascii="Helvetica" w:hAnsi="Helvetica"/>
      <w:i/>
      <w:sz w:val="21"/>
      <w:szCs w:val="20"/>
      <w:lang w:val="fr-FR" w:eastAsia="x-none"/>
    </w:rPr>
  </w:style>
  <w:style w:type="paragraph" w:styleId="Heading9">
    <w:name w:val="heading 9"/>
    <w:basedOn w:val="Normal"/>
    <w:next w:val="Normal"/>
    <w:link w:val="Heading9Char"/>
    <w:qFormat/>
    <w:pPr>
      <w:spacing w:before="240" w:after="60" w:line="240" w:lineRule="auto"/>
      <w:jc w:val="both"/>
      <w:outlineLvl w:val="8"/>
    </w:pPr>
    <w:rPr>
      <w:rFonts w:ascii="Myriad Pro Light" w:hAnsi="Myriad Pro Light"/>
      <w:b/>
      <w:bCs/>
      <w:i/>
      <w:iCs/>
      <w:sz w:val="26"/>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36"/>
        <w:tab w:val="right" w:pos="9072"/>
      </w:tabs>
    </w:pPr>
    <w:rPr>
      <w:sz w:val="20"/>
      <w:szCs w:val="20"/>
      <w:lang w:val="x-none" w:eastAsia="x-none"/>
    </w:rPr>
  </w:style>
  <w:style w:type="character" w:customStyle="1" w:styleId="FooterChar">
    <w:name w:val="Footer Char"/>
    <w:link w:val="Footer"/>
    <w:uiPriority w:val="99"/>
    <w:rPr>
      <w:rFonts w:ascii="Calibri" w:eastAsia="Calibri" w:hAnsi="Calibri" w:cs="Times New Roman"/>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lang w:val="x-none" w:eastAsia="x-none"/>
    </w:rPr>
  </w:style>
  <w:style w:type="character" w:customStyle="1" w:styleId="CommentTextChar">
    <w:name w:val="Comment Text Char"/>
    <w:link w:val="CommentText"/>
    <w:uiPriority w:val="99"/>
    <w:rPr>
      <w:rFonts w:ascii="Calibri" w:eastAsia="Calibri" w:hAnsi="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pPr>
      <w:spacing w:line="240" w:lineRule="auto"/>
    </w:pPr>
    <w:rPr>
      <w:b/>
      <w:bCs/>
    </w:rPr>
  </w:style>
  <w:style w:type="character" w:customStyle="1" w:styleId="CommentSubjectChar">
    <w:name w:val="Comment Subject Char"/>
    <w:link w:val="CommentSubject"/>
    <w:uiPriority w:val="99"/>
    <w:semiHidden/>
    <w:rPr>
      <w:rFonts w:ascii="Calibri" w:eastAsia="Calibri" w:hAnsi="Calibri" w:cs="Times New Roman"/>
      <w:b/>
      <w:bCs/>
      <w:sz w:val="20"/>
      <w:szCs w:val="20"/>
    </w:rPr>
  </w:style>
  <w:style w:type="paragraph" w:customStyle="1" w:styleId="p90H2">
    <w:name w:val="_p9_0_H2"/>
    <w:pPr>
      <w:spacing w:before="360" w:after="160"/>
      <w:ind w:left="426" w:hanging="426"/>
    </w:pPr>
    <w:rPr>
      <w:rFonts w:ascii="Arial" w:hAnsi="Arial" w:cs="Arial"/>
      <w:b/>
      <w:bCs/>
      <w:color w:val="C00000"/>
      <w:sz w:val="24"/>
      <w:szCs w:val="24"/>
      <w:lang w:eastAsia="en-US"/>
    </w:rPr>
  </w:style>
  <w:style w:type="paragraph" w:customStyle="1" w:styleId="p92TitleFigure">
    <w:name w:val="_p9_2_Title_Figure"/>
    <w:pPr>
      <w:keepNext/>
      <w:spacing w:before="200" w:after="100" w:line="276" w:lineRule="auto"/>
      <w:ind w:left="142"/>
    </w:pPr>
    <w:rPr>
      <w:rFonts w:ascii="Arial Narrow" w:eastAsia="Cambria" w:hAnsi="Arial Narrow" w:cs="Arial"/>
      <w:b/>
      <w:bCs/>
      <w:noProof/>
      <w:color w:val="C00000"/>
      <w:lang w:eastAsia="en-US"/>
    </w:rPr>
  </w:style>
  <w:style w:type="paragraph" w:customStyle="1" w:styleId="Yo0DocTitle">
    <w:name w:val="_Yo_0_Doc_Title"/>
    <w:qFormat/>
    <w:pPr>
      <w:ind w:left="2694"/>
    </w:pPr>
    <w:rPr>
      <w:rFonts w:ascii="Verdana" w:eastAsia="Times New Roman" w:hAnsi="Verdana" w:cs="Arial"/>
      <w:b/>
      <w:bCs/>
      <w:color w:val="1F497D"/>
      <w:sz w:val="48"/>
      <w:szCs w:val="48"/>
      <w:lang w:val="nl-NL" w:eastAsia="en-US"/>
    </w:rPr>
  </w:style>
  <w:style w:type="paragraph" w:customStyle="1" w:styleId="Yo0DocSubtitle">
    <w:name w:val="_Yo_0_Doc_Subtitle"/>
    <w:basedOn w:val="Yo0DocTitle"/>
    <w:qFormat/>
    <w:pPr>
      <w:spacing w:before="240"/>
    </w:pPr>
    <w:rPr>
      <w:b w:val="0"/>
      <w:sz w:val="36"/>
      <w:szCs w:val="36"/>
    </w:rPr>
  </w:style>
  <w:style w:type="paragraph" w:customStyle="1" w:styleId="Yo0H1">
    <w:name w:val="_Yo_0_H1"/>
    <w:basedOn w:val="Heading1"/>
    <w:link w:val="Yo0H1Char"/>
    <w:pPr>
      <w:spacing w:after="300" w:line="300" w:lineRule="auto"/>
      <w:jc w:val="both"/>
    </w:pPr>
    <w:rPr>
      <w:rFonts w:ascii="Verdana" w:eastAsia="Calibri" w:hAnsi="Verdana" w:cs="MyriadPro-Bold"/>
      <w:bCs w:val="0"/>
      <w:color w:val="DB1E48"/>
      <w:kern w:val="0"/>
      <w:sz w:val="44"/>
      <w:szCs w:val="44"/>
      <w:lang w:val="en-US" w:eastAsia="fr-BE"/>
    </w:rPr>
  </w:style>
  <w:style w:type="character" w:customStyle="1" w:styleId="Heading1Char">
    <w:name w:val="Heading 1 Char"/>
    <w:link w:val="Heading1"/>
    <w:rPr>
      <w:rFonts w:ascii="Cambria" w:eastAsia="Times New Roman" w:hAnsi="Cambria" w:cs="Times New Roman"/>
      <w:b/>
      <w:bCs/>
      <w:kern w:val="32"/>
      <w:sz w:val="32"/>
      <w:szCs w:val="32"/>
      <w:lang w:val="en-GB" w:eastAsia="en-US"/>
    </w:rPr>
  </w:style>
  <w:style w:type="paragraph" w:customStyle="1" w:styleId="Yo0H2">
    <w:name w:val="_Yo_0_H2"/>
    <w:basedOn w:val="Heading2"/>
    <w:pPr>
      <w:spacing w:before="360" w:after="160" w:line="240" w:lineRule="auto"/>
      <w:jc w:val="both"/>
    </w:pPr>
    <w:rPr>
      <w:rFonts w:ascii="Arial Narrow" w:eastAsia="Calibri" w:hAnsi="Arial Narrow" w:cs="Arial"/>
      <w:b w:val="0"/>
      <w:i w:val="0"/>
      <w:iCs w:val="0"/>
      <w:caps/>
      <w:color w:val="DA1E48"/>
      <w:spacing w:val="10"/>
      <w:lang w:val="en-US"/>
    </w:rPr>
  </w:style>
  <w:style w:type="character" w:customStyle="1" w:styleId="Heading2Char">
    <w:name w:val="Heading 2 Char"/>
    <w:link w:val="Heading2"/>
    <w:rPr>
      <w:rFonts w:ascii="Cambria" w:eastAsia="Times New Roman" w:hAnsi="Cambria" w:cs="Times New Roman"/>
      <w:b/>
      <w:bCs/>
      <w:i/>
      <w:iCs/>
      <w:sz w:val="28"/>
      <w:szCs w:val="28"/>
      <w:lang w:val="en-GB" w:eastAsia="en-US"/>
    </w:rPr>
  </w:style>
  <w:style w:type="paragraph" w:customStyle="1" w:styleId="Yo0H3">
    <w:name w:val="_Yo_0_H3"/>
    <w:basedOn w:val="Heading3"/>
    <w:pPr>
      <w:spacing w:before="270" w:after="160" w:line="240" w:lineRule="auto"/>
      <w:jc w:val="both"/>
    </w:pPr>
    <w:rPr>
      <w:rFonts w:ascii="Calibri" w:eastAsia="Calibri" w:hAnsi="Calibri" w:cs="Calibri"/>
      <w:iCs/>
      <w:color w:val="C00000"/>
      <w:lang w:eastAsia="fr-BE"/>
    </w:rPr>
  </w:style>
  <w:style w:type="character" w:customStyle="1" w:styleId="Heading3Char">
    <w:name w:val="Heading 3 Char"/>
    <w:link w:val="Heading3"/>
    <w:rPr>
      <w:rFonts w:ascii="Cambria" w:eastAsia="Times New Roman" w:hAnsi="Cambria" w:cs="Times New Roman"/>
      <w:b/>
      <w:bCs/>
      <w:sz w:val="26"/>
      <w:szCs w:val="26"/>
      <w:lang w:val="en-GB" w:eastAsia="en-US"/>
    </w:rPr>
  </w:style>
  <w:style w:type="paragraph" w:customStyle="1" w:styleId="Yo0H4">
    <w:name w:val="_Yo_0_H4"/>
    <w:pPr>
      <w:suppressAutoHyphens/>
      <w:spacing w:before="240"/>
      <w:ind w:left="1418" w:hanging="1418"/>
      <w:outlineLvl w:val="4"/>
    </w:pPr>
    <w:rPr>
      <w:rFonts w:ascii="Arial Narrow" w:hAnsi="Arial Narrow" w:cs="Arial"/>
      <w:b/>
      <w:bCs/>
      <w:color w:val="C00000"/>
      <w:spacing w:val="30"/>
      <w:sz w:val="22"/>
      <w:szCs w:val="22"/>
      <w:lang w:eastAsia="en-US"/>
    </w:rPr>
  </w:style>
  <w:style w:type="paragraph" w:customStyle="1" w:styleId="Yo0H5">
    <w:name w:val="_Yo_0_H5"/>
    <w:pPr>
      <w:suppressAutoHyphens/>
      <w:spacing w:before="240" w:after="60"/>
      <w:ind w:left="1418" w:hanging="1418"/>
      <w:outlineLvl w:val="5"/>
    </w:pPr>
    <w:rPr>
      <w:rFonts w:ascii="Arial" w:eastAsia="Times New Roman" w:hAnsi="Arial" w:cs="Arial"/>
      <w:bCs/>
      <w:color w:val="C00000"/>
      <w:sz w:val="22"/>
      <w:u w:val="single"/>
      <w:lang w:eastAsia="en-US"/>
    </w:rPr>
  </w:style>
  <w:style w:type="paragraph" w:customStyle="1" w:styleId="Yo0H6">
    <w:name w:val="_Yo_0_H6"/>
    <w:pPr>
      <w:suppressAutoHyphens/>
      <w:spacing w:before="240" w:after="60"/>
      <w:ind w:left="1418" w:hanging="1418"/>
      <w:jc w:val="both"/>
      <w:outlineLvl w:val="6"/>
    </w:pPr>
    <w:rPr>
      <w:rFonts w:ascii="Arial Narrow" w:eastAsia="Times New Roman" w:hAnsi="Arial Narrow" w:cs="Arial"/>
      <w:bCs/>
      <w:i/>
      <w:color w:val="C00000"/>
      <w:spacing w:val="20"/>
      <w:lang w:eastAsia="en-US"/>
    </w:rPr>
  </w:style>
  <w:style w:type="paragraph" w:customStyle="1" w:styleId="Yo0H7">
    <w:name w:val="_Yo_0_H7"/>
    <w:pPr>
      <w:suppressAutoHyphens/>
      <w:spacing w:before="240" w:after="60"/>
      <w:ind w:left="1985" w:hanging="1985"/>
      <w:jc w:val="both"/>
      <w:outlineLvl w:val="6"/>
    </w:pPr>
    <w:rPr>
      <w:rFonts w:ascii="Arial Narrow" w:eastAsia="Times New Roman" w:hAnsi="Arial Narrow" w:cs="Arial"/>
      <w:color w:val="002060"/>
      <w:spacing w:val="20"/>
      <w:u w:val="single"/>
      <w:lang w:val="en-US" w:eastAsia="en-US"/>
    </w:rPr>
  </w:style>
  <w:style w:type="paragraph" w:customStyle="1" w:styleId="Yo0H8">
    <w:name w:val="_Yo_0_H8"/>
    <w:pPr>
      <w:suppressAutoHyphens/>
      <w:spacing w:before="240" w:after="60"/>
      <w:ind w:left="1985" w:hanging="1985"/>
      <w:jc w:val="both"/>
      <w:outlineLvl w:val="6"/>
    </w:pPr>
    <w:rPr>
      <w:rFonts w:ascii="Arial Narrow" w:eastAsia="Times New Roman" w:hAnsi="Arial Narrow" w:cs="Arial"/>
      <w:b/>
      <w:bCs/>
      <w:color w:val="0070C0"/>
      <w:spacing w:val="40"/>
      <w:w w:val="80"/>
      <w:lang w:val="en-US" w:eastAsia="en-US"/>
    </w:rPr>
  </w:style>
  <w:style w:type="paragraph" w:customStyle="1" w:styleId="Yo0H9">
    <w:name w:val="_Yo_0_H9"/>
    <w:pPr>
      <w:suppressAutoHyphens/>
      <w:spacing w:before="240" w:after="60"/>
      <w:ind w:left="1985" w:hanging="1985"/>
      <w:jc w:val="both"/>
      <w:outlineLvl w:val="6"/>
    </w:pPr>
    <w:rPr>
      <w:rFonts w:ascii="Arial Narrow" w:eastAsia="Times New Roman" w:hAnsi="Arial Narrow" w:cs="Arial"/>
      <w:i/>
      <w:iCs/>
      <w:color w:val="C00000"/>
      <w:spacing w:val="20"/>
      <w:lang w:eastAsia="en-US"/>
    </w:rPr>
  </w:style>
  <w:style w:type="paragraph" w:customStyle="1" w:styleId="Yo0Paratitle1">
    <w:name w:val="_Yo_0_Para_title_1"/>
    <w:basedOn w:val="Yo0DocTitle"/>
    <w:pPr>
      <w:spacing w:before="270" w:after="160"/>
      <w:ind w:left="0"/>
      <w:jc w:val="both"/>
    </w:pPr>
    <w:rPr>
      <w:rFonts w:ascii="Arial Narrow" w:hAnsi="Arial Narrow"/>
      <w:sz w:val="24"/>
      <w:szCs w:val="24"/>
    </w:rPr>
  </w:style>
  <w:style w:type="paragraph" w:customStyle="1" w:styleId="Yo0Paratitle2">
    <w:name w:val="_Yo_0_Para_title_2"/>
    <w:pPr>
      <w:keepNext/>
      <w:tabs>
        <w:tab w:val="left" w:pos="993"/>
      </w:tabs>
      <w:suppressAutoHyphens/>
      <w:spacing w:before="120" w:after="120" w:line="300" w:lineRule="auto"/>
      <w:jc w:val="both"/>
    </w:pPr>
    <w:rPr>
      <w:rFonts w:ascii="Verdana" w:hAnsi="Verdana" w:cs="Arial"/>
      <w:b/>
      <w:noProof/>
      <w:sz w:val="18"/>
      <w:szCs w:val="18"/>
      <w:lang w:val="nl-NL" w:eastAsia="nl-NL"/>
    </w:rPr>
  </w:style>
  <w:style w:type="paragraph" w:customStyle="1" w:styleId="Yo0Paratitle3">
    <w:name w:val="_Yo_0_Para_title_3"/>
    <w:pPr>
      <w:spacing w:before="120" w:after="120" w:line="276" w:lineRule="auto"/>
    </w:pPr>
    <w:rPr>
      <w:rFonts w:ascii="Arial Narrow" w:eastAsia="Times New Roman" w:hAnsi="Arial Narrow" w:cs="Arial"/>
      <w:b/>
      <w:i/>
      <w:color w:val="1F497D"/>
      <w:spacing w:val="20"/>
      <w:lang w:eastAsia="en-US"/>
    </w:rPr>
  </w:style>
  <w:style w:type="paragraph" w:customStyle="1" w:styleId="Yo0Paratitle4">
    <w:name w:val="_Yo_0_Para_title_4"/>
    <w:pPr>
      <w:spacing w:before="240" w:after="120"/>
      <w:outlineLvl w:val="0"/>
    </w:pPr>
    <w:rPr>
      <w:rFonts w:ascii="Arial Narrow" w:eastAsia="Times New Roman" w:hAnsi="Arial Narrow" w:cs="Arial"/>
      <w:bCs/>
      <w:color w:val="1F497D"/>
      <w:spacing w:val="20"/>
      <w:w w:val="80"/>
      <w:u w:val="single"/>
      <w:lang w:val="nl-NL" w:eastAsia="en-US"/>
    </w:rPr>
  </w:style>
  <w:style w:type="paragraph" w:customStyle="1" w:styleId="Yo1Textpara">
    <w:name w:val="_Yo_1_Text_para"/>
    <w:pPr>
      <w:tabs>
        <w:tab w:val="left" w:pos="4253"/>
      </w:tabs>
      <w:spacing w:before="160" w:line="300" w:lineRule="auto"/>
      <w:jc w:val="both"/>
    </w:pPr>
    <w:rPr>
      <w:rFonts w:ascii="Times New Roman" w:hAnsi="Times New Roman"/>
      <w:sz w:val="22"/>
      <w:lang w:eastAsia="fr-BE"/>
    </w:rPr>
  </w:style>
  <w:style w:type="paragraph" w:customStyle="1" w:styleId="Yo1Text">
    <w:name w:val="_Yo_1_Text"/>
    <w:basedOn w:val="Yo1Textpara"/>
    <w:qFormat/>
    <w:pPr>
      <w:spacing w:before="0"/>
    </w:pPr>
  </w:style>
  <w:style w:type="paragraph" w:customStyle="1" w:styleId="Yo11Textbulletlvl1">
    <w:name w:val="_Yo_11_Text_bullet_lvl_1"/>
    <w:basedOn w:val="Yo1Textpara"/>
    <w:pPr>
      <w:numPr>
        <w:numId w:val="1"/>
      </w:numPr>
      <w:tabs>
        <w:tab w:val="clear" w:pos="4253"/>
        <w:tab w:val="left" w:pos="426"/>
      </w:tabs>
      <w:spacing w:before="120"/>
    </w:pPr>
    <w:rPr>
      <w:lang w:val="en-US"/>
    </w:rPr>
  </w:style>
  <w:style w:type="paragraph" w:customStyle="1" w:styleId="Yo11Textbulletlvl2">
    <w:name w:val="_Yo_11_Text_bullet_lvl_2"/>
    <w:basedOn w:val="Yo1Textpara"/>
    <w:pPr>
      <w:numPr>
        <w:numId w:val="2"/>
      </w:numPr>
      <w:tabs>
        <w:tab w:val="clear" w:pos="4253"/>
        <w:tab w:val="left" w:pos="709"/>
      </w:tabs>
      <w:spacing w:before="100" w:line="264" w:lineRule="auto"/>
    </w:pPr>
    <w:rPr>
      <w:lang w:val="en-US"/>
    </w:rPr>
  </w:style>
  <w:style w:type="paragraph" w:customStyle="1" w:styleId="Yo11Textbulletlvl3">
    <w:name w:val="_Yo_11_Text_bullet_lvl_3"/>
    <w:basedOn w:val="Yo1Textpara"/>
    <w:pPr>
      <w:numPr>
        <w:numId w:val="3"/>
      </w:numPr>
      <w:tabs>
        <w:tab w:val="clear" w:pos="4253"/>
        <w:tab w:val="left" w:pos="981"/>
      </w:tabs>
      <w:spacing w:before="100" w:after="20"/>
    </w:pPr>
    <w:rPr>
      <w:rFonts w:ascii="Arial Narrow" w:hAnsi="Arial Narrow"/>
    </w:rPr>
  </w:style>
  <w:style w:type="paragraph" w:customStyle="1" w:styleId="Yo11TextNum1">
    <w:name w:val="_Yo_11_Text_Num_1"/>
    <w:basedOn w:val="Yo1Textpara"/>
    <w:next w:val="Normal"/>
    <w:pPr>
      <w:numPr>
        <w:numId w:val="4"/>
      </w:numPr>
      <w:tabs>
        <w:tab w:val="clear" w:pos="4253"/>
        <w:tab w:val="left" w:pos="426"/>
      </w:tabs>
      <w:spacing w:after="120"/>
    </w:pPr>
    <w:rPr>
      <w:rFonts w:eastAsia="Times New Roman"/>
      <w:color w:val="1F497D"/>
      <w:lang w:val="fr-FR"/>
    </w:rPr>
  </w:style>
  <w:style w:type="paragraph" w:customStyle="1" w:styleId="Yo11TextNum2">
    <w:name w:val="_Yo_11_Text_Num_2"/>
    <w:basedOn w:val="Yo1Textpara"/>
    <w:next w:val="Normal"/>
    <w:pPr>
      <w:numPr>
        <w:numId w:val="5"/>
      </w:numPr>
      <w:tabs>
        <w:tab w:val="clear" w:pos="4253"/>
        <w:tab w:val="left" w:pos="709"/>
      </w:tabs>
      <w:spacing w:before="120" w:after="120"/>
    </w:pPr>
    <w:rPr>
      <w:rFonts w:eastAsia="Times New Roman"/>
      <w:color w:val="1F497D"/>
      <w:lang w:val="fr-FR"/>
    </w:rPr>
  </w:style>
  <w:style w:type="paragraph" w:customStyle="1" w:styleId="Yo11TextNum3">
    <w:name w:val="_Yo_11_Text_Num_3"/>
    <w:basedOn w:val="Yo1Textpara"/>
    <w:next w:val="Normal"/>
    <w:pPr>
      <w:numPr>
        <w:numId w:val="6"/>
      </w:numPr>
      <w:tabs>
        <w:tab w:val="clear" w:pos="4253"/>
        <w:tab w:val="left" w:pos="993"/>
      </w:tabs>
      <w:spacing w:before="120" w:after="120"/>
    </w:pPr>
    <w:rPr>
      <w:rFonts w:eastAsia="Times New Roman"/>
      <w:color w:val="1F497D"/>
      <w:lang w:val="fr-FR"/>
    </w:rPr>
  </w:style>
  <w:style w:type="paragraph" w:customStyle="1" w:styleId="Yo12Encart">
    <w:name w:val="_Yo_12_Encart"/>
    <w:qFormat/>
    <w:pPr>
      <w:framePr w:hSpace="180" w:wrap="around" w:vAnchor="text" w:hAnchor="margin" w:xAlign="right" w:y="675"/>
      <w:spacing w:before="60" w:after="60"/>
      <w:ind w:left="142" w:right="108"/>
      <w:suppressOverlap/>
      <w:jc w:val="both"/>
    </w:pPr>
    <w:rPr>
      <w:rFonts w:ascii="Arial Narrow" w:hAnsi="Arial Narrow"/>
      <w:sz w:val="18"/>
      <w:szCs w:val="24"/>
      <w:lang w:eastAsia="en-US"/>
    </w:rPr>
  </w:style>
  <w:style w:type="paragraph" w:customStyle="1" w:styleId="Yo12Example">
    <w:name w:val="_Yo_12_Example"/>
    <w:pPr>
      <w:spacing w:before="120" w:line="300" w:lineRule="auto"/>
      <w:ind w:left="369"/>
      <w:jc w:val="both"/>
    </w:pPr>
    <w:rPr>
      <w:rFonts w:ascii="Arial Narrow" w:hAnsi="Arial Narrow"/>
      <w:color w:val="1F497D"/>
      <w:sz w:val="18"/>
      <w:szCs w:val="24"/>
      <w:lang w:eastAsia="en-US"/>
    </w:rPr>
  </w:style>
  <w:style w:type="paragraph" w:customStyle="1" w:styleId="Yo12TextParaForeword">
    <w:name w:val="_Yo_12_Text_Para_Foreword"/>
    <w:qFormat/>
    <w:pPr>
      <w:spacing w:before="240" w:line="360" w:lineRule="auto"/>
      <w:jc w:val="both"/>
    </w:pPr>
    <w:rPr>
      <w:rFonts w:ascii="Arial" w:eastAsia="Times New Roman" w:hAnsi="Arial" w:cs="Arial"/>
      <w:color w:val="1F497D"/>
      <w:lang w:eastAsia="en-US"/>
    </w:rPr>
  </w:style>
  <w:style w:type="paragraph" w:customStyle="1" w:styleId="Yo4centeredHeader">
    <w:name w:val="_Yo_4_centered_Header"/>
    <w:qFormat/>
    <w:pPr>
      <w:pBdr>
        <w:bottom w:val="single" w:sz="4" w:space="5" w:color="C00000"/>
      </w:pBdr>
      <w:jc w:val="center"/>
    </w:pPr>
    <w:rPr>
      <w:rFonts w:ascii="Arial Narrow" w:hAnsi="Arial Narrow" w:cs="Arial"/>
      <w:color w:val="000000"/>
      <w:spacing w:val="20"/>
      <w:sz w:val="18"/>
      <w:lang w:val="en-US" w:eastAsia="en-US"/>
    </w:rPr>
  </w:style>
  <w:style w:type="paragraph" w:customStyle="1" w:styleId="Yo4FootnoteSeparator">
    <w:name w:val="_Yo_4_Footnote_Separator"/>
    <w:qFormat/>
    <w:rPr>
      <w:color w:val="DA1E48"/>
      <w:sz w:val="22"/>
      <w:szCs w:val="22"/>
      <w:lang w:val="fr-BE" w:eastAsia="en-US"/>
    </w:rPr>
  </w:style>
  <w:style w:type="paragraph" w:customStyle="1" w:styleId="Yo4Headereven">
    <w:name w:val="_Yo_4_Header_even"/>
    <w:pPr>
      <w:spacing w:after="60"/>
    </w:pPr>
    <w:rPr>
      <w:rFonts w:ascii="Arial Narrow" w:hAnsi="Arial Narrow" w:cs="Arial"/>
      <w:color w:val="DA1E48"/>
      <w:spacing w:val="20"/>
      <w:sz w:val="22"/>
      <w:lang w:eastAsia="en-US"/>
    </w:rPr>
  </w:style>
  <w:style w:type="paragraph" w:customStyle="1" w:styleId="Yo4Headerodd">
    <w:name w:val="_Yo_4_Header_odd"/>
    <w:basedOn w:val="Yo4Headereven"/>
    <w:pPr>
      <w:jc w:val="right"/>
    </w:pPr>
    <w:rPr>
      <w:lang w:val="en-US"/>
    </w:rPr>
  </w:style>
  <w:style w:type="paragraph" w:customStyle="1" w:styleId="Yo5TextbaseTable">
    <w:name w:val="_Yo_5_Text_base_Table"/>
    <w:qFormat/>
    <w:pPr>
      <w:tabs>
        <w:tab w:val="left" w:pos="1985"/>
      </w:tabs>
    </w:pPr>
    <w:rPr>
      <w:rFonts w:ascii="Arial" w:eastAsia="Times New Roman" w:hAnsi="Arial" w:cs="Arial"/>
      <w:snapToGrid w:val="0"/>
      <w:sz w:val="16"/>
      <w:szCs w:val="16"/>
      <w:lang w:val="en-US" w:eastAsia="en-US"/>
    </w:rPr>
  </w:style>
  <w:style w:type="paragraph" w:customStyle="1" w:styleId="Yo5TextNotes">
    <w:name w:val="_Yo_5_Text_Notes"/>
    <w:pPr>
      <w:widowControl w:val="0"/>
      <w:tabs>
        <w:tab w:val="left" w:pos="1985"/>
      </w:tabs>
      <w:jc w:val="both"/>
    </w:pPr>
    <w:rPr>
      <w:rFonts w:ascii="Verdana" w:eastAsia="Times New Roman" w:hAnsi="Verdana" w:cs="Arial"/>
      <w:snapToGrid w:val="0"/>
      <w:sz w:val="14"/>
      <w:szCs w:val="16"/>
      <w:lang w:val="fr-FR" w:eastAsia="en-US"/>
    </w:rPr>
  </w:style>
  <w:style w:type="paragraph" w:customStyle="1" w:styleId="Yo5TextNotesafter">
    <w:name w:val="_Yo_5_Text_Notes_after"/>
    <w:basedOn w:val="Yo5TextNotes"/>
    <w:pPr>
      <w:tabs>
        <w:tab w:val="left" w:pos="5103"/>
      </w:tabs>
      <w:spacing w:after="60"/>
    </w:pPr>
    <w:rPr>
      <w:lang w:val="en-US"/>
    </w:rPr>
  </w:style>
  <w:style w:type="paragraph" w:customStyle="1" w:styleId="Yo5TextNotesbefore">
    <w:name w:val="_Yo_5_Text_Notes_before"/>
    <w:basedOn w:val="Yo5TextNotesafter"/>
    <w:pPr>
      <w:spacing w:before="120" w:after="0"/>
    </w:pPr>
  </w:style>
  <w:style w:type="paragraph" w:customStyle="1" w:styleId="Yo5TextNotesbeforeafter">
    <w:name w:val="_Yo_5_Text_Notes_before_after"/>
    <w:basedOn w:val="Yo5TextNotes"/>
    <w:pPr>
      <w:spacing w:before="60" w:after="60"/>
    </w:pPr>
  </w:style>
  <w:style w:type="paragraph" w:customStyle="1" w:styleId="Yo5TitleFigure">
    <w:name w:val="_Yo_5_Title_Figure"/>
    <w:pPr>
      <w:keepNext/>
      <w:spacing w:before="200" w:after="60" w:line="276" w:lineRule="auto"/>
    </w:pPr>
    <w:rPr>
      <w:rFonts w:ascii="Verdana" w:eastAsia="Cambria" w:hAnsi="Verdana" w:cs="Calibri"/>
      <w:bCs/>
      <w:noProof/>
      <w:color w:val="7F7F7F"/>
      <w:w w:val="80"/>
      <w:sz w:val="22"/>
      <w:szCs w:val="22"/>
      <w:lang w:eastAsia="en-US"/>
    </w:rPr>
  </w:style>
  <w:style w:type="paragraph" w:customStyle="1" w:styleId="Yo5TitleFigureend">
    <w:name w:val="_Yo_5_Title_Figure_end"/>
    <w:basedOn w:val="Yo5TitleFigure"/>
    <w:qFormat/>
    <w:pPr>
      <w:pBdr>
        <w:bottom w:val="single" w:sz="8" w:space="1" w:color="C00000"/>
        <w:right w:val="single" w:sz="8" w:space="4" w:color="C00000"/>
      </w:pBdr>
      <w:spacing w:before="0"/>
    </w:pPr>
  </w:style>
  <w:style w:type="paragraph" w:customStyle="1" w:styleId="Yo5TitleNotes">
    <w:name w:val="_Yo_5_Title_Notes"/>
    <w:pPr>
      <w:keepNext/>
      <w:spacing w:before="100" w:after="60"/>
    </w:pPr>
    <w:rPr>
      <w:rFonts w:ascii="Arial" w:eastAsia="Times New Roman" w:hAnsi="Arial" w:cs="Arial"/>
      <w:b/>
      <w:bCs/>
      <w:color w:val="C00000"/>
      <w:sz w:val="18"/>
      <w:u w:val="single"/>
      <w:lang w:val="fr-FR" w:eastAsia="en-US"/>
    </w:rPr>
  </w:style>
  <w:style w:type="paragraph" w:customStyle="1" w:styleId="Yo5TitleNotesbefore">
    <w:name w:val="_Yo_5_Title_Notes_before"/>
    <w:basedOn w:val="Yo5TextNotes"/>
    <w:next w:val="Yo5TextNotes"/>
    <w:pPr>
      <w:widowControl/>
      <w:tabs>
        <w:tab w:val="clear" w:pos="1985"/>
      </w:tabs>
      <w:spacing w:before="60"/>
    </w:pPr>
    <w:rPr>
      <w:snapToGrid/>
      <w:sz w:val="17"/>
      <w:szCs w:val="17"/>
    </w:rPr>
  </w:style>
  <w:style w:type="paragraph" w:customStyle="1" w:styleId="Yo6TOFTextTab">
    <w:name w:val="_Yo_6_TOF_Text_Tab"/>
    <w:qFormat/>
    <w:rPr>
      <w:rFonts w:ascii="Arial Narrow" w:eastAsia="Times New Roman" w:hAnsi="Arial Narrow" w:cs="Arial"/>
      <w:sz w:val="17"/>
      <w:szCs w:val="17"/>
      <w:lang w:eastAsia="en-US"/>
    </w:rPr>
  </w:style>
  <w:style w:type="paragraph" w:customStyle="1" w:styleId="Yo6TOFnumero">
    <w:name w:val="_Yo_6_TOF_numero"/>
    <w:basedOn w:val="Yo6TOFTextTab"/>
    <w:qFormat/>
    <w:pPr>
      <w:jc w:val="center"/>
    </w:pPr>
    <w:rPr>
      <w:sz w:val="16"/>
      <w:szCs w:val="16"/>
    </w:rPr>
  </w:style>
  <w:style w:type="paragraph" w:customStyle="1" w:styleId="Yo7ackCountries">
    <w:name w:val="_Yo_7_ack_Countries"/>
    <w:pPr>
      <w:pBdr>
        <w:top w:val="single" w:sz="4" w:space="3" w:color="C00000"/>
        <w:bottom w:val="single" w:sz="4" w:space="3" w:color="C00000"/>
      </w:pBdr>
      <w:spacing w:before="100" w:after="60"/>
    </w:pPr>
    <w:rPr>
      <w:rFonts w:ascii="Arial Narrow" w:eastAsia="Times New Roman" w:hAnsi="Arial Narrow"/>
      <w:b/>
      <w:color w:val="C00000"/>
      <w:sz w:val="18"/>
      <w:szCs w:val="18"/>
      <w:lang w:val="fr-FR" w:eastAsia="en-US"/>
    </w:rPr>
  </w:style>
  <w:style w:type="paragraph" w:customStyle="1" w:styleId="Yo7ackCountriesaddresses">
    <w:name w:val="_Yo_7_ack_Countries_addresses"/>
    <w:rPr>
      <w:rFonts w:ascii="Arial" w:eastAsia="Times New Roman" w:hAnsi="Arial" w:cs="Arial"/>
      <w:sz w:val="16"/>
      <w:szCs w:val="16"/>
      <w:lang w:val="fr-FR" w:eastAsia="en-US"/>
    </w:rPr>
  </w:style>
  <w:style w:type="paragraph" w:customStyle="1" w:styleId="Yo7ackeurydice">
    <w:name w:val="_Yo_7_ack_eurydice"/>
    <w:qFormat/>
    <w:pPr>
      <w:spacing w:before="240" w:line="300" w:lineRule="auto"/>
      <w:jc w:val="center"/>
    </w:pPr>
    <w:rPr>
      <w:rFonts w:ascii="Arial" w:eastAsia="Times New Roman" w:hAnsi="Arial" w:cs="Arial"/>
      <w:b/>
      <w:bCs/>
      <w:color w:val="C00000"/>
      <w:sz w:val="32"/>
      <w:lang w:eastAsia="en-US"/>
    </w:rPr>
  </w:style>
  <w:style w:type="paragraph" w:customStyle="1" w:styleId="Yo7ackFunctions">
    <w:name w:val="_Yo_7_ack_Functions"/>
    <w:qFormat/>
    <w:pPr>
      <w:spacing w:before="320" w:after="60"/>
      <w:jc w:val="center"/>
    </w:pPr>
    <w:rPr>
      <w:rFonts w:ascii="Arial" w:eastAsia="Times New Roman" w:hAnsi="Arial" w:cs="Arial"/>
      <w:b/>
      <w:bCs/>
      <w:color w:val="C00000"/>
      <w:sz w:val="24"/>
      <w:szCs w:val="24"/>
      <w:lang w:eastAsia="en-US"/>
    </w:rPr>
  </w:style>
  <w:style w:type="paragraph" w:customStyle="1" w:styleId="Yo7ackSubTitle">
    <w:name w:val="_Yo_7_ack_SubTitle"/>
    <w:qFormat/>
    <w:pPr>
      <w:spacing w:before="200" w:after="120"/>
      <w:jc w:val="center"/>
    </w:pPr>
    <w:rPr>
      <w:rFonts w:ascii="Arial" w:eastAsia="Times New Roman" w:hAnsi="Arial" w:cs="Arial"/>
      <w:b/>
      <w:bCs/>
      <w:color w:val="C00000"/>
      <w:sz w:val="28"/>
      <w:szCs w:val="28"/>
      <w:lang w:val="fr-FR" w:eastAsia="en-US"/>
    </w:rPr>
  </w:style>
  <w:style w:type="paragraph" w:customStyle="1" w:styleId="Yo7ackTextParacentered">
    <w:name w:val="_Yo_7_ack_Text_Para_centered"/>
    <w:qFormat/>
    <w:pPr>
      <w:spacing w:before="240" w:line="300" w:lineRule="auto"/>
      <w:jc w:val="center"/>
    </w:pPr>
    <w:rPr>
      <w:rFonts w:ascii="Arial" w:eastAsia="Times New Roman" w:hAnsi="Arial" w:cs="Arial"/>
      <w:lang w:val="fr-FR"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link w:val="Header"/>
    <w:uiPriority w:val="99"/>
    <w:rPr>
      <w:sz w:val="22"/>
      <w:szCs w:val="22"/>
      <w:lang w:val="en-GB" w:eastAsia="en-US"/>
    </w:rPr>
  </w:style>
  <w:style w:type="character" w:customStyle="1" w:styleId="Heading4Char">
    <w:name w:val="Heading 4 Char"/>
    <w:link w:val="Heading4"/>
    <w:rPr>
      <w:rFonts w:ascii="Times New Roman" w:eastAsia="Times New Roman" w:hAnsi="Times New Roman"/>
      <w:bCs/>
      <w:sz w:val="24"/>
      <w:szCs w:val="28"/>
      <w:lang w:val="en-GB" w:eastAsia="x-none"/>
    </w:rPr>
  </w:style>
  <w:style w:type="character" w:customStyle="1" w:styleId="Heading5Char">
    <w:name w:val="Heading 5 Char"/>
    <w:link w:val="Heading5"/>
    <w:rPr>
      <w:rFonts w:ascii="Arial Narrow" w:hAnsi="Arial Narrow"/>
      <w:bCs/>
      <w:spacing w:val="8"/>
      <w:u w:val="single"/>
      <w:lang w:val="en-IE" w:eastAsia="x-none"/>
    </w:rPr>
  </w:style>
  <w:style w:type="character" w:customStyle="1" w:styleId="Heading6Char">
    <w:name w:val="Heading 6 Char"/>
    <w:link w:val="Heading6"/>
    <w:rPr>
      <w:rFonts w:ascii="Myriad Pro SemiExt" w:hAnsi="Myriad Pro SemiExt"/>
      <w:b/>
      <w:bCs/>
      <w:sz w:val="16"/>
      <w:lang w:val="fr-FR" w:eastAsia="x-none"/>
    </w:rPr>
  </w:style>
  <w:style w:type="character" w:customStyle="1" w:styleId="Heading7Char">
    <w:name w:val="Heading 7 Char"/>
    <w:link w:val="Heading7"/>
    <w:rPr>
      <w:rFonts w:ascii="Myriad Pro Light" w:hAnsi="Myriad Pro Light"/>
      <w:b/>
      <w:bCs/>
      <w:sz w:val="16"/>
      <w:lang w:val="x-none" w:eastAsia="x-none"/>
    </w:rPr>
  </w:style>
  <w:style w:type="character" w:customStyle="1" w:styleId="Heading8Char">
    <w:name w:val="Heading 8 Char"/>
    <w:link w:val="Heading8"/>
    <w:rPr>
      <w:rFonts w:ascii="Helvetica" w:hAnsi="Helvetica"/>
      <w:i/>
      <w:sz w:val="21"/>
      <w:lang w:val="fr-FR" w:eastAsia="x-none"/>
    </w:rPr>
  </w:style>
  <w:style w:type="character" w:customStyle="1" w:styleId="Heading9Char">
    <w:name w:val="Heading 9 Char"/>
    <w:link w:val="Heading9"/>
    <w:rPr>
      <w:rFonts w:ascii="Myriad Pro Light" w:hAnsi="Myriad Pro Light"/>
      <w:b/>
      <w:bCs/>
      <w:i/>
      <w:iCs/>
      <w:sz w:val="26"/>
      <w:lang w:val="en-GB" w:eastAsia="en-GB"/>
    </w:rPr>
  </w:style>
  <w:style w:type="paragraph" w:styleId="FootnoteText">
    <w:name w:val="footnote text"/>
    <w:basedOn w:val="Normal"/>
    <w:link w:val="FootnoteTextChar"/>
    <w:pPr>
      <w:spacing w:before="40" w:after="0" w:line="240" w:lineRule="auto"/>
      <w:ind w:left="720" w:hanging="720"/>
      <w:jc w:val="both"/>
    </w:pPr>
    <w:rPr>
      <w:rFonts w:ascii="Times New Roman" w:eastAsia="Times New Roman" w:hAnsi="Times New Roman"/>
      <w:sz w:val="20"/>
      <w:szCs w:val="20"/>
      <w:lang w:val="x-none" w:eastAsia="x-none"/>
    </w:rPr>
  </w:style>
  <w:style w:type="character" w:customStyle="1" w:styleId="FootnoteTextChar">
    <w:name w:val="Footnote Text Char"/>
    <w:link w:val="FootnoteText"/>
    <w:rPr>
      <w:rFonts w:ascii="Times New Roman" w:eastAsia="Times New Roman" w:hAnsi="Times New Roman"/>
      <w:lang w:val="x-none" w:eastAsia="x-none"/>
    </w:rPr>
  </w:style>
  <w:style w:type="character" w:styleId="FootnoteReference">
    <w:name w:val="footnote reference"/>
    <w:rPr>
      <w:shd w:val="clear" w:color="auto" w:fill="auto"/>
      <w:vertAlign w:val="superscript"/>
    </w:rPr>
  </w:style>
  <w:style w:type="character" w:styleId="Hyperlink">
    <w:name w:val="Hyperlink"/>
    <w:uiPriority w:val="99"/>
    <w:rPr>
      <w:rFonts w:cs="Times New Roman"/>
      <w:color w:val="0000FF"/>
      <w:u w:val="single"/>
      <w:shd w:val="clear" w:color="auto" w:fill="auto"/>
    </w:rPr>
  </w:style>
  <w:style w:type="character" w:styleId="Strong">
    <w:name w:val="Strong"/>
    <w:qFormat/>
    <w:rPr>
      <w:rFonts w:cs="Times New Roman"/>
      <w:b/>
      <w:bCs/>
    </w:rPr>
  </w:style>
  <w:style w:type="paragraph" w:customStyle="1" w:styleId="textepar">
    <w:name w:val="texte+par"/>
    <w:link w:val="texteparChar"/>
    <w:pPr>
      <w:spacing w:before="160" w:line="300" w:lineRule="auto"/>
      <w:jc w:val="both"/>
    </w:pPr>
    <w:rPr>
      <w:rFonts w:ascii="Verdana" w:eastAsia="Times New Roman" w:hAnsi="Verdana"/>
      <w:color w:val="632423"/>
      <w:sz w:val="22"/>
      <w:szCs w:val="22"/>
      <w:lang w:eastAsia="en-US"/>
    </w:rPr>
  </w:style>
  <w:style w:type="character" w:customStyle="1" w:styleId="texteparChar">
    <w:name w:val="texte+par Char"/>
    <w:link w:val="textepar"/>
    <w:rPr>
      <w:rFonts w:ascii="Verdana" w:eastAsia="Times New Roman" w:hAnsi="Verdana"/>
      <w:color w:val="632423"/>
      <w:sz w:val="22"/>
      <w:szCs w:val="22"/>
      <w:lang w:val="en-GB" w:eastAsia="en-US" w:bidi="ar-SA"/>
    </w:rPr>
  </w:style>
  <w:style w:type="paragraph" w:styleId="Caption">
    <w:name w:val="caption"/>
    <w:basedOn w:val="Normal"/>
    <w:next w:val="Normal"/>
    <w:link w:val="CaptionChar"/>
    <w:autoRedefine/>
    <w:uiPriority w:val="99"/>
    <w:qFormat/>
    <w:pPr>
      <w:keepNext/>
      <w:spacing w:before="40" w:after="0" w:line="240" w:lineRule="auto"/>
      <w:jc w:val="both"/>
    </w:pPr>
    <w:rPr>
      <w:rFonts w:ascii="Arial" w:hAnsi="Arial"/>
      <w:b/>
      <w:bCs/>
      <w:noProof/>
      <w:color w:val="FF0000"/>
      <w:sz w:val="18"/>
      <w:szCs w:val="20"/>
      <w:lang w:val="en-US" w:eastAsia="x-none"/>
    </w:rPr>
  </w:style>
  <w:style w:type="character" w:customStyle="1" w:styleId="CaptionChar">
    <w:name w:val="Caption Char"/>
    <w:link w:val="Caption"/>
    <w:uiPriority w:val="99"/>
    <w:locked/>
    <w:rPr>
      <w:rFonts w:ascii="Arial" w:hAnsi="Arial" w:cs="Arial"/>
      <w:b/>
      <w:bCs/>
      <w:noProof/>
      <w:color w:val="FF0000"/>
      <w:sz w:val="18"/>
      <w:lang w:val="en-US" w:eastAsia="x-none"/>
    </w:rPr>
  </w:style>
  <w:style w:type="paragraph" w:customStyle="1" w:styleId="texte8">
    <w:name w:val="texte8"/>
    <w:link w:val="texte8Char"/>
    <w:pPr>
      <w:widowControl w:val="0"/>
    </w:pPr>
    <w:rPr>
      <w:rFonts w:ascii="Arial" w:hAnsi="Arial"/>
      <w:color w:val="632423"/>
      <w:sz w:val="16"/>
      <w:szCs w:val="16"/>
      <w:lang w:val="fr-FR"/>
    </w:rPr>
  </w:style>
  <w:style w:type="character" w:customStyle="1" w:styleId="texte8Char">
    <w:name w:val="texte8 Char"/>
    <w:link w:val="texte8"/>
    <w:locked/>
    <w:rPr>
      <w:rFonts w:ascii="Arial" w:hAnsi="Arial"/>
      <w:color w:val="632423"/>
      <w:sz w:val="16"/>
      <w:szCs w:val="16"/>
      <w:lang w:val="fr-FR" w:eastAsia="en-GB" w:bidi="ar-SA"/>
    </w:rPr>
  </w:style>
  <w:style w:type="paragraph" w:customStyle="1" w:styleId="Source">
    <w:name w:val="Source"/>
    <w:basedOn w:val="Normal"/>
    <w:next w:val="Normal"/>
    <w:qFormat/>
    <w:pPr>
      <w:widowControl w:val="0"/>
      <w:spacing w:before="40" w:after="120" w:line="240" w:lineRule="auto"/>
      <w:contextualSpacing/>
      <w:jc w:val="both"/>
    </w:pPr>
    <w:rPr>
      <w:rFonts w:ascii="Arial" w:eastAsia="Times New Roman" w:hAnsi="Arial"/>
      <w:snapToGrid w:val="0"/>
      <w:sz w:val="16"/>
      <w:szCs w:val="16"/>
    </w:rPr>
  </w:style>
  <w:style w:type="paragraph" w:customStyle="1" w:styleId="texte83av3ap">
    <w:name w:val="texte8_3av_3ap"/>
    <w:basedOn w:val="Normal"/>
    <w:pPr>
      <w:widowControl w:val="0"/>
      <w:spacing w:before="60" w:after="60" w:line="240" w:lineRule="auto"/>
      <w:jc w:val="both"/>
    </w:pPr>
    <w:rPr>
      <w:rFonts w:ascii="Arial" w:eastAsia="Times New Roman" w:hAnsi="Arial" w:cs="Arial"/>
      <w:color w:val="632423"/>
      <w:sz w:val="16"/>
      <w:szCs w:val="16"/>
    </w:rPr>
  </w:style>
  <w:style w:type="paragraph" w:customStyle="1" w:styleId="texte83av">
    <w:name w:val="texte8_3av"/>
    <w:basedOn w:val="Normal"/>
    <w:pPr>
      <w:widowControl w:val="0"/>
      <w:spacing w:before="60" w:after="0" w:line="240" w:lineRule="auto"/>
      <w:jc w:val="both"/>
    </w:pPr>
    <w:rPr>
      <w:rFonts w:ascii="Arial" w:eastAsia="Times New Roman" w:hAnsi="Arial" w:cs="Arial"/>
      <w:sz w:val="16"/>
      <w:szCs w:val="16"/>
    </w:rPr>
  </w:style>
  <w:style w:type="character" w:customStyle="1" w:styleId="Heading1Char1">
    <w:name w:val="Heading 1 Char1"/>
    <w:uiPriority w:val="99"/>
    <w:rPr>
      <w:rFonts w:ascii="Times New Roman" w:eastAsia="Times New Roman" w:hAnsi="Times New Roman" w:cs="Times New Roman"/>
      <w:b/>
      <w:bCs/>
      <w:smallCaps/>
      <w:sz w:val="24"/>
      <w:szCs w:val="32"/>
      <w:lang w:val="en-GB"/>
    </w:rPr>
  </w:style>
  <w:style w:type="character" w:customStyle="1" w:styleId="Heading2Char1">
    <w:name w:val="Heading 2 Char1"/>
    <w:uiPriority w:val="99"/>
    <w:rPr>
      <w:rFonts w:ascii="Times New Roman" w:eastAsia="Times New Roman" w:hAnsi="Times New Roman" w:cs="Times New Roman"/>
      <w:b/>
      <w:bCs/>
      <w:iCs/>
      <w:sz w:val="24"/>
      <w:szCs w:val="28"/>
      <w:lang w:val="en-GB"/>
    </w:rPr>
  </w:style>
  <w:style w:type="character" w:customStyle="1" w:styleId="Heading3Char1">
    <w:name w:val="Heading 3 Char1"/>
    <w:uiPriority w:val="99"/>
    <w:rPr>
      <w:rFonts w:ascii="Times New Roman" w:eastAsia="Times New Roman" w:hAnsi="Times New Roman" w:cs="Times New Roman"/>
      <w:bCs/>
      <w:i/>
      <w:sz w:val="24"/>
      <w:szCs w:val="26"/>
      <w:lang w:val="en-GB"/>
    </w:rPr>
  </w:style>
  <w:style w:type="character" w:customStyle="1" w:styleId="Heading4Char1">
    <w:name w:val="Heading 4 Char1"/>
    <w:uiPriority w:val="99"/>
    <w:rPr>
      <w:rFonts w:ascii="Times New Roman" w:eastAsia="Times New Roman" w:hAnsi="Times New Roman" w:cs="Times New Roman"/>
      <w:bCs/>
      <w:sz w:val="24"/>
      <w:szCs w:val="28"/>
      <w:lang w:val="en-GB"/>
    </w:rPr>
  </w:style>
  <w:style w:type="paragraph" w:customStyle="1" w:styleId="Text1">
    <w:name w:val="Text 1"/>
    <w:basedOn w:val="Normal"/>
    <w:uiPriority w:val="99"/>
    <w:pPr>
      <w:spacing w:before="120" w:after="120" w:line="240" w:lineRule="auto"/>
      <w:ind w:left="850"/>
      <w:jc w:val="both"/>
    </w:pPr>
    <w:rPr>
      <w:rFonts w:ascii="Times New Roman" w:eastAsia="Times New Roman" w:hAnsi="Times New Roman"/>
      <w:sz w:val="24"/>
      <w:szCs w:val="24"/>
    </w:rPr>
  </w:style>
  <w:style w:type="character" w:customStyle="1" w:styleId="HeaderChar1">
    <w:name w:val="Header Char1"/>
    <w:rPr>
      <w:rFonts w:ascii="Times New Roman" w:eastAsia="Times New Roman" w:hAnsi="Times New Roman"/>
      <w:sz w:val="24"/>
      <w:szCs w:val="24"/>
      <w:lang w:eastAsia="x-none"/>
    </w:rPr>
  </w:style>
  <w:style w:type="character" w:customStyle="1" w:styleId="FooterChar1">
    <w:name w:val="Footer Char1"/>
    <w:uiPriority w:val="99"/>
    <w:rPr>
      <w:rFonts w:ascii="Times New Roman" w:eastAsia="Times New Roman" w:hAnsi="Times New Roman"/>
      <w:sz w:val="24"/>
      <w:szCs w:val="24"/>
      <w:lang w:eastAsia="x-none"/>
    </w:rPr>
  </w:style>
  <w:style w:type="character" w:customStyle="1" w:styleId="FootnoteTextChar1">
    <w:name w:val="Footnote Text Char1"/>
    <w:semiHidden/>
    <w:rPr>
      <w:rFonts w:ascii="Times New Roman" w:eastAsia="Times New Roman" w:hAnsi="Times New Roman" w:cs="Times New Roman"/>
      <w:sz w:val="20"/>
      <w:szCs w:val="20"/>
      <w:lang w:val="en-GB"/>
    </w:rPr>
  </w:style>
  <w:style w:type="paragraph" w:styleId="TOC1">
    <w:name w:val="toc 1"/>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2">
    <w:name w:val="toc 2"/>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3">
    <w:name w:val="toc 3"/>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4">
    <w:name w:val="toc 4"/>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5">
    <w:name w:val="toc 5"/>
    <w:basedOn w:val="Normal"/>
    <w:next w:val="Normal"/>
    <w:uiPriority w:val="39"/>
    <w:pPr>
      <w:tabs>
        <w:tab w:val="right" w:leader="dot" w:pos="9071"/>
      </w:tabs>
      <w:spacing w:before="300" w:after="120" w:line="240" w:lineRule="auto"/>
      <w:jc w:val="both"/>
    </w:pPr>
    <w:rPr>
      <w:rFonts w:ascii="Times New Roman" w:eastAsia="Times New Roman" w:hAnsi="Times New Roman"/>
      <w:sz w:val="24"/>
      <w:szCs w:val="24"/>
    </w:rPr>
  </w:style>
  <w:style w:type="paragraph" w:styleId="TOC6">
    <w:name w:val="toc 6"/>
    <w:basedOn w:val="Normal"/>
    <w:next w:val="Normal"/>
    <w:uiPriority w:val="39"/>
    <w:pPr>
      <w:tabs>
        <w:tab w:val="right" w:leader="dot" w:pos="9071"/>
      </w:tabs>
      <w:spacing w:before="240" w:after="120" w:line="240" w:lineRule="auto"/>
      <w:jc w:val="both"/>
    </w:pPr>
    <w:rPr>
      <w:rFonts w:ascii="Times New Roman" w:eastAsia="Times New Roman" w:hAnsi="Times New Roman"/>
      <w:sz w:val="24"/>
      <w:szCs w:val="24"/>
    </w:rPr>
  </w:style>
  <w:style w:type="paragraph" w:styleId="TOC7">
    <w:name w:val="toc 7"/>
    <w:basedOn w:val="Normal"/>
    <w:next w:val="Normal"/>
    <w:uiPriority w:val="39"/>
    <w:pPr>
      <w:tabs>
        <w:tab w:val="right" w:leader="dot" w:pos="9071"/>
      </w:tabs>
      <w:spacing w:before="180" w:after="120" w:line="240" w:lineRule="auto"/>
      <w:jc w:val="both"/>
    </w:pPr>
    <w:rPr>
      <w:rFonts w:ascii="Times New Roman" w:eastAsia="Times New Roman" w:hAnsi="Times New Roman"/>
      <w:sz w:val="24"/>
      <w:szCs w:val="24"/>
    </w:rPr>
  </w:style>
  <w:style w:type="paragraph" w:styleId="TOC8">
    <w:name w:val="toc 8"/>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styleId="TOC9">
    <w:name w:val="toc 9"/>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customStyle="1" w:styleId="HeaderLandscape">
    <w:name w:val="HeaderLandscape"/>
    <w:basedOn w:val="Normal"/>
    <w:pPr>
      <w:tabs>
        <w:tab w:val="center" w:pos="7285"/>
        <w:tab w:val="right" w:pos="14003"/>
      </w:tabs>
      <w:spacing w:before="120" w:after="120" w:line="240" w:lineRule="auto"/>
      <w:jc w:val="both"/>
    </w:pPr>
    <w:rPr>
      <w:rFonts w:ascii="Times New Roman" w:eastAsia="Times New Roman" w:hAnsi="Times New Roman"/>
      <w:sz w:val="24"/>
      <w:szCs w:val="24"/>
    </w:rPr>
  </w:style>
  <w:style w:type="paragraph" w:customStyle="1" w:styleId="FooterLandscape">
    <w:name w:val="FooterLandscape"/>
    <w:basedOn w:val="Normal"/>
    <w:uiPriority w:val="99"/>
    <w:pPr>
      <w:tabs>
        <w:tab w:val="center" w:pos="7285"/>
        <w:tab w:val="center" w:pos="10913"/>
        <w:tab w:val="right" w:pos="15137"/>
      </w:tabs>
      <w:spacing w:before="360" w:after="0" w:line="240" w:lineRule="auto"/>
      <w:ind w:left="-567" w:right="-567"/>
      <w:jc w:val="both"/>
    </w:pPr>
    <w:rPr>
      <w:rFonts w:ascii="Times New Roman" w:eastAsia="Times New Roman" w:hAnsi="Times New Roman"/>
      <w:sz w:val="24"/>
      <w:szCs w:val="24"/>
    </w:rPr>
  </w:style>
  <w:style w:type="paragraph" w:customStyle="1" w:styleId="Text2">
    <w:name w:val="Text 2"/>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Text3">
    <w:name w:val="Text 3"/>
    <w:basedOn w:val="Normal"/>
    <w:uiPriority w:val="99"/>
    <w:pPr>
      <w:spacing w:before="120" w:after="120" w:line="240" w:lineRule="auto"/>
      <w:ind w:left="1984"/>
      <w:jc w:val="both"/>
    </w:pPr>
    <w:rPr>
      <w:rFonts w:ascii="Times New Roman" w:eastAsia="Times New Roman" w:hAnsi="Times New Roman"/>
      <w:sz w:val="24"/>
      <w:szCs w:val="24"/>
    </w:rPr>
  </w:style>
  <w:style w:type="paragraph" w:customStyle="1" w:styleId="Text4">
    <w:name w:val="Text 4"/>
    <w:basedOn w:val="Normal"/>
    <w:uiPriority w:val="99"/>
    <w:pPr>
      <w:spacing w:before="120" w:after="120" w:line="240" w:lineRule="auto"/>
      <w:ind w:left="2551"/>
      <w:jc w:val="both"/>
    </w:pPr>
    <w:rPr>
      <w:rFonts w:ascii="Times New Roman" w:eastAsia="Times New Roman" w:hAnsi="Times New Roman"/>
      <w:sz w:val="24"/>
      <w:szCs w:val="24"/>
    </w:rPr>
  </w:style>
  <w:style w:type="paragraph" w:customStyle="1" w:styleId="NormalCentered">
    <w:name w:val="Normal Centered"/>
    <w:basedOn w:val="Normal"/>
    <w:uiPriority w:val="99"/>
    <w:pPr>
      <w:spacing w:before="120" w:after="120" w:line="240" w:lineRule="auto"/>
      <w:jc w:val="center"/>
    </w:pPr>
    <w:rPr>
      <w:rFonts w:ascii="Times New Roman" w:eastAsia="Times New Roman" w:hAnsi="Times New Roman"/>
      <w:sz w:val="24"/>
      <w:szCs w:val="24"/>
    </w:rPr>
  </w:style>
  <w:style w:type="paragraph" w:customStyle="1" w:styleId="NormalLeft">
    <w:name w:val="Normal Left"/>
    <w:basedOn w:val="Normal"/>
    <w:uiPriority w:val="99"/>
    <w:pPr>
      <w:spacing w:before="120" w:after="120" w:line="240" w:lineRule="auto"/>
      <w:jc w:val="both"/>
    </w:pPr>
    <w:rPr>
      <w:rFonts w:ascii="Times New Roman" w:eastAsia="Times New Roman" w:hAnsi="Times New Roman"/>
      <w:sz w:val="24"/>
      <w:szCs w:val="24"/>
    </w:rPr>
  </w:style>
  <w:style w:type="paragraph" w:customStyle="1" w:styleId="NormalRight">
    <w:name w:val="Normal Right"/>
    <w:basedOn w:val="Normal"/>
    <w:uiPriority w:val="99"/>
    <w:pPr>
      <w:spacing w:before="120" w:after="120" w:line="240" w:lineRule="auto"/>
      <w:jc w:val="right"/>
    </w:pPr>
    <w:rPr>
      <w:rFonts w:ascii="Times New Roman" w:eastAsia="Times New Roman" w:hAnsi="Times New Roman"/>
      <w:sz w:val="24"/>
      <w:szCs w:val="24"/>
    </w:rPr>
  </w:style>
  <w:style w:type="paragraph" w:customStyle="1" w:styleId="QuotedText">
    <w:name w:val="Quoted Text"/>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Point0">
    <w:name w:val="Point 0"/>
    <w:basedOn w:val="Normal"/>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Point1">
    <w:name w:val="Point 1"/>
    <w:basedOn w:val="Normal"/>
    <w:pPr>
      <w:spacing w:before="120" w:after="120" w:line="240" w:lineRule="auto"/>
      <w:ind w:left="1417" w:hanging="567"/>
      <w:jc w:val="both"/>
    </w:pPr>
    <w:rPr>
      <w:rFonts w:ascii="Times New Roman" w:eastAsia="Times New Roman" w:hAnsi="Times New Roman"/>
      <w:sz w:val="24"/>
      <w:szCs w:val="24"/>
    </w:rPr>
  </w:style>
  <w:style w:type="paragraph" w:customStyle="1" w:styleId="Point2">
    <w:name w:val="Point 2"/>
    <w:basedOn w:val="Normal"/>
    <w:uiPriority w:val="99"/>
    <w:pPr>
      <w:spacing w:before="120" w:after="120" w:line="240" w:lineRule="auto"/>
      <w:ind w:left="1984" w:hanging="567"/>
      <w:jc w:val="both"/>
    </w:pPr>
    <w:rPr>
      <w:rFonts w:ascii="Times New Roman" w:eastAsia="Times New Roman" w:hAnsi="Times New Roman"/>
      <w:sz w:val="24"/>
      <w:szCs w:val="24"/>
    </w:rPr>
  </w:style>
  <w:style w:type="paragraph" w:customStyle="1" w:styleId="Point3">
    <w:name w:val="Point 3"/>
    <w:basedOn w:val="Normal"/>
    <w:uiPriority w:val="99"/>
    <w:pPr>
      <w:spacing w:before="120" w:after="120" w:line="240" w:lineRule="auto"/>
      <w:ind w:left="2551" w:hanging="567"/>
      <w:jc w:val="both"/>
    </w:pPr>
    <w:rPr>
      <w:rFonts w:ascii="Times New Roman" w:eastAsia="Times New Roman" w:hAnsi="Times New Roman"/>
      <w:sz w:val="24"/>
      <w:szCs w:val="24"/>
    </w:rPr>
  </w:style>
  <w:style w:type="paragraph" w:customStyle="1" w:styleId="Point4">
    <w:name w:val="Point 4"/>
    <w:basedOn w:val="Normal"/>
    <w:uiPriority w:val="99"/>
    <w:pPr>
      <w:spacing w:before="120" w:after="120" w:line="240" w:lineRule="auto"/>
      <w:ind w:left="3118" w:hanging="567"/>
      <w:jc w:val="both"/>
    </w:pPr>
    <w:rPr>
      <w:rFonts w:ascii="Times New Roman" w:eastAsia="Times New Roman" w:hAnsi="Times New Roman"/>
      <w:sz w:val="24"/>
      <w:szCs w:val="24"/>
    </w:rPr>
  </w:style>
  <w:style w:type="paragraph" w:customStyle="1" w:styleId="Tiret0">
    <w:name w:val="Tiret 0"/>
    <w:basedOn w:val="Point0"/>
    <w:pPr>
      <w:numPr>
        <w:numId w:val="19"/>
      </w:numPr>
    </w:pPr>
  </w:style>
  <w:style w:type="paragraph" w:customStyle="1" w:styleId="Tiret1">
    <w:name w:val="Tiret 1"/>
    <w:basedOn w:val="Point1"/>
    <w:pPr>
      <w:numPr>
        <w:numId w:val="20"/>
      </w:numPr>
    </w:pPr>
  </w:style>
  <w:style w:type="paragraph" w:customStyle="1" w:styleId="Tiret2">
    <w:name w:val="Tiret 2"/>
    <w:basedOn w:val="Point2"/>
    <w:pPr>
      <w:numPr>
        <w:numId w:val="21"/>
      </w:numPr>
    </w:pPr>
  </w:style>
  <w:style w:type="paragraph" w:customStyle="1" w:styleId="Tiret3">
    <w:name w:val="Tiret 3"/>
    <w:basedOn w:val="Point3"/>
    <w:pPr>
      <w:numPr>
        <w:numId w:val="22"/>
      </w:numPr>
    </w:pPr>
  </w:style>
  <w:style w:type="paragraph" w:customStyle="1" w:styleId="Tiret4">
    <w:name w:val="Tiret 4"/>
    <w:basedOn w:val="Point4"/>
    <w:pPr>
      <w:numPr>
        <w:numId w:val="23"/>
      </w:numPr>
    </w:pPr>
  </w:style>
  <w:style w:type="paragraph" w:customStyle="1" w:styleId="PointDouble0">
    <w:name w:val="PointDouble 0"/>
    <w:basedOn w:val="Normal"/>
    <w:uiPriority w:val="99"/>
    <w:pPr>
      <w:tabs>
        <w:tab w:val="left" w:pos="850"/>
      </w:tabs>
      <w:spacing w:before="120" w:after="120" w:line="240" w:lineRule="auto"/>
      <w:ind w:left="1417" w:hanging="1417"/>
      <w:jc w:val="both"/>
    </w:pPr>
    <w:rPr>
      <w:rFonts w:ascii="Times New Roman" w:eastAsia="Times New Roman" w:hAnsi="Times New Roman"/>
      <w:sz w:val="24"/>
      <w:szCs w:val="24"/>
    </w:rPr>
  </w:style>
  <w:style w:type="paragraph" w:customStyle="1" w:styleId="PointDouble1">
    <w:name w:val="PointDouble 1"/>
    <w:basedOn w:val="Normal"/>
    <w:uiPriority w:val="99"/>
    <w:pPr>
      <w:tabs>
        <w:tab w:val="left" w:pos="1417"/>
      </w:tabs>
      <w:spacing w:before="120" w:after="120" w:line="240" w:lineRule="auto"/>
      <w:ind w:left="1984" w:hanging="1134"/>
      <w:jc w:val="both"/>
    </w:pPr>
    <w:rPr>
      <w:rFonts w:ascii="Times New Roman" w:eastAsia="Times New Roman" w:hAnsi="Times New Roman"/>
      <w:sz w:val="24"/>
      <w:szCs w:val="24"/>
    </w:rPr>
  </w:style>
  <w:style w:type="paragraph" w:customStyle="1" w:styleId="PointDouble2">
    <w:name w:val="PointDouble 2"/>
    <w:basedOn w:val="Normal"/>
    <w:uiPriority w:val="99"/>
    <w:pPr>
      <w:tabs>
        <w:tab w:val="left" w:pos="1984"/>
      </w:tabs>
      <w:spacing w:before="120" w:after="120" w:line="240" w:lineRule="auto"/>
      <w:ind w:left="2551" w:hanging="1134"/>
      <w:jc w:val="both"/>
    </w:pPr>
    <w:rPr>
      <w:rFonts w:ascii="Times New Roman" w:eastAsia="Times New Roman" w:hAnsi="Times New Roman"/>
      <w:sz w:val="24"/>
      <w:szCs w:val="24"/>
    </w:rPr>
  </w:style>
  <w:style w:type="paragraph" w:customStyle="1" w:styleId="PointDouble3">
    <w:name w:val="PointDouble 3"/>
    <w:basedOn w:val="Normal"/>
    <w:uiPriority w:val="99"/>
    <w:pPr>
      <w:tabs>
        <w:tab w:val="left" w:pos="2551"/>
      </w:tabs>
      <w:spacing w:before="120" w:after="120" w:line="240" w:lineRule="auto"/>
      <w:ind w:left="3118" w:hanging="1134"/>
      <w:jc w:val="both"/>
    </w:pPr>
    <w:rPr>
      <w:rFonts w:ascii="Times New Roman" w:eastAsia="Times New Roman" w:hAnsi="Times New Roman"/>
      <w:sz w:val="24"/>
      <w:szCs w:val="24"/>
    </w:rPr>
  </w:style>
  <w:style w:type="paragraph" w:customStyle="1" w:styleId="PointDouble4">
    <w:name w:val="PointDouble 4"/>
    <w:basedOn w:val="Normal"/>
    <w:uiPriority w:val="99"/>
    <w:pPr>
      <w:tabs>
        <w:tab w:val="left" w:pos="3118"/>
      </w:tabs>
      <w:spacing w:before="120" w:after="120" w:line="240" w:lineRule="auto"/>
      <w:ind w:left="3685" w:hanging="1134"/>
      <w:jc w:val="both"/>
    </w:pPr>
    <w:rPr>
      <w:rFonts w:ascii="Times New Roman" w:eastAsia="Times New Roman" w:hAnsi="Times New Roman"/>
      <w:sz w:val="24"/>
      <w:szCs w:val="24"/>
    </w:rPr>
  </w:style>
  <w:style w:type="paragraph" w:customStyle="1" w:styleId="PointTriple0">
    <w:name w:val="PointTriple 0"/>
    <w:basedOn w:val="Normal"/>
    <w:uiPriority w:val="99"/>
    <w:pPr>
      <w:tabs>
        <w:tab w:val="left" w:pos="850"/>
        <w:tab w:val="left" w:pos="1417"/>
      </w:tabs>
      <w:spacing w:before="120" w:after="120" w:line="240" w:lineRule="auto"/>
      <w:ind w:left="1984" w:hanging="1984"/>
      <w:jc w:val="both"/>
    </w:pPr>
    <w:rPr>
      <w:rFonts w:ascii="Times New Roman" w:eastAsia="Times New Roman" w:hAnsi="Times New Roman"/>
      <w:sz w:val="24"/>
      <w:szCs w:val="24"/>
    </w:rPr>
  </w:style>
  <w:style w:type="paragraph" w:customStyle="1" w:styleId="PointTriple1">
    <w:name w:val="PointTriple 1"/>
    <w:basedOn w:val="Normal"/>
    <w:uiPriority w:val="99"/>
    <w:pPr>
      <w:tabs>
        <w:tab w:val="left" w:pos="1417"/>
        <w:tab w:val="left" w:pos="1984"/>
      </w:tabs>
      <w:spacing w:before="120" w:after="120" w:line="240" w:lineRule="auto"/>
      <w:ind w:left="2551" w:hanging="1701"/>
      <w:jc w:val="both"/>
    </w:pPr>
    <w:rPr>
      <w:rFonts w:ascii="Times New Roman" w:eastAsia="Times New Roman" w:hAnsi="Times New Roman"/>
      <w:sz w:val="24"/>
      <w:szCs w:val="24"/>
    </w:rPr>
  </w:style>
  <w:style w:type="paragraph" w:customStyle="1" w:styleId="PointTriple2">
    <w:name w:val="PointTriple 2"/>
    <w:basedOn w:val="Normal"/>
    <w:uiPriority w:val="99"/>
    <w:pPr>
      <w:tabs>
        <w:tab w:val="left" w:pos="1984"/>
        <w:tab w:val="left" w:pos="2551"/>
      </w:tabs>
      <w:spacing w:before="120" w:after="120" w:line="240" w:lineRule="auto"/>
      <w:ind w:left="3118" w:hanging="1701"/>
      <w:jc w:val="both"/>
    </w:pPr>
    <w:rPr>
      <w:rFonts w:ascii="Times New Roman" w:eastAsia="Times New Roman" w:hAnsi="Times New Roman"/>
      <w:sz w:val="24"/>
      <w:szCs w:val="24"/>
    </w:rPr>
  </w:style>
  <w:style w:type="paragraph" w:customStyle="1" w:styleId="PointTriple3">
    <w:name w:val="PointTriple 3"/>
    <w:basedOn w:val="Normal"/>
    <w:uiPriority w:val="99"/>
    <w:pPr>
      <w:tabs>
        <w:tab w:val="left" w:pos="2551"/>
        <w:tab w:val="left" w:pos="3118"/>
      </w:tabs>
      <w:spacing w:before="120" w:after="120" w:line="240" w:lineRule="auto"/>
      <w:ind w:left="3685" w:hanging="1701"/>
      <w:jc w:val="both"/>
    </w:pPr>
    <w:rPr>
      <w:rFonts w:ascii="Times New Roman" w:eastAsia="Times New Roman" w:hAnsi="Times New Roman"/>
      <w:sz w:val="24"/>
      <w:szCs w:val="24"/>
    </w:rPr>
  </w:style>
  <w:style w:type="paragraph" w:customStyle="1" w:styleId="PointTriple4">
    <w:name w:val="PointTriple 4"/>
    <w:basedOn w:val="Normal"/>
    <w:uiPriority w:val="99"/>
    <w:pPr>
      <w:tabs>
        <w:tab w:val="left" w:pos="3118"/>
        <w:tab w:val="left" w:pos="3685"/>
      </w:tabs>
      <w:spacing w:before="120" w:after="120" w:line="240" w:lineRule="auto"/>
      <w:ind w:left="4252" w:hanging="1701"/>
      <w:jc w:val="both"/>
    </w:pPr>
    <w:rPr>
      <w:rFonts w:ascii="Times New Roman" w:eastAsia="Times New Roman" w:hAnsi="Times New Roman"/>
      <w:sz w:val="24"/>
      <w:szCs w:val="24"/>
    </w:rPr>
  </w:style>
  <w:style w:type="paragraph" w:customStyle="1" w:styleId="NumPar1">
    <w:name w:val="NumPar 1"/>
    <w:basedOn w:val="Normal"/>
    <w:next w:val="Text1"/>
    <w:pPr>
      <w:numPr>
        <w:numId w:val="24"/>
      </w:numPr>
      <w:spacing w:before="120" w:after="120" w:line="240" w:lineRule="auto"/>
      <w:jc w:val="both"/>
    </w:pPr>
    <w:rPr>
      <w:rFonts w:ascii="Times New Roman" w:eastAsia="Times New Roman" w:hAnsi="Times New Roman"/>
      <w:sz w:val="24"/>
      <w:szCs w:val="24"/>
    </w:rPr>
  </w:style>
  <w:style w:type="paragraph" w:customStyle="1" w:styleId="NumPar2">
    <w:name w:val="NumPar 2"/>
    <w:basedOn w:val="Normal"/>
    <w:next w:val="Text1"/>
    <w:pPr>
      <w:numPr>
        <w:ilvl w:val="1"/>
        <w:numId w:val="24"/>
      </w:numPr>
      <w:spacing w:before="120" w:after="120" w:line="240" w:lineRule="auto"/>
      <w:jc w:val="both"/>
    </w:pPr>
    <w:rPr>
      <w:rFonts w:ascii="Times New Roman" w:eastAsia="Times New Roman" w:hAnsi="Times New Roman"/>
      <w:sz w:val="24"/>
      <w:szCs w:val="24"/>
    </w:rPr>
  </w:style>
  <w:style w:type="paragraph" w:customStyle="1" w:styleId="NumPar3">
    <w:name w:val="NumPar 3"/>
    <w:basedOn w:val="Normal"/>
    <w:next w:val="Text1"/>
    <w:pPr>
      <w:numPr>
        <w:ilvl w:val="2"/>
        <w:numId w:val="24"/>
      </w:numPr>
      <w:spacing w:before="120" w:after="120" w:line="240" w:lineRule="auto"/>
      <w:jc w:val="both"/>
    </w:pPr>
    <w:rPr>
      <w:rFonts w:ascii="Times New Roman" w:eastAsia="Times New Roman" w:hAnsi="Times New Roman"/>
      <w:sz w:val="24"/>
      <w:szCs w:val="24"/>
    </w:rPr>
  </w:style>
  <w:style w:type="paragraph" w:customStyle="1" w:styleId="NumPar4">
    <w:name w:val="NumPar 4"/>
    <w:basedOn w:val="Normal"/>
    <w:next w:val="Text1"/>
    <w:pPr>
      <w:numPr>
        <w:ilvl w:val="3"/>
        <w:numId w:val="24"/>
      </w:numPr>
      <w:spacing w:before="120" w:after="120" w:line="240" w:lineRule="auto"/>
      <w:jc w:val="both"/>
    </w:pPr>
    <w:rPr>
      <w:rFonts w:ascii="Times New Roman" w:eastAsia="Times New Roman" w:hAnsi="Times New Roman"/>
      <w:sz w:val="24"/>
      <w:szCs w:val="24"/>
    </w:rPr>
  </w:style>
  <w:style w:type="paragraph" w:customStyle="1" w:styleId="ManualNumPar1">
    <w:name w:val="Manual NumPar 1"/>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2">
    <w:name w:val="Manual NumPar 2"/>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3">
    <w:name w:val="Manual NumPar 3"/>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4">
    <w:name w:val="Manual NumPar 4"/>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QuotedNumPar">
    <w:name w:val="Quoted NumPar"/>
    <w:basedOn w:val="Normal"/>
    <w:uiPriority w:val="99"/>
    <w:pPr>
      <w:spacing w:before="120" w:after="120" w:line="240" w:lineRule="auto"/>
      <w:ind w:left="1417" w:hanging="567"/>
      <w:jc w:val="both"/>
    </w:pPr>
    <w:rPr>
      <w:rFonts w:ascii="Times New Roman" w:eastAsia="Times New Roman" w:hAnsi="Times New Roman"/>
      <w:sz w:val="24"/>
      <w:szCs w:val="24"/>
    </w:rPr>
  </w:style>
  <w:style w:type="paragraph" w:customStyle="1" w:styleId="ManualHeading1">
    <w:name w:val="Manual Heading 1"/>
    <w:basedOn w:val="Normal"/>
    <w:next w:val="Text1"/>
    <w:uiPriority w:val="99"/>
    <w:pPr>
      <w:keepNext/>
      <w:tabs>
        <w:tab w:val="left" w:pos="850"/>
      </w:tabs>
      <w:spacing w:before="360" w:after="120" w:line="240" w:lineRule="auto"/>
      <w:ind w:left="850" w:hanging="850"/>
      <w:jc w:val="both"/>
      <w:outlineLvl w:val="0"/>
    </w:pPr>
    <w:rPr>
      <w:rFonts w:ascii="Times New Roman" w:eastAsia="Times New Roman" w:hAnsi="Times New Roman"/>
      <w:b/>
      <w:smallCaps/>
      <w:sz w:val="24"/>
      <w:szCs w:val="24"/>
    </w:rPr>
  </w:style>
  <w:style w:type="paragraph" w:customStyle="1" w:styleId="ManualHeading2">
    <w:name w:val="Manual Heading 2"/>
    <w:basedOn w:val="Normal"/>
    <w:next w:val="Text1"/>
    <w:uiPriority w:val="99"/>
    <w:pPr>
      <w:keepNext/>
      <w:tabs>
        <w:tab w:val="left" w:pos="850"/>
      </w:tabs>
      <w:spacing w:before="120" w:after="120" w:line="240" w:lineRule="auto"/>
      <w:ind w:left="850" w:hanging="850"/>
      <w:jc w:val="both"/>
      <w:outlineLvl w:val="1"/>
    </w:pPr>
    <w:rPr>
      <w:rFonts w:ascii="Times New Roman" w:eastAsia="Times New Roman" w:hAnsi="Times New Roman"/>
      <w:b/>
      <w:sz w:val="24"/>
      <w:szCs w:val="24"/>
    </w:rPr>
  </w:style>
  <w:style w:type="paragraph" w:customStyle="1" w:styleId="ManualHeading3">
    <w:name w:val="Manual Heading 3"/>
    <w:basedOn w:val="Normal"/>
    <w:next w:val="Text1"/>
    <w:uiPriority w:val="99"/>
    <w:pPr>
      <w:keepNext/>
      <w:tabs>
        <w:tab w:val="left" w:pos="850"/>
      </w:tabs>
      <w:spacing w:before="120" w:after="120" w:line="240" w:lineRule="auto"/>
      <w:ind w:left="850" w:hanging="850"/>
      <w:jc w:val="both"/>
      <w:outlineLvl w:val="2"/>
    </w:pPr>
    <w:rPr>
      <w:rFonts w:ascii="Times New Roman" w:eastAsia="Times New Roman" w:hAnsi="Times New Roman"/>
      <w:i/>
      <w:sz w:val="24"/>
      <w:szCs w:val="24"/>
    </w:rPr>
  </w:style>
  <w:style w:type="paragraph" w:customStyle="1" w:styleId="ManualHeading4">
    <w:name w:val="Manual Heading 4"/>
    <w:basedOn w:val="Normal"/>
    <w:next w:val="Text1"/>
    <w:uiPriority w:val="99"/>
    <w:pPr>
      <w:keepNext/>
      <w:tabs>
        <w:tab w:val="left" w:pos="850"/>
      </w:tabs>
      <w:spacing w:before="120" w:after="120" w:line="240" w:lineRule="auto"/>
      <w:ind w:left="850" w:hanging="850"/>
      <w:jc w:val="both"/>
      <w:outlineLvl w:val="3"/>
    </w:pPr>
    <w:rPr>
      <w:rFonts w:ascii="Times New Roman" w:eastAsia="Times New Roman" w:hAnsi="Times New Roman"/>
      <w:sz w:val="24"/>
      <w:szCs w:val="24"/>
    </w:rPr>
  </w:style>
  <w:style w:type="paragraph" w:customStyle="1" w:styleId="ChapterTitle">
    <w:name w:val="ChapterTitle"/>
    <w:basedOn w:val="Normal"/>
    <w:next w:val="Normal"/>
    <w:uiPriority w:val="99"/>
    <w:pPr>
      <w:keepNext/>
      <w:spacing w:before="120" w:after="360" w:line="240" w:lineRule="auto"/>
      <w:jc w:val="center"/>
    </w:pPr>
    <w:rPr>
      <w:rFonts w:ascii="Times New Roman" w:eastAsia="Times New Roman" w:hAnsi="Times New Roman"/>
      <w:b/>
      <w:sz w:val="32"/>
      <w:szCs w:val="24"/>
    </w:rPr>
  </w:style>
  <w:style w:type="paragraph" w:customStyle="1" w:styleId="PartTitle">
    <w:name w:val="PartTitle"/>
    <w:basedOn w:val="Normal"/>
    <w:next w:val="ChapterTitle"/>
    <w:uiPriority w:val="99"/>
    <w:pPr>
      <w:keepNext/>
      <w:pageBreakBefore/>
      <w:spacing w:before="120" w:after="360" w:line="240" w:lineRule="auto"/>
      <w:jc w:val="center"/>
    </w:pPr>
    <w:rPr>
      <w:rFonts w:ascii="Times New Roman" w:eastAsia="Times New Roman" w:hAnsi="Times New Roman"/>
      <w:b/>
      <w:sz w:val="36"/>
      <w:szCs w:val="24"/>
    </w:rPr>
  </w:style>
  <w:style w:type="paragraph" w:customStyle="1" w:styleId="SectionTitle">
    <w:name w:val="SectionTitle"/>
    <w:basedOn w:val="Normal"/>
    <w:next w:val="Heading1"/>
    <w:uiPriority w:val="99"/>
    <w:pPr>
      <w:keepNext/>
      <w:spacing w:before="120" w:after="360" w:line="240" w:lineRule="auto"/>
      <w:jc w:val="center"/>
    </w:pPr>
    <w:rPr>
      <w:rFonts w:ascii="Times New Roman" w:eastAsia="Times New Roman" w:hAnsi="Times New Roman"/>
      <w:b/>
      <w:smallCaps/>
      <w:sz w:val="28"/>
      <w:szCs w:val="24"/>
    </w:rPr>
  </w:style>
  <w:style w:type="paragraph" w:customStyle="1" w:styleId="TableTitle">
    <w:name w:val="Table Title"/>
    <w:basedOn w:val="Normal"/>
    <w:next w:val="Normal"/>
    <w:uiPriority w:val="99"/>
    <w:pPr>
      <w:spacing w:before="120" w:after="120" w:line="240" w:lineRule="auto"/>
      <w:jc w:val="center"/>
    </w:pPr>
    <w:rPr>
      <w:rFonts w:ascii="Times New Roman" w:eastAsia="Times New Roman" w:hAnsi="Times New Roman"/>
      <w:b/>
      <w:sz w:val="24"/>
      <w:szCs w:val="24"/>
    </w:rPr>
  </w:style>
  <w:style w:type="character" w:customStyle="1" w:styleId="Marker">
    <w:name w:val="Marker"/>
    <w:uiPriority w:val="99"/>
    <w:rPr>
      <w:rFonts w:cs="Times New Roman"/>
      <w:color w:val="0000FF"/>
      <w:shd w:val="clear" w:color="auto" w:fill="auto"/>
    </w:rPr>
  </w:style>
  <w:style w:type="character" w:customStyle="1" w:styleId="Marker1">
    <w:name w:val="Marker1"/>
    <w:uiPriority w:val="99"/>
    <w:rPr>
      <w:rFonts w:cs="Times New Roman"/>
      <w:color w:val="008000"/>
      <w:shd w:val="clear" w:color="auto" w:fill="auto"/>
    </w:rPr>
  </w:style>
  <w:style w:type="character" w:customStyle="1" w:styleId="Marker2">
    <w:name w:val="Marker2"/>
    <w:uiPriority w:val="99"/>
    <w:rPr>
      <w:rFonts w:cs="Times New Roman"/>
      <w:color w:val="FF0000"/>
      <w:shd w:val="clear" w:color="auto" w:fill="auto"/>
    </w:rPr>
  </w:style>
  <w:style w:type="paragraph" w:customStyle="1" w:styleId="Titolosommario">
    <w:name w:val="Titolo sommario"/>
    <w:basedOn w:val="Normal"/>
    <w:next w:val="Normal"/>
    <w:link w:val="TitolosommarioCarattere"/>
    <w:uiPriority w:val="39"/>
    <w:qFormat/>
    <w:pPr>
      <w:spacing w:before="120" w:after="240" w:line="240" w:lineRule="auto"/>
      <w:jc w:val="center"/>
    </w:pPr>
    <w:rPr>
      <w:rFonts w:ascii="Times New Roman" w:eastAsia="Times New Roman" w:hAnsi="Times New Roman"/>
      <w:b/>
      <w:sz w:val="28"/>
      <w:szCs w:val="24"/>
      <w:lang w:val="x-none"/>
    </w:rPr>
  </w:style>
  <w:style w:type="paragraph" w:customStyle="1" w:styleId="Point0number">
    <w:name w:val="Point 0 (number)"/>
    <w:basedOn w:val="Normal"/>
    <w:pPr>
      <w:numPr>
        <w:numId w:val="25"/>
      </w:numPr>
      <w:spacing w:before="120" w:after="120" w:line="240" w:lineRule="auto"/>
      <w:jc w:val="both"/>
    </w:pPr>
    <w:rPr>
      <w:rFonts w:ascii="Times New Roman" w:eastAsia="Times New Roman" w:hAnsi="Times New Roman"/>
      <w:sz w:val="24"/>
      <w:szCs w:val="24"/>
    </w:rPr>
  </w:style>
  <w:style w:type="paragraph" w:customStyle="1" w:styleId="Point1number">
    <w:name w:val="Point 1 (number)"/>
    <w:basedOn w:val="Normal"/>
    <w:pPr>
      <w:numPr>
        <w:ilvl w:val="2"/>
        <w:numId w:val="25"/>
      </w:numPr>
      <w:spacing w:before="120" w:after="120" w:line="240" w:lineRule="auto"/>
      <w:jc w:val="both"/>
    </w:pPr>
    <w:rPr>
      <w:rFonts w:ascii="Times New Roman" w:eastAsia="Times New Roman" w:hAnsi="Times New Roman"/>
      <w:sz w:val="24"/>
      <w:szCs w:val="24"/>
    </w:rPr>
  </w:style>
  <w:style w:type="paragraph" w:customStyle="1" w:styleId="Point2number">
    <w:name w:val="Point 2 (number)"/>
    <w:basedOn w:val="Normal"/>
    <w:pPr>
      <w:numPr>
        <w:ilvl w:val="4"/>
        <w:numId w:val="25"/>
      </w:numPr>
      <w:spacing w:before="120" w:after="120" w:line="240" w:lineRule="auto"/>
      <w:jc w:val="both"/>
    </w:pPr>
    <w:rPr>
      <w:rFonts w:ascii="Times New Roman" w:eastAsia="Times New Roman" w:hAnsi="Times New Roman"/>
      <w:sz w:val="24"/>
      <w:szCs w:val="24"/>
    </w:rPr>
  </w:style>
  <w:style w:type="paragraph" w:customStyle="1" w:styleId="Point3number">
    <w:name w:val="Point 3 (number)"/>
    <w:basedOn w:val="Normal"/>
    <w:pPr>
      <w:numPr>
        <w:ilvl w:val="6"/>
        <w:numId w:val="25"/>
      </w:numPr>
      <w:spacing w:before="120" w:after="120" w:line="240" w:lineRule="auto"/>
      <w:jc w:val="both"/>
    </w:pPr>
    <w:rPr>
      <w:rFonts w:ascii="Times New Roman" w:eastAsia="Times New Roman" w:hAnsi="Times New Roman"/>
      <w:sz w:val="24"/>
      <w:szCs w:val="24"/>
    </w:rPr>
  </w:style>
  <w:style w:type="paragraph" w:customStyle="1" w:styleId="Point0letter">
    <w:name w:val="Point 0 (letter)"/>
    <w:basedOn w:val="Normal"/>
    <w:pPr>
      <w:numPr>
        <w:ilvl w:val="1"/>
        <w:numId w:val="25"/>
      </w:numPr>
      <w:spacing w:before="120" w:after="120" w:line="240" w:lineRule="auto"/>
      <w:jc w:val="both"/>
    </w:pPr>
    <w:rPr>
      <w:rFonts w:ascii="Times New Roman" w:eastAsia="Times New Roman" w:hAnsi="Times New Roman"/>
      <w:sz w:val="24"/>
      <w:szCs w:val="24"/>
    </w:rPr>
  </w:style>
  <w:style w:type="paragraph" w:customStyle="1" w:styleId="Point1letter">
    <w:name w:val="Point 1 (letter)"/>
    <w:basedOn w:val="Normal"/>
    <w:pPr>
      <w:numPr>
        <w:ilvl w:val="3"/>
        <w:numId w:val="25"/>
      </w:numPr>
      <w:spacing w:before="120" w:after="120" w:line="240" w:lineRule="auto"/>
      <w:jc w:val="both"/>
    </w:pPr>
    <w:rPr>
      <w:rFonts w:ascii="Times New Roman" w:eastAsia="Times New Roman" w:hAnsi="Times New Roman"/>
      <w:sz w:val="24"/>
      <w:szCs w:val="24"/>
    </w:rPr>
  </w:style>
  <w:style w:type="paragraph" w:customStyle="1" w:styleId="Point2letter">
    <w:name w:val="Point 2 (letter)"/>
    <w:basedOn w:val="Normal"/>
    <w:pPr>
      <w:numPr>
        <w:ilvl w:val="5"/>
        <w:numId w:val="25"/>
      </w:numPr>
      <w:spacing w:before="120" w:after="120" w:line="240" w:lineRule="auto"/>
      <w:jc w:val="both"/>
    </w:pPr>
    <w:rPr>
      <w:rFonts w:ascii="Times New Roman" w:eastAsia="Times New Roman" w:hAnsi="Times New Roman"/>
      <w:sz w:val="24"/>
      <w:szCs w:val="24"/>
    </w:rPr>
  </w:style>
  <w:style w:type="paragraph" w:customStyle="1" w:styleId="Point3letter">
    <w:name w:val="Point 3 (letter)"/>
    <w:basedOn w:val="Normal"/>
    <w:pPr>
      <w:numPr>
        <w:ilvl w:val="7"/>
        <w:numId w:val="25"/>
      </w:numPr>
      <w:spacing w:before="120" w:after="120" w:line="240" w:lineRule="auto"/>
      <w:jc w:val="both"/>
    </w:pPr>
    <w:rPr>
      <w:rFonts w:ascii="Times New Roman" w:eastAsia="Times New Roman" w:hAnsi="Times New Roman"/>
      <w:sz w:val="24"/>
      <w:szCs w:val="24"/>
    </w:rPr>
  </w:style>
  <w:style w:type="paragraph" w:customStyle="1" w:styleId="Point4letter">
    <w:name w:val="Point 4 (letter)"/>
    <w:basedOn w:val="Normal"/>
    <w:pPr>
      <w:numPr>
        <w:ilvl w:val="8"/>
        <w:numId w:val="25"/>
      </w:numPr>
      <w:spacing w:before="120" w:after="120" w:line="240" w:lineRule="auto"/>
      <w:jc w:val="both"/>
    </w:pPr>
    <w:rPr>
      <w:rFonts w:ascii="Times New Roman" w:eastAsia="Times New Roman" w:hAnsi="Times New Roman"/>
      <w:sz w:val="24"/>
      <w:szCs w:val="24"/>
    </w:rPr>
  </w:style>
  <w:style w:type="paragraph" w:customStyle="1" w:styleId="Bullet0">
    <w:name w:val="Bullet 0"/>
    <w:basedOn w:val="Normal"/>
    <w:pPr>
      <w:numPr>
        <w:numId w:val="26"/>
      </w:numPr>
      <w:spacing w:before="120" w:after="120" w:line="240" w:lineRule="auto"/>
      <w:jc w:val="both"/>
    </w:pPr>
    <w:rPr>
      <w:rFonts w:ascii="Times New Roman" w:eastAsia="Times New Roman" w:hAnsi="Times New Roman"/>
      <w:sz w:val="24"/>
      <w:szCs w:val="24"/>
    </w:rPr>
  </w:style>
  <w:style w:type="paragraph" w:customStyle="1" w:styleId="Bullet1">
    <w:name w:val="Bullet 1"/>
    <w:basedOn w:val="Normal"/>
    <w:pPr>
      <w:numPr>
        <w:numId w:val="27"/>
      </w:numPr>
      <w:spacing w:before="120" w:after="120" w:line="240" w:lineRule="auto"/>
      <w:jc w:val="both"/>
    </w:pPr>
    <w:rPr>
      <w:rFonts w:ascii="Times New Roman" w:eastAsia="Times New Roman" w:hAnsi="Times New Roman"/>
      <w:sz w:val="24"/>
      <w:szCs w:val="24"/>
    </w:rPr>
  </w:style>
  <w:style w:type="paragraph" w:customStyle="1" w:styleId="Bullet2">
    <w:name w:val="Bullet 2"/>
    <w:basedOn w:val="Normal"/>
    <w:pPr>
      <w:numPr>
        <w:numId w:val="28"/>
      </w:numPr>
      <w:spacing w:before="120" w:after="120" w:line="240" w:lineRule="auto"/>
      <w:jc w:val="both"/>
    </w:pPr>
    <w:rPr>
      <w:rFonts w:ascii="Times New Roman" w:eastAsia="Times New Roman" w:hAnsi="Times New Roman"/>
      <w:sz w:val="24"/>
      <w:szCs w:val="24"/>
    </w:rPr>
  </w:style>
  <w:style w:type="paragraph" w:customStyle="1" w:styleId="Bullet3">
    <w:name w:val="Bullet 3"/>
    <w:basedOn w:val="Normal"/>
    <w:pPr>
      <w:numPr>
        <w:numId w:val="29"/>
      </w:numPr>
      <w:spacing w:before="120" w:after="120" w:line="240" w:lineRule="auto"/>
      <w:jc w:val="both"/>
    </w:pPr>
    <w:rPr>
      <w:rFonts w:ascii="Times New Roman" w:eastAsia="Times New Roman" w:hAnsi="Times New Roman"/>
      <w:sz w:val="24"/>
      <w:szCs w:val="24"/>
    </w:rPr>
  </w:style>
  <w:style w:type="paragraph" w:customStyle="1" w:styleId="Bullet4">
    <w:name w:val="Bullet 4"/>
    <w:basedOn w:val="Normal"/>
    <w:pPr>
      <w:numPr>
        <w:numId w:val="30"/>
      </w:numPr>
      <w:spacing w:before="120" w:after="120" w:line="240" w:lineRule="auto"/>
      <w:jc w:val="both"/>
    </w:pPr>
    <w:rPr>
      <w:rFonts w:ascii="Times New Roman" w:eastAsia="Times New Roman" w:hAnsi="Times New Roman"/>
      <w:sz w:val="24"/>
      <w:szCs w:val="24"/>
    </w:rPr>
  </w:style>
  <w:style w:type="paragraph" w:customStyle="1" w:styleId="Annexetitreexpos">
    <w:name w:val="Annexe titre (exposé)"/>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
    <w:name w:val="Annex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fichefinancire">
    <w:name w:val="Annexe titre (fiche financiè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pplicationdirecte">
    <w:name w:val="Application directe"/>
    <w:basedOn w:val="Normal"/>
    <w:next w:val="Fait"/>
    <w:uiPriority w:val="99"/>
    <w:pPr>
      <w:spacing w:before="480" w:after="120" w:line="240" w:lineRule="auto"/>
      <w:jc w:val="both"/>
    </w:pPr>
    <w:rPr>
      <w:rFonts w:ascii="Times New Roman" w:eastAsia="Times New Roman" w:hAnsi="Times New Roman"/>
      <w:sz w:val="24"/>
      <w:szCs w:val="24"/>
    </w:rPr>
  </w:style>
  <w:style w:type="paragraph" w:customStyle="1" w:styleId="Fait">
    <w:name w:val="Fait à"/>
    <w:basedOn w:val="Normal"/>
    <w:next w:val="Institutionquisigne"/>
    <w:uiPriority w:val="99"/>
    <w:pPr>
      <w:keepNext/>
      <w:spacing w:before="120" w:after="0" w:line="240" w:lineRule="auto"/>
      <w:jc w:val="both"/>
    </w:pPr>
    <w:rPr>
      <w:rFonts w:ascii="Times New Roman" w:eastAsia="Times New Roman" w:hAnsi="Times New Roman"/>
      <w:sz w:val="24"/>
      <w:szCs w:val="24"/>
    </w:rPr>
  </w:style>
  <w:style w:type="paragraph" w:customStyle="1" w:styleId="Institutionquisigne">
    <w:name w:val="Institution qui signe"/>
    <w:basedOn w:val="Normal"/>
    <w:next w:val="Personnequisigne"/>
    <w:uiPriority w:val="99"/>
    <w:pPr>
      <w:keepNext/>
      <w:tabs>
        <w:tab w:val="left" w:pos="4252"/>
      </w:tabs>
      <w:spacing w:before="720" w:after="0" w:line="240" w:lineRule="auto"/>
      <w:jc w:val="both"/>
    </w:pPr>
    <w:rPr>
      <w:rFonts w:ascii="Times New Roman" w:eastAsia="Times New Roman" w:hAnsi="Times New Roman"/>
      <w:i/>
      <w:sz w:val="24"/>
      <w:szCs w:val="24"/>
    </w:rPr>
  </w:style>
  <w:style w:type="paragraph" w:customStyle="1" w:styleId="Personnequisigne">
    <w:name w:val="Personne qui signe"/>
    <w:basedOn w:val="Normal"/>
    <w:next w:val="Institutionquisigne"/>
    <w:uiPriority w:val="99"/>
    <w:pPr>
      <w:tabs>
        <w:tab w:val="left" w:pos="4252"/>
      </w:tabs>
      <w:spacing w:before="40" w:after="0" w:line="240" w:lineRule="auto"/>
      <w:jc w:val="both"/>
    </w:pPr>
    <w:rPr>
      <w:rFonts w:ascii="Times New Roman" w:eastAsia="Times New Roman" w:hAnsi="Times New Roman"/>
      <w:i/>
      <w:sz w:val="24"/>
      <w:szCs w:val="24"/>
    </w:rPr>
  </w:style>
  <w:style w:type="paragraph" w:customStyle="1" w:styleId="Avertissementtitre">
    <w:name w:val="Avertissement titre"/>
    <w:basedOn w:val="Normal"/>
    <w:next w:val="Normal"/>
    <w:uiPriority w:val="99"/>
    <w:pPr>
      <w:keepNext/>
      <w:spacing w:before="480" w:after="120" w:line="240" w:lineRule="auto"/>
      <w:jc w:val="both"/>
    </w:pPr>
    <w:rPr>
      <w:rFonts w:ascii="Times New Roman" w:eastAsia="Times New Roman" w:hAnsi="Times New Roman"/>
      <w:sz w:val="24"/>
      <w:szCs w:val="24"/>
      <w:u w:val="single"/>
    </w:rPr>
  </w:style>
  <w:style w:type="paragraph" w:customStyle="1" w:styleId="Confidence">
    <w:name w:val="Confidence"/>
    <w:basedOn w:val="Normal"/>
    <w:next w:val="Normal"/>
    <w:uiPriority w:val="99"/>
    <w:pPr>
      <w:spacing w:before="360" w:after="120" w:line="240" w:lineRule="auto"/>
      <w:jc w:val="center"/>
    </w:pPr>
    <w:rPr>
      <w:rFonts w:ascii="Times New Roman" w:eastAsia="Times New Roman" w:hAnsi="Times New Roman"/>
      <w:sz w:val="24"/>
      <w:szCs w:val="24"/>
    </w:rPr>
  </w:style>
  <w:style w:type="paragraph" w:customStyle="1" w:styleId="Confidentialit">
    <w:name w:val="Confidentialité"/>
    <w:basedOn w:val="Normal"/>
    <w:next w:val="TypedudocumentPagedecouverture"/>
    <w:uiPriority w:val="99"/>
    <w:pPr>
      <w:spacing w:before="240" w:after="240" w:line="240" w:lineRule="auto"/>
      <w:ind w:left="5103"/>
      <w:jc w:val="both"/>
    </w:pPr>
    <w:rPr>
      <w:rFonts w:ascii="Times New Roman" w:eastAsia="Times New Roman" w:hAnsi="Times New Roman"/>
      <w:i/>
      <w:sz w:val="32"/>
      <w:szCs w:val="24"/>
    </w:rPr>
  </w:style>
  <w:style w:type="paragraph" w:customStyle="1" w:styleId="TypedudocumentPagedecouverture">
    <w:name w:val="Type du document (Page de couverture)"/>
    <w:basedOn w:val="Typedudocument"/>
    <w:next w:val="TitreobjetPagedecouverture"/>
    <w:uiPriority w:val="99"/>
  </w:style>
  <w:style w:type="paragraph" w:customStyle="1" w:styleId="Typedudocument">
    <w:name w:val="Type du document"/>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Titreobjet">
    <w:name w:val="Titre objet"/>
    <w:basedOn w:val="Normal"/>
    <w:next w:val="Sous-titreobjet"/>
    <w:uiPriority w:val="99"/>
    <w:pPr>
      <w:spacing w:before="360" w:after="360" w:line="240" w:lineRule="auto"/>
      <w:jc w:val="center"/>
    </w:pPr>
    <w:rPr>
      <w:rFonts w:ascii="Times New Roman" w:eastAsia="Times New Roman" w:hAnsi="Times New Roman"/>
      <w:b/>
      <w:sz w:val="24"/>
      <w:szCs w:val="24"/>
    </w:rPr>
  </w:style>
  <w:style w:type="paragraph" w:customStyle="1" w:styleId="Sous-titreobjet">
    <w:name w:val="Sous-titre objet"/>
    <w:basedOn w:val="Normal"/>
    <w:uiPriority w:val="99"/>
    <w:pPr>
      <w:spacing w:before="40" w:after="0" w:line="240" w:lineRule="auto"/>
      <w:jc w:val="center"/>
    </w:pPr>
    <w:rPr>
      <w:rFonts w:ascii="Times New Roman" w:eastAsia="Times New Roman" w:hAnsi="Times New Roman"/>
      <w:b/>
      <w:sz w:val="24"/>
      <w:szCs w:val="24"/>
    </w:rPr>
  </w:style>
  <w:style w:type="paragraph" w:customStyle="1" w:styleId="TitreobjetPagedecouverture">
    <w:name w:val="Titre objet (Page de couverture)"/>
    <w:basedOn w:val="Titreobjet"/>
    <w:next w:val="Sous-titreobjetPagedecouverture"/>
    <w:uiPriority w:val="99"/>
  </w:style>
  <w:style w:type="paragraph" w:customStyle="1" w:styleId="Sous-titreobjetPagedecouverture">
    <w:name w:val="Sous-titre objet (Page de couverture)"/>
    <w:basedOn w:val="Sous-titreobjet"/>
    <w:uiPriority w:val="99"/>
  </w:style>
  <w:style w:type="paragraph" w:customStyle="1" w:styleId="Considrant">
    <w:name w:val="Considérant"/>
    <w:basedOn w:val="Normal"/>
    <w:pPr>
      <w:numPr>
        <w:numId w:val="31"/>
      </w:numPr>
      <w:spacing w:before="120" w:after="120" w:line="240" w:lineRule="auto"/>
      <w:jc w:val="both"/>
    </w:pPr>
    <w:rPr>
      <w:rFonts w:ascii="Times New Roman" w:eastAsia="Times New Roman" w:hAnsi="Times New Roman"/>
      <w:sz w:val="24"/>
      <w:szCs w:val="24"/>
    </w:rPr>
  </w:style>
  <w:style w:type="paragraph" w:customStyle="1" w:styleId="Corrigendum">
    <w:name w:val="Corrigendum"/>
    <w:basedOn w:val="Normal"/>
    <w:next w:val="Normal"/>
    <w:uiPriority w:val="99"/>
    <w:pPr>
      <w:spacing w:before="40" w:after="240" w:line="240" w:lineRule="auto"/>
      <w:jc w:val="both"/>
    </w:pPr>
    <w:rPr>
      <w:rFonts w:ascii="Times New Roman" w:eastAsia="Times New Roman" w:hAnsi="Times New Roman"/>
      <w:sz w:val="24"/>
      <w:szCs w:val="24"/>
    </w:rPr>
  </w:style>
  <w:style w:type="paragraph" w:customStyle="1" w:styleId="Datedadoption">
    <w:name w:val="Date d'adoption"/>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Emission">
    <w:name w:val="Emission"/>
    <w:basedOn w:val="Normal"/>
    <w:next w:val="Rfrence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stitutionnelle">
    <w:name w:val="Référence institutionnell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Exposdesmotifstitre">
    <w:name w:val="Exposé des motifs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Formuledadoption">
    <w:name w:val="Formule d'adoption"/>
    <w:basedOn w:val="Normal"/>
    <w:next w:val="Titrearticle"/>
    <w:uiPriority w:val="99"/>
    <w:pPr>
      <w:keepNext/>
      <w:spacing w:before="120" w:after="120" w:line="240" w:lineRule="auto"/>
      <w:jc w:val="both"/>
    </w:pPr>
    <w:rPr>
      <w:rFonts w:ascii="Times New Roman" w:eastAsia="Times New Roman" w:hAnsi="Times New Roman"/>
      <w:sz w:val="24"/>
      <w:szCs w:val="24"/>
    </w:rPr>
  </w:style>
  <w:style w:type="paragraph" w:customStyle="1" w:styleId="Titrearticle">
    <w:name w:val="Titre article"/>
    <w:basedOn w:val="Normal"/>
    <w:next w:val="Normal"/>
    <w:uiPriority w:val="99"/>
    <w:pPr>
      <w:keepNext/>
      <w:spacing w:before="360" w:after="120" w:line="240" w:lineRule="auto"/>
      <w:jc w:val="center"/>
    </w:pPr>
    <w:rPr>
      <w:rFonts w:ascii="Times New Roman" w:eastAsia="Times New Roman" w:hAnsi="Times New Roman"/>
      <w:i/>
      <w:sz w:val="24"/>
      <w:szCs w:val="24"/>
    </w:rPr>
  </w:style>
  <w:style w:type="paragraph" w:customStyle="1" w:styleId="Institutionquiagit">
    <w:name w:val="Institution qui agit"/>
    <w:basedOn w:val="Normal"/>
    <w:next w:val="Normal"/>
    <w:uiPriority w:val="99"/>
    <w:pPr>
      <w:keepNext/>
      <w:spacing w:before="600" w:after="120" w:line="240" w:lineRule="auto"/>
      <w:jc w:val="both"/>
    </w:pPr>
    <w:rPr>
      <w:rFonts w:ascii="Times New Roman" w:eastAsia="Times New Roman" w:hAnsi="Times New Roman"/>
      <w:sz w:val="24"/>
      <w:szCs w:val="24"/>
    </w:rPr>
  </w:style>
  <w:style w:type="paragraph" w:customStyle="1" w:styleId="Langue">
    <w:name w:val="Langue"/>
    <w:basedOn w:val="Normal"/>
    <w:next w:val="Rfrenceinterne"/>
    <w:pPr>
      <w:framePr w:wrap="around" w:vAnchor="page" w:hAnchor="text" w:xAlign="center" w:y="14741"/>
      <w:spacing w:before="40" w:after="600" w:line="240" w:lineRule="auto"/>
      <w:jc w:val="center"/>
    </w:pPr>
    <w:rPr>
      <w:rFonts w:ascii="Times New Roman" w:eastAsia="Times New Roman" w:hAnsi="Times New Roman"/>
      <w:b/>
      <w:caps/>
      <w:sz w:val="24"/>
      <w:szCs w:val="24"/>
    </w:rPr>
  </w:style>
  <w:style w:type="paragraph" w:customStyle="1" w:styleId="Rfrenceinterne">
    <w:name w:val="Référence interne"/>
    <w:basedOn w:val="Normal"/>
    <w:next w:val="Rfrenceinter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terinstitutionnelle">
    <w:name w:val="Référence interinstitutionnelle"/>
    <w:basedOn w:val="Normal"/>
    <w:next w:val="Statut"/>
    <w:uiPriority w:val="99"/>
    <w:pPr>
      <w:spacing w:before="40" w:after="0" w:line="240" w:lineRule="auto"/>
      <w:ind w:left="5103"/>
      <w:jc w:val="both"/>
    </w:pPr>
    <w:rPr>
      <w:rFonts w:ascii="Times New Roman" w:eastAsia="Times New Roman" w:hAnsi="Times New Roman"/>
      <w:sz w:val="24"/>
      <w:szCs w:val="24"/>
    </w:rPr>
  </w:style>
  <w:style w:type="paragraph" w:customStyle="1" w:styleId="Statut">
    <w:name w:val="Statut"/>
    <w:basedOn w:val="Normal"/>
    <w:next w:val="Typedudocument"/>
    <w:uiPriority w:val="99"/>
    <w:pPr>
      <w:spacing w:before="360" w:after="0" w:line="240" w:lineRule="auto"/>
      <w:jc w:val="center"/>
    </w:pPr>
    <w:rPr>
      <w:rFonts w:ascii="Times New Roman" w:eastAsia="Times New Roman" w:hAnsi="Times New Roman"/>
      <w:sz w:val="24"/>
      <w:szCs w:val="24"/>
    </w:rPr>
  </w:style>
  <w:style w:type="paragraph" w:customStyle="1" w:styleId="ManualConsidrant">
    <w:name w:val="Manual Considérant"/>
    <w:basedOn w:val="Normal"/>
    <w:uiPriority w:val="99"/>
    <w:pPr>
      <w:spacing w:before="120" w:after="120" w:line="240" w:lineRule="auto"/>
      <w:ind w:left="709" w:hanging="709"/>
      <w:jc w:val="both"/>
    </w:pPr>
    <w:rPr>
      <w:rFonts w:ascii="Times New Roman" w:eastAsia="Times New Roman" w:hAnsi="Times New Roman"/>
      <w:sz w:val="24"/>
      <w:szCs w:val="24"/>
    </w:rPr>
  </w:style>
  <w:style w:type="paragraph" w:customStyle="1" w:styleId="Nomdelinstitution">
    <w:name w:val="Nom de l'institution"/>
    <w:basedOn w:val="Normal"/>
    <w:next w:val="Emission"/>
    <w:uiPriority w:val="99"/>
    <w:pPr>
      <w:spacing w:before="40" w:after="0" w:line="240" w:lineRule="auto"/>
      <w:jc w:val="both"/>
    </w:pPr>
    <w:rPr>
      <w:rFonts w:ascii="Arial" w:eastAsia="Times New Roman" w:hAnsi="Arial" w:cs="Arial"/>
      <w:sz w:val="24"/>
      <w:szCs w:val="24"/>
    </w:rPr>
  </w:style>
  <w:style w:type="character" w:customStyle="1" w:styleId="Added">
    <w:name w:val="Added"/>
    <w:uiPriority w:val="99"/>
    <w:rPr>
      <w:rFonts w:cs="Times New Roman"/>
      <w:b/>
      <w:u w:val="single"/>
      <w:shd w:val="clear" w:color="auto" w:fill="auto"/>
    </w:rPr>
  </w:style>
  <w:style w:type="character" w:customStyle="1" w:styleId="Deleted">
    <w:name w:val="Deleted"/>
    <w:uiPriority w:val="99"/>
    <w:rPr>
      <w:rFonts w:cs="Times New Roman"/>
      <w:strike/>
      <w:shd w:val="clear" w:color="auto" w:fill="auto"/>
    </w:rPr>
  </w:style>
  <w:style w:type="paragraph" w:customStyle="1" w:styleId="Address">
    <w:name w:val="Address"/>
    <w:basedOn w:val="Normal"/>
    <w:next w:val="Normal"/>
    <w:uiPriority w:val="99"/>
    <w:pPr>
      <w:keepLines/>
      <w:spacing w:before="120" w:after="120" w:line="360" w:lineRule="auto"/>
      <w:ind w:left="3402"/>
      <w:jc w:val="both"/>
    </w:pPr>
    <w:rPr>
      <w:rFonts w:ascii="Times New Roman" w:eastAsia="Times New Roman" w:hAnsi="Times New Roman"/>
      <w:sz w:val="24"/>
      <w:szCs w:val="24"/>
    </w:rPr>
  </w:style>
  <w:style w:type="paragraph" w:customStyle="1" w:styleId="Objetexterne">
    <w:name w:val="Objet externe"/>
    <w:basedOn w:val="Normal"/>
    <w:next w:val="Normal"/>
    <w:uiPriority w:val="99"/>
    <w:pPr>
      <w:spacing w:before="120" w:after="120" w:line="240" w:lineRule="auto"/>
      <w:jc w:val="both"/>
    </w:pPr>
    <w:rPr>
      <w:rFonts w:ascii="Times New Roman" w:eastAsia="Times New Roman" w:hAnsi="Times New Roman"/>
      <w:i/>
      <w:caps/>
      <w:sz w:val="24"/>
      <w:szCs w:val="24"/>
    </w:rPr>
  </w:style>
  <w:style w:type="paragraph" w:customStyle="1" w:styleId="Pagedecouverture">
    <w:name w:val="Page de couverture"/>
    <w:basedOn w:val="Normal"/>
    <w:next w:val="Normal"/>
    <w:uiPriority w:val="99"/>
    <w:pPr>
      <w:spacing w:before="120" w:after="120" w:line="240" w:lineRule="auto"/>
      <w:jc w:val="both"/>
    </w:pPr>
    <w:rPr>
      <w:rFonts w:ascii="Times New Roman" w:eastAsia="Times New Roman" w:hAnsi="Times New Roman"/>
      <w:sz w:val="24"/>
      <w:szCs w:val="24"/>
    </w:rPr>
  </w:style>
  <w:style w:type="paragraph" w:customStyle="1" w:styleId="Supertitre">
    <w:name w:val="Supertitre"/>
    <w:basedOn w:val="Normal"/>
    <w:next w:val="Normal"/>
    <w:uiPriority w:val="99"/>
    <w:pPr>
      <w:spacing w:before="40" w:after="600" w:line="240" w:lineRule="auto"/>
      <w:jc w:val="center"/>
    </w:pPr>
    <w:rPr>
      <w:rFonts w:ascii="Times New Roman" w:eastAsia="Times New Roman" w:hAnsi="Times New Roman"/>
      <w:b/>
      <w:sz w:val="24"/>
      <w:szCs w:val="24"/>
    </w:rPr>
  </w:style>
  <w:style w:type="paragraph" w:customStyle="1" w:styleId="Languesfaisantfoi">
    <w:name w:val="Langues faisant foi"/>
    <w:basedOn w:val="Normal"/>
    <w:next w:val="Normal"/>
    <w:uiPriority w:val="99"/>
    <w:pPr>
      <w:spacing w:before="360" w:after="0" w:line="240" w:lineRule="auto"/>
      <w:jc w:val="center"/>
    </w:pPr>
    <w:rPr>
      <w:rFonts w:ascii="Times New Roman" w:eastAsia="Times New Roman" w:hAnsi="Times New Roman"/>
      <w:sz w:val="24"/>
      <w:szCs w:val="24"/>
    </w:rPr>
  </w:style>
  <w:style w:type="paragraph" w:customStyle="1" w:styleId="Rfrencecroise">
    <w:name w:val="Référence croisée"/>
    <w:basedOn w:val="Normal"/>
    <w:uiPriority w:val="99"/>
    <w:pPr>
      <w:spacing w:before="40" w:after="0" w:line="240" w:lineRule="auto"/>
      <w:jc w:val="center"/>
    </w:pPr>
    <w:rPr>
      <w:rFonts w:ascii="Times New Roman" w:eastAsia="Times New Roman" w:hAnsi="Times New Roman"/>
      <w:sz w:val="24"/>
      <w:szCs w:val="24"/>
    </w:rPr>
  </w:style>
  <w:style w:type="paragraph" w:customStyle="1" w:styleId="Fichefinanciretitre">
    <w:name w:val="Fiche financièr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DatedadoptionPagedecouverture">
    <w:name w:val="Date d'adoption (Page de couverture)"/>
    <w:basedOn w:val="Datedadoption"/>
    <w:next w:val="TitreobjetPagedecouverture"/>
    <w:uiPriority w:val="99"/>
  </w:style>
  <w:style w:type="paragraph" w:customStyle="1" w:styleId="RfrenceinterinstitutionnellePagedecouverture">
    <w:name w:val="Référence interinstitutionnelle (Page de couverture)"/>
    <w:basedOn w:val="Rfrenceinterinstitutionnelle"/>
    <w:next w:val="Confidentialit"/>
    <w:uiPriority w:val="99"/>
  </w:style>
  <w:style w:type="paragraph" w:customStyle="1" w:styleId="StatutPagedecouverture">
    <w:name w:val="Statut (Page de couverture)"/>
    <w:basedOn w:val="Statut"/>
    <w:next w:val="TypedudocumentPagedecouverture"/>
    <w:uiPriority w:val="99"/>
  </w:style>
  <w:style w:type="paragraph" w:customStyle="1" w:styleId="Volume">
    <w:name w:val="Volum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IntrtEEE">
    <w:name w:val="Intérêt EEE"/>
    <w:basedOn w:val="Languesfaisantfoi"/>
    <w:next w:val="Normal"/>
    <w:uiPriority w:val="99"/>
    <w:pPr>
      <w:spacing w:after="240"/>
    </w:pPr>
  </w:style>
  <w:style w:type="paragraph" w:customStyle="1" w:styleId="Accompagnant">
    <w:name w:val="Accompagnant"/>
    <w:basedOn w:val="Normal"/>
    <w:next w:val="Typeacteprincipal"/>
    <w:uiPriority w:val="99"/>
    <w:pPr>
      <w:spacing w:before="40" w:after="240" w:line="240" w:lineRule="auto"/>
      <w:jc w:val="center"/>
    </w:pPr>
    <w:rPr>
      <w:rFonts w:ascii="Times New Roman" w:eastAsia="Times New Roman" w:hAnsi="Times New Roman"/>
      <w:b/>
      <w:i/>
      <w:sz w:val="24"/>
      <w:szCs w:val="24"/>
    </w:rPr>
  </w:style>
  <w:style w:type="paragraph" w:customStyle="1" w:styleId="Typeacteprincipal">
    <w:name w:val="Type acte principal"/>
    <w:basedOn w:val="Normal"/>
    <w:next w:val="Objetacteprincipal"/>
    <w:uiPriority w:val="99"/>
    <w:pPr>
      <w:spacing w:before="40" w:after="240" w:line="240" w:lineRule="auto"/>
      <w:jc w:val="center"/>
    </w:pPr>
    <w:rPr>
      <w:rFonts w:ascii="Times New Roman" w:eastAsia="Times New Roman" w:hAnsi="Times New Roman"/>
      <w:b/>
      <w:sz w:val="24"/>
      <w:szCs w:val="24"/>
    </w:rPr>
  </w:style>
  <w:style w:type="paragraph" w:customStyle="1" w:styleId="Objetacteprincipal">
    <w:name w:val="Objet acte principal"/>
    <w:basedOn w:val="Normal"/>
    <w:next w:val="Titrearticle"/>
    <w:uiPriority w:val="99"/>
    <w:pPr>
      <w:spacing w:before="40" w:after="360" w:line="240" w:lineRule="auto"/>
      <w:jc w:val="center"/>
    </w:pPr>
    <w:rPr>
      <w:rFonts w:ascii="Times New Roman" w:eastAsia="Times New Roman" w:hAnsi="Times New Roman"/>
      <w:b/>
      <w:sz w:val="24"/>
      <w:szCs w:val="24"/>
    </w:rPr>
  </w:style>
  <w:style w:type="paragraph" w:customStyle="1" w:styleId="IntrtEEEPagedecouverture">
    <w:name w:val="Intérêt EEE (Page de couverture)"/>
    <w:basedOn w:val="IntrtEEE"/>
    <w:next w:val="Rfrencecroise"/>
    <w:uiPriority w:val="99"/>
  </w:style>
  <w:style w:type="paragraph" w:customStyle="1" w:styleId="AccompagnantPagedecouverture">
    <w:name w:val="Accompagnant (Page de couverture)"/>
    <w:basedOn w:val="Accompagnant"/>
    <w:next w:val="TypeacteprincipalPagedecouverture"/>
    <w:uiPriority w:val="99"/>
  </w:style>
  <w:style w:type="paragraph" w:customStyle="1" w:styleId="TypeacteprincipalPagedecouverture">
    <w:name w:val="Type acte principal (Page de couverture)"/>
    <w:basedOn w:val="Typeacteprincipal"/>
    <w:next w:val="ObjetacteprincipalPagedecouverture"/>
    <w:uiPriority w:val="99"/>
  </w:style>
  <w:style w:type="paragraph" w:customStyle="1" w:styleId="ObjetacteprincipalPagedecouverture">
    <w:name w:val="Objet acte principal (Page de couverture)"/>
    <w:basedOn w:val="Objetacteprincipal"/>
    <w:next w:val="Rfrencecroise"/>
    <w:uiPriority w:val="99"/>
  </w:style>
  <w:style w:type="paragraph" w:customStyle="1" w:styleId="LanguesfaisantfoiPagedecouverture">
    <w:name w:val="Langues faisant foi (Page de couverture)"/>
    <w:basedOn w:val="Normal"/>
    <w:next w:val="Normal"/>
    <w:uiPriority w:val="99"/>
    <w:pPr>
      <w:spacing w:before="360" w:after="0" w:line="240" w:lineRule="auto"/>
      <w:jc w:val="center"/>
    </w:pPr>
    <w:rPr>
      <w:rFonts w:ascii="Times New Roman" w:eastAsia="Times New Roman" w:hAnsi="Times New Roman"/>
      <w:sz w:val="24"/>
      <w:szCs w:val="24"/>
    </w:rPr>
  </w:style>
  <w:style w:type="paragraph" w:styleId="ListBullet">
    <w:name w:val="List Bullet"/>
    <w:basedOn w:val="Normal"/>
    <w:uiPriority w:val="99"/>
    <w:pPr>
      <w:numPr>
        <w:numId w:val="13"/>
      </w:numPr>
      <w:tabs>
        <w:tab w:val="clear" w:pos="643"/>
        <w:tab w:val="num" w:pos="926"/>
        <w:tab w:val="num" w:pos="1984"/>
      </w:tabs>
      <w:spacing w:before="120" w:after="120" w:line="240" w:lineRule="auto"/>
      <w:ind w:left="360"/>
      <w:jc w:val="both"/>
    </w:pPr>
    <w:rPr>
      <w:rFonts w:ascii="Times New Roman" w:eastAsia="Times New Roman" w:hAnsi="Times New Roman"/>
      <w:sz w:val="24"/>
      <w:szCs w:val="24"/>
    </w:rPr>
  </w:style>
  <w:style w:type="paragraph" w:styleId="ListBullet2">
    <w:name w:val="List Bullet 2"/>
    <w:basedOn w:val="Normal"/>
    <w:uiPriority w:val="99"/>
    <w:pPr>
      <w:numPr>
        <w:numId w:val="14"/>
      </w:numPr>
      <w:tabs>
        <w:tab w:val="clear" w:pos="926"/>
        <w:tab w:val="num" w:pos="643"/>
        <w:tab w:val="num" w:pos="1209"/>
        <w:tab w:val="num" w:pos="2551"/>
      </w:tabs>
      <w:spacing w:before="120" w:after="120" w:line="240" w:lineRule="auto"/>
      <w:ind w:left="643"/>
      <w:jc w:val="both"/>
    </w:pPr>
    <w:rPr>
      <w:rFonts w:ascii="Times New Roman" w:eastAsia="Times New Roman" w:hAnsi="Times New Roman"/>
      <w:sz w:val="24"/>
      <w:szCs w:val="24"/>
    </w:rPr>
  </w:style>
  <w:style w:type="paragraph" w:styleId="ListBullet3">
    <w:name w:val="List Bullet 3"/>
    <w:basedOn w:val="Normal"/>
    <w:uiPriority w:val="99"/>
    <w:pPr>
      <w:numPr>
        <w:numId w:val="8"/>
      </w:numPr>
      <w:tabs>
        <w:tab w:val="clear" w:pos="360"/>
        <w:tab w:val="num" w:pos="926"/>
        <w:tab w:val="num" w:pos="3118"/>
      </w:tabs>
      <w:spacing w:before="120" w:after="120" w:line="240" w:lineRule="auto"/>
      <w:ind w:left="926"/>
      <w:jc w:val="both"/>
    </w:pPr>
    <w:rPr>
      <w:rFonts w:ascii="Times New Roman" w:eastAsia="Times New Roman" w:hAnsi="Times New Roman"/>
      <w:sz w:val="24"/>
      <w:szCs w:val="24"/>
    </w:rPr>
  </w:style>
  <w:style w:type="paragraph" w:styleId="ListBullet4">
    <w:name w:val="List Bullet 4"/>
    <w:basedOn w:val="Normal"/>
    <w:uiPriority w:val="99"/>
    <w:pPr>
      <w:numPr>
        <w:numId w:val="9"/>
      </w:numPr>
      <w:tabs>
        <w:tab w:val="num" w:pos="709"/>
        <w:tab w:val="num" w:pos="1209"/>
      </w:tabs>
      <w:spacing w:before="120" w:after="120" w:line="240" w:lineRule="auto"/>
      <w:ind w:left="1209"/>
      <w:jc w:val="both"/>
    </w:pPr>
    <w:rPr>
      <w:rFonts w:ascii="Times New Roman" w:eastAsia="Times New Roman" w:hAnsi="Times New Roman"/>
      <w:sz w:val="24"/>
      <w:szCs w:val="24"/>
    </w:rPr>
  </w:style>
  <w:style w:type="character" w:styleId="Emphasis">
    <w:name w:val="Emphasis"/>
    <w:uiPriority w:val="20"/>
    <w:qFormat/>
    <w:rPr>
      <w:rFonts w:cs="Times New Roman"/>
      <w:i/>
    </w:rPr>
  </w:style>
  <w:style w:type="paragraph" w:styleId="NormalWeb">
    <w:name w:val="Normal (Web)"/>
    <w:basedOn w:val="Normal"/>
    <w:uiPriority w:val="99"/>
    <w:pPr>
      <w:spacing w:before="100" w:beforeAutospacing="1" w:after="115" w:line="240" w:lineRule="auto"/>
      <w:jc w:val="both"/>
    </w:pPr>
    <w:rPr>
      <w:rFonts w:ascii="Times" w:eastAsia="Times New Roman" w:hAnsi="Times"/>
      <w:sz w:val="20"/>
      <w:szCs w:val="20"/>
      <w:lang w:val="en-US"/>
    </w:rPr>
  </w:style>
  <w:style w:type="paragraph" w:styleId="PlainText">
    <w:name w:val="Plain Text"/>
    <w:basedOn w:val="Normal"/>
    <w:link w:val="PlainTextChar1"/>
    <w:uiPriority w:val="99"/>
    <w:pPr>
      <w:widowControl w:val="0"/>
      <w:suppressAutoHyphens/>
      <w:spacing w:before="40" w:after="0" w:line="240" w:lineRule="auto"/>
      <w:jc w:val="both"/>
    </w:pPr>
    <w:rPr>
      <w:rFonts w:ascii="Arial" w:eastAsia="Arial Unicode MS" w:hAnsi="Arial" w:cs="Arial Unicode MS"/>
      <w:kern w:val="1"/>
      <w:sz w:val="24"/>
      <w:szCs w:val="24"/>
      <w:lang w:eastAsia="hi-IN" w:bidi="hi-IN"/>
    </w:rPr>
  </w:style>
  <w:style w:type="character" w:customStyle="1" w:styleId="PlainTextChar">
    <w:name w:val="Plain Text Char"/>
    <w:rPr>
      <w:rFonts w:ascii="Courier New" w:hAnsi="Courier New" w:cs="Courier New"/>
      <w:lang w:val="en-GB" w:eastAsia="en-US"/>
    </w:rPr>
  </w:style>
  <w:style w:type="character" w:customStyle="1" w:styleId="PlainTextChar1">
    <w:name w:val="Plain Text Char1"/>
    <w:link w:val="PlainText"/>
    <w:uiPriority w:val="99"/>
    <w:rPr>
      <w:rFonts w:ascii="Arial" w:eastAsia="Arial Unicode MS" w:hAnsi="Arial" w:cs="Arial Unicode MS"/>
      <w:kern w:val="1"/>
      <w:sz w:val="24"/>
      <w:szCs w:val="24"/>
      <w:lang w:val="en-GB" w:eastAsia="hi-IN" w:bidi="hi-IN"/>
    </w:rPr>
  </w:style>
  <w:style w:type="paragraph" w:styleId="BodyText">
    <w:name w:val="Body Text"/>
    <w:basedOn w:val="Normal"/>
    <w:link w:val="BodyTextChar1"/>
    <w:uiPriority w:val="99"/>
    <w:pPr>
      <w:widowControl w:val="0"/>
      <w:suppressAutoHyphens/>
      <w:spacing w:before="40" w:after="120" w:line="240" w:lineRule="auto"/>
      <w:jc w:val="both"/>
    </w:pPr>
    <w:rPr>
      <w:rFonts w:ascii="Arial" w:eastAsia="Arial Unicode MS" w:hAnsi="Arial" w:cs="Arial Unicode MS"/>
      <w:kern w:val="1"/>
      <w:sz w:val="24"/>
      <w:szCs w:val="24"/>
      <w:lang w:eastAsia="hi-IN" w:bidi="hi-IN"/>
    </w:rPr>
  </w:style>
  <w:style w:type="character" w:customStyle="1" w:styleId="BodyTextChar">
    <w:name w:val="Body Text Char"/>
    <w:rPr>
      <w:sz w:val="22"/>
      <w:szCs w:val="22"/>
      <w:lang w:val="en-GB" w:eastAsia="en-US"/>
    </w:rPr>
  </w:style>
  <w:style w:type="character" w:customStyle="1" w:styleId="BodyTextChar1">
    <w:name w:val="Body Text Char1"/>
    <w:link w:val="BodyText"/>
    <w:uiPriority w:val="99"/>
    <w:rPr>
      <w:rFonts w:ascii="Arial" w:eastAsia="Arial Unicode MS" w:hAnsi="Arial" w:cs="Arial Unicode MS"/>
      <w:kern w:val="1"/>
      <w:sz w:val="24"/>
      <w:szCs w:val="24"/>
      <w:lang w:val="en-GB" w:eastAsia="hi-IN" w:bidi="hi-IN"/>
    </w:rPr>
  </w:style>
  <w:style w:type="paragraph" w:styleId="ListNumber">
    <w:name w:val="List Number"/>
    <w:basedOn w:val="Normal"/>
    <w:uiPriority w:val="99"/>
    <w:pPr>
      <w:numPr>
        <w:numId w:val="15"/>
      </w:numPr>
      <w:spacing w:before="40"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uiPriority w:val="99"/>
    <w:pPr>
      <w:numPr>
        <w:ilvl w:val="1"/>
        <w:numId w:val="15"/>
      </w:numPr>
      <w:spacing w:before="40"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uiPriority w:val="99"/>
    <w:pPr>
      <w:numPr>
        <w:ilvl w:val="2"/>
        <w:numId w:val="15"/>
      </w:numPr>
      <w:spacing w:before="40"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uiPriority w:val="99"/>
    <w:pPr>
      <w:numPr>
        <w:ilvl w:val="3"/>
        <w:numId w:val="15"/>
      </w:numPr>
      <w:spacing w:before="40" w:after="240" w:line="240" w:lineRule="auto"/>
      <w:jc w:val="both"/>
    </w:pPr>
    <w:rPr>
      <w:rFonts w:ascii="Times New Roman" w:eastAsia="Times New Roman" w:hAnsi="Times New Roman"/>
      <w:sz w:val="24"/>
      <w:szCs w:val="20"/>
    </w:rPr>
  </w:style>
  <w:style w:type="character" w:customStyle="1" w:styleId="CommentTextChar1">
    <w:name w:val="Comment Text Char1"/>
    <w:rPr>
      <w:rFonts w:eastAsia="Times New Roman"/>
      <w:lang w:val="x-none" w:eastAsia="x-none"/>
    </w:rPr>
  </w:style>
  <w:style w:type="paragraph" w:customStyle="1" w:styleId="Not">
    <w:name w:val="Not"/>
    <w:basedOn w:val="FootnoteText"/>
    <w:uiPriority w:val="99"/>
    <w:pPr>
      <w:ind w:left="0" w:firstLine="0"/>
    </w:pPr>
  </w:style>
  <w:style w:type="character" w:customStyle="1" w:styleId="t23">
    <w:name w:val="t23"/>
    <w:uiPriority w:val="99"/>
    <w:rPr>
      <w:rFonts w:cs="Times New Roman"/>
      <w:shd w:val="clear" w:color="auto" w:fill="auto"/>
    </w:rPr>
  </w:style>
  <w:style w:type="character" w:customStyle="1" w:styleId="t25">
    <w:name w:val="t25"/>
    <w:uiPriority w:val="99"/>
    <w:rPr>
      <w:rFonts w:cs="Times New Roman"/>
      <w:shd w:val="clear" w:color="auto" w:fill="auto"/>
    </w:rPr>
  </w:style>
  <w:style w:type="character" w:customStyle="1" w:styleId="Caractresdenotedebasdepage">
    <w:name w:val="Caractères de note de bas de page"/>
    <w:uiPriority w:val="99"/>
    <w:rPr>
      <w:rFonts w:cs="Times New Roman"/>
      <w:shd w:val="clear" w:color="auto" w:fill="auto"/>
      <w:vertAlign w:val="superscript"/>
    </w:rPr>
  </w:style>
  <w:style w:type="character" w:customStyle="1" w:styleId="t9">
    <w:name w:val="t9"/>
    <w:uiPriority w:val="99"/>
    <w:rPr>
      <w:rFonts w:cs="Times New Roman"/>
      <w:shd w:val="clear" w:color="auto" w:fill="auto"/>
    </w:rPr>
  </w:style>
  <w:style w:type="character" w:customStyle="1" w:styleId="t10">
    <w:name w:val="t10"/>
    <w:uiPriority w:val="99"/>
    <w:rPr>
      <w:rFonts w:cs="Times New Roman"/>
      <w:shd w:val="clear" w:color="auto" w:fill="auto"/>
    </w:rPr>
  </w:style>
  <w:style w:type="character" w:customStyle="1" w:styleId="t20">
    <w:name w:val="t20"/>
    <w:uiPriority w:val="99"/>
    <w:rPr>
      <w:rFonts w:cs="Times New Roman"/>
      <w:shd w:val="clear" w:color="auto" w:fill="auto"/>
    </w:rPr>
  </w:style>
  <w:style w:type="character" w:customStyle="1" w:styleId="t21">
    <w:name w:val="t21"/>
    <w:uiPriority w:val="99"/>
    <w:rPr>
      <w:rFonts w:cs="Times New Roman"/>
      <w:shd w:val="clear" w:color="auto" w:fill="auto"/>
    </w:rPr>
  </w:style>
  <w:style w:type="character" w:customStyle="1" w:styleId="t5">
    <w:name w:val="t5"/>
    <w:uiPriority w:val="99"/>
    <w:rPr>
      <w:rFonts w:cs="Times New Roman"/>
      <w:shd w:val="clear" w:color="auto" w:fill="auto"/>
    </w:rPr>
  </w:style>
  <w:style w:type="character" w:customStyle="1" w:styleId="t4">
    <w:name w:val="t4"/>
    <w:uiPriority w:val="99"/>
    <w:rPr>
      <w:rFonts w:cs="Times New Roman"/>
      <w:shd w:val="clear" w:color="auto" w:fill="auto"/>
    </w:rPr>
  </w:style>
  <w:style w:type="character" w:customStyle="1" w:styleId="t11">
    <w:name w:val="t11"/>
    <w:uiPriority w:val="99"/>
    <w:rPr>
      <w:rFonts w:cs="Times New Roman"/>
      <w:shd w:val="clear" w:color="auto" w:fill="auto"/>
    </w:rPr>
  </w:style>
  <w:style w:type="character" w:customStyle="1" w:styleId="CaptionChar1">
    <w:name w:val="Caption Char1"/>
    <w:uiPriority w:val="99"/>
    <w:locked/>
    <w:rPr>
      <w:rFonts w:ascii="Times New Roman" w:eastAsia="Times New Roman" w:hAnsi="Times New Roman" w:cs="Times New Roman"/>
      <w:b/>
      <w:bCs/>
      <w:sz w:val="20"/>
      <w:szCs w:val="20"/>
      <w:lang w:val="en-GB"/>
    </w:rPr>
  </w:style>
  <w:style w:type="paragraph" w:styleId="TableofFigures">
    <w:name w:val="table of figures"/>
    <w:basedOn w:val="Normal"/>
    <w:next w:val="Normal"/>
    <w:uiPriority w:val="99"/>
    <w:pPr>
      <w:spacing w:before="40" w:after="120" w:line="240" w:lineRule="auto"/>
      <w:ind w:left="482" w:hanging="482"/>
      <w:jc w:val="both"/>
    </w:pPr>
    <w:rPr>
      <w:rFonts w:ascii="Times New Roman" w:eastAsia="Times New Roman" w:hAnsi="Times New Roman"/>
      <w:bCs/>
      <w:sz w:val="24"/>
      <w:szCs w:val="20"/>
    </w:rPr>
  </w:style>
  <w:style w:type="paragraph" w:styleId="ListNumber2">
    <w:name w:val="List Number 2"/>
    <w:basedOn w:val="Normal"/>
    <w:uiPriority w:val="99"/>
    <w:pPr>
      <w:numPr>
        <w:numId w:val="10"/>
      </w:numPr>
      <w:tabs>
        <w:tab w:val="clear" w:pos="926"/>
        <w:tab w:val="num" w:pos="643"/>
        <w:tab w:val="num" w:pos="850"/>
        <w:tab w:val="num" w:pos="1209"/>
      </w:tabs>
      <w:spacing w:before="120" w:after="120" w:line="240" w:lineRule="auto"/>
      <w:ind w:left="643"/>
      <w:jc w:val="both"/>
    </w:pPr>
    <w:rPr>
      <w:rFonts w:ascii="Times New Roman" w:eastAsia="Times New Roman" w:hAnsi="Times New Roman"/>
      <w:sz w:val="24"/>
      <w:szCs w:val="24"/>
    </w:rPr>
  </w:style>
  <w:style w:type="paragraph" w:styleId="ListNumber3">
    <w:name w:val="List Number 3"/>
    <w:basedOn w:val="Normal"/>
    <w:uiPriority w:val="99"/>
    <w:pPr>
      <w:numPr>
        <w:numId w:val="11"/>
      </w:numPr>
      <w:tabs>
        <w:tab w:val="clear" w:pos="1209"/>
        <w:tab w:val="num" w:pos="926"/>
        <w:tab w:val="num" w:pos="1417"/>
      </w:tabs>
      <w:spacing w:before="120" w:after="120" w:line="240" w:lineRule="auto"/>
      <w:ind w:left="926"/>
      <w:jc w:val="both"/>
    </w:pPr>
    <w:rPr>
      <w:rFonts w:ascii="Times New Roman" w:eastAsia="Times New Roman" w:hAnsi="Times New Roman"/>
      <w:sz w:val="24"/>
      <w:szCs w:val="24"/>
    </w:rPr>
  </w:style>
  <w:style w:type="paragraph" w:styleId="ListNumber4">
    <w:name w:val="List Number 4"/>
    <w:basedOn w:val="Normal"/>
    <w:uiPriority w:val="99"/>
    <w:pPr>
      <w:numPr>
        <w:numId w:val="12"/>
      </w:numPr>
      <w:tabs>
        <w:tab w:val="clear" w:pos="360"/>
        <w:tab w:val="num" w:pos="643"/>
        <w:tab w:val="num" w:pos="1209"/>
        <w:tab w:val="num" w:pos="1984"/>
      </w:tabs>
      <w:spacing w:before="120" w:after="120" w:line="240" w:lineRule="auto"/>
      <w:ind w:left="1209"/>
      <w:jc w:val="both"/>
    </w:pPr>
    <w:rPr>
      <w:rFonts w:ascii="Times New Roman" w:eastAsia="Times New Roman" w:hAnsi="Times New Roman"/>
      <w:sz w:val="24"/>
      <w:szCs w:val="24"/>
    </w:rPr>
  </w:style>
  <w:style w:type="paragraph" w:customStyle="1" w:styleId="Nomral">
    <w:name w:val="Nomral"/>
    <w:basedOn w:val="Normal"/>
    <w:uiPriority w:val="99"/>
    <w:pPr>
      <w:spacing w:before="120" w:after="120" w:line="240" w:lineRule="auto"/>
      <w:jc w:val="both"/>
    </w:pPr>
    <w:rPr>
      <w:rFonts w:ascii="Times New Roman" w:eastAsia="Times New Roman" w:hAnsi="Times New Roman"/>
      <w:sz w:val="24"/>
      <w:szCs w:val="24"/>
    </w:rPr>
  </w:style>
  <w:style w:type="paragraph" w:customStyle="1" w:styleId="Heading">
    <w:name w:val="Heading"/>
    <w:basedOn w:val="Heading1"/>
    <w:uiPriority w:val="99"/>
    <w:pPr>
      <w:tabs>
        <w:tab w:val="num" w:pos="643"/>
        <w:tab w:val="num" w:pos="850"/>
      </w:tabs>
      <w:spacing w:before="360" w:after="120" w:line="240" w:lineRule="auto"/>
      <w:ind w:left="850" w:hanging="850"/>
      <w:jc w:val="both"/>
    </w:pPr>
    <w:rPr>
      <w:rFonts w:ascii="Times New Roman" w:hAnsi="Times New Roman"/>
      <w:smallCaps/>
      <w:kern w:val="0"/>
      <w:sz w:val="24"/>
      <w:lang w:eastAsia="x-none"/>
    </w:rPr>
  </w:style>
  <w:style w:type="character" w:styleId="FollowedHyperlink">
    <w:name w:val="FollowedHyperlink"/>
    <w:uiPriority w:val="99"/>
    <w:rPr>
      <w:rFonts w:cs="Times New Roman"/>
      <w:color w:val="800080"/>
      <w:u w:val="single"/>
    </w:rPr>
  </w:style>
  <w:style w:type="paragraph" w:customStyle="1" w:styleId="FootnotesText">
    <w:name w:val="Footnotes Text"/>
    <w:basedOn w:val="Normal"/>
    <w:link w:val="FootnotesTextChar"/>
    <w:uiPriority w:val="99"/>
    <w:pPr>
      <w:autoSpaceDE w:val="0"/>
      <w:autoSpaceDN w:val="0"/>
      <w:adjustRightInd w:val="0"/>
      <w:spacing w:before="40" w:after="0" w:line="240" w:lineRule="auto"/>
      <w:jc w:val="both"/>
    </w:pPr>
    <w:rPr>
      <w:rFonts w:ascii="Times New Roman" w:eastAsia="Times New Roman" w:hAnsi="Times New Roman"/>
      <w:b/>
      <w:bCs/>
      <w:sz w:val="24"/>
      <w:szCs w:val="24"/>
      <w:lang w:eastAsia="en-GB"/>
    </w:rPr>
  </w:style>
  <w:style w:type="character" w:customStyle="1" w:styleId="FootnotesTextChar">
    <w:name w:val="Footnotes Text Char"/>
    <w:link w:val="FootnotesText"/>
    <w:uiPriority w:val="99"/>
    <w:locked/>
    <w:rPr>
      <w:rFonts w:ascii="Times New Roman" w:eastAsia="Times New Roman" w:hAnsi="Times New Roman"/>
      <w:b/>
      <w:bCs/>
      <w:sz w:val="24"/>
      <w:szCs w:val="24"/>
      <w:lang w:val="en-GB" w:eastAsia="en-GB"/>
    </w:rPr>
  </w:style>
  <w:style w:type="character" w:customStyle="1" w:styleId="hps">
    <w:name w:val="hps"/>
    <w:uiPriority w:val="99"/>
    <w:rPr>
      <w:rFonts w:cs="Times New Roman"/>
    </w:rPr>
  </w:style>
  <w:style w:type="paragraph" w:customStyle="1" w:styleId="Default">
    <w:name w:val="Default"/>
    <w:uiPriority w:val="99"/>
    <w:pPr>
      <w:autoSpaceDE w:val="0"/>
      <w:autoSpaceDN w:val="0"/>
      <w:adjustRightInd w:val="0"/>
    </w:pPr>
    <w:rPr>
      <w:rFonts w:ascii="EUAlbertina" w:eastAsia="Times New Roman" w:hAnsi="EUAlbertina" w:cs="EUAlbertina"/>
      <w:color w:val="000000"/>
      <w:sz w:val="24"/>
      <w:szCs w:val="24"/>
    </w:rPr>
  </w:style>
  <w:style w:type="paragraph" w:customStyle="1" w:styleId="CM4">
    <w:name w:val="CM4"/>
    <w:basedOn w:val="Default"/>
    <w:next w:val="Default"/>
    <w:uiPriority w:val="99"/>
    <w:rPr>
      <w:rFonts w:cs="Times New Roman"/>
      <w:color w:val="auto"/>
    </w:rPr>
  </w:style>
  <w:style w:type="character" w:customStyle="1" w:styleId="spiritsinfol">
    <w:name w:val="spirit s_info_l"/>
    <w:uiPriority w:val="99"/>
    <w:rPr>
      <w:rFonts w:cs="Times New Roman"/>
      <w:sz w:val="24"/>
      <w:szCs w:val="24"/>
    </w:rPr>
  </w:style>
  <w:style w:type="character" w:styleId="HTMLCite">
    <w:name w:val="HTML Cite"/>
    <w:uiPriority w:val="99"/>
    <w:rPr>
      <w:rFonts w:cs="Times New Roman"/>
      <w:i/>
      <w:iCs/>
    </w:rPr>
  </w:style>
  <w:style w:type="paragraph" w:customStyle="1" w:styleId="NormalBorderSinglesolidline">
    <w:name w:val="Normal + Border: : (Single solid line"/>
    <w:aliases w:val="Auto,0.5 pt Line width)"/>
    <w:basedOn w:val="Normal"/>
    <w:uiPriority w:val="99"/>
    <w:pPr>
      <w:spacing w:before="120" w:after="120" w:line="240" w:lineRule="auto"/>
      <w:jc w:val="both"/>
    </w:pPr>
    <w:rPr>
      <w:rFonts w:ascii="Times New Roman" w:eastAsia="Times New Roman" w:hAnsi="Times New Roman"/>
      <w:sz w:val="24"/>
      <w:szCs w:val="24"/>
      <w:bdr w:val="single" w:sz="4" w:space="0" w:color="auto"/>
    </w:rPr>
  </w:style>
  <w:style w:type="paragraph" w:customStyle="1" w:styleId="a3520normal">
    <w:name w:val="a___35__20_normal"/>
    <w:basedOn w:val="Normal"/>
    <w:uiPriority w:val="99"/>
    <w:pPr>
      <w:spacing w:before="100" w:beforeAutospacing="1" w:after="100" w:afterAutospacing="1" w:line="240" w:lineRule="auto"/>
      <w:jc w:val="both"/>
    </w:pPr>
    <w:rPr>
      <w:rFonts w:ascii="Times New Roman" w:eastAsia="Times New Roman" w:hAnsi="Times New Roman"/>
      <w:sz w:val="24"/>
      <w:szCs w:val="24"/>
      <w:lang w:eastAsia="en-GB"/>
    </w:rPr>
  </w:style>
  <w:style w:type="paragraph" w:customStyle="1" w:styleId="Noral">
    <w:name w:val="Noral"/>
    <w:basedOn w:val="Normal"/>
    <w:uiPriority w:val="99"/>
    <w:pPr>
      <w:spacing w:before="120" w:after="120" w:line="240" w:lineRule="auto"/>
      <w:jc w:val="both"/>
    </w:pPr>
    <w:rPr>
      <w:rFonts w:ascii="Times New Roman" w:eastAsia="Times New Roman" w:hAnsi="Times New Roman"/>
      <w:color w:val="0000FF"/>
      <w:sz w:val="24"/>
      <w:szCs w:val="24"/>
    </w:rPr>
  </w:style>
  <w:style w:type="character" w:customStyle="1" w:styleId="CharChar3">
    <w:name w:val="Char Char3"/>
    <w:uiPriority w:val="99"/>
    <w:semiHidden/>
    <w:locked/>
    <w:rPr>
      <w:lang w:val="en-GB" w:eastAsia="en-US"/>
    </w:rPr>
  </w:style>
  <w:style w:type="character" w:customStyle="1" w:styleId="CharChar2">
    <w:name w:val="Char Char2"/>
    <w:semiHidden/>
    <w:locked/>
    <w:rPr>
      <w:rFonts w:cs="Times New Roman"/>
      <w:sz w:val="20"/>
      <w:szCs w:val="20"/>
      <w:lang w:eastAsia="en-US"/>
    </w:rPr>
  </w:style>
  <w:style w:type="character" w:customStyle="1" w:styleId="CharChar5">
    <w:name w:val="Char Char5"/>
    <w:semiHidden/>
    <w:locked/>
    <w:rPr>
      <w:rFonts w:cs="Times New Roman"/>
      <w:lang w:val="en-GB" w:eastAsia="en-US" w:bidi="ar-SA"/>
    </w:rPr>
  </w:style>
  <w:style w:type="character" w:customStyle="1" w:styleId="CharChar7">
    <w:name w:val="Char Char7"/>
    <w:semiHidden/>
    <w:locked/>
    <w:rPr>
      <w:rFonts w:cs="Times New Roman"/>
      <w:lang w:val="en-GB" w:eastAsia="en-US" w:bidi="ar-SA"/>
    </w:rPr>
  </w:style>
  <w:style w:type="paragraph" w:styleId="Title">
    <w:name w:val="Title"/>
    <w:basedOn w:val="Normal"/>
    <w:link w:val="TitleChar"/>
    <w:qFormat/>
    <w:pPr>
      <w:spacing w:before="240" w:after="60" w:line="240" w:lineRule="auto"/>
      <w:jc w:val="center"/>
      <w:outlineLvl w:val="0"/>
    </w:pPr>
    <w:rPr>
      <w:rFonts w:ascii="Arial" w:hAnsi="Arial"/>
      <w:b/>
      <w:bCs/>
      <w:kern w:val="28"/>
      <w:sz w:val="32"/>
      <w:szCs w:val="32"/>
      <w:lang w:eastAsia="x-none"/>
    </w:rPr>
  </w:style>
  <w:style w:type="character" w:customStyle="1" w:styleId="TitleChar">
    <w:name w:val="Title Char"/>
    <w:link w:val="Title"/>
    <w:rPr>
      <w:rFonts w:ascii="Arial" w:hAnsi="Arial"/>
      <w:b/>
      <w:bCs/>
      <w:kern w:val="28"/>
      <w:sz w:val="32"/>
      <w:szCs w:val="32"/>
      <w:lang w:val="en-GB" w:eastAsia="x-none"/>
    </w:rPr>
  </w:style>
  <w:style w:type="paragraph" w:customStyle="1" w:styleId="entetepair">
    <w:name w:val="entete_pair"/>
    <w:pPr>
      <w:pBdr>
        <w:bottom w:val="single" w:sz="4" w:space="5" w:color="C00000"/>
      </w:pBdr>
      <w:spacing w:after="300"/>
    </w:pPr>
    <w:rPr>
      <w:rFonts w:ascii="Arial Narrow" w:hAnsi="Arial Narrow" w:cs="Arial"/>
      <w:color w:val="000000"/>
      <w:spacing w:val="20"/>
      <w:sz w:val="18"/>
      <w:lang w:eastAsia="en-US"/>
    </w:rPr>
  </w:style>
  <w:style w:type="paragraph" w:customStyle="1" w:styleId="enteteimpair">
    <w:name w:val="entete_impair"/>
    <w:basedOn w:val="entetepair"/>
    <w:pPr>
      <w:jc w:val="right"/>
    </w:pPr>
    <w:rPr>
      <w:lang w:val="en-US"/>
    </w:rPr>
  </w:style>
  <w:style w:type="paragraph" w:customStyle="1" w:styleId="exemple">
    <w:name w:val="exemple"/>
    <w:pPr>
      <w:spacing w:before="120" w:line="300" w:lineRule="auto"/>
      <w:ind w:left="369"/>
      <w:jc w:val="both"/>
    </w:pPr>
    <w:rPr>
      <w:rFonts w:ascii="Arial Narrow" w:hAnsi="Arial Narrow"/>
      <w:lang w:eastAsia="en-US"/>
    </w:rPr>
  </w:style>
  <w:style w:type="paragraph" w:customStyle="1" w:styleId="H1etiket">
    <w:name w:val="H1_etiket"/>
    <w:basedOn w:val="Heading1"/>
    <w:pPr>
      <w:spacing w:before="0" w:after="600" w:line="300" w:lineRule="auto"/>
      <w:jc w:val="right"/>
    </w:pPr>
    <w:rPr>
      <w:rFonts w:ascii="Verdana" w:eastAsia="Calibri" w:hAnsi="Verdana" w:cs="Arial"/>
      <w:bCs w:val="0"/>
      <w:caps/>
      <w:noProof/>
      <w:color w:val="943634"/>
      <w:kern w:val="0"/>
      <w:sz w:val="52"/>
      <w:szCs w:val="52"/>
      <w:lang w:eastAsia="x-none"/>
    </w:rPr>
  </w:style>
  <w:style w:type="paragraph" w:customStyle="1" w:styleId="H1prelim">
    <w:name w:val="H1_prelim"/>
    <w:pPr>
      <w:pBdr>
        <w:bottom w:val="single" w:sz="8" w:space="31" w:color="auto"/>
      </w:pBdr>
      <w:tabs>
        <w:tab w:val="left" w:pos="2268"/>
      </w:tabs>
      <w:spacing w:before="800" w:after="180"/>
      <w:jc w:val="center"/>
    </w:pPr>
    <w:rPr>
      <w:rFonts w:ascii="Arial" w:hAnsi="Arial" w:cs="Arial"/>
      <w:b/>
      <w:caps/>
      <w:color w:val="000000"/>
      <w:spacing w:val="60"/>
      <w:sz w:val="36"/>
      <w:lang w:val="fr-FR" w:eastAsia="en-US"/>
    </w:rPr>
  </w:style>
  <w:style w:type="paragraph" w:customStyle="1" w:styleId="H1subtitle">
    <w:name w:val="H1_subtitle"/>
    <w:basedOn w:val="Heading1"/>
    <w:pPr>
      <w:widowControl w:val="0"/>
      <w:shd w:val="clear" w:color="auto" w:fill="FFCC99"/>
      <w:spacing w:after="0" w:line="360" w:lineRule="auto"/>
      <w:jc w:val="center"/>
    </w:pPr>
    <w:rPr>
      <w:rFonts w:ascii="Verdana" w:eastAsia="Calibri" w:hAnsi="Verdana" w:cs="Arial"/>
      <w:bCs w:val="0"/>
      <w:caps/>
      <w:noProof/>
      <w:spacing w:val="20"/>
      <w:kern w:val="28"/>
      <w:lang w:eastAsia="x-none"/>
    </w:rPr>
  </w:style>
  <w:style w:type="paragraph" w:customStyle="1" w:styleId="noteexplicative">
    <w:name w:val="note explicative"/>
    <w:pPr>
      <w:spacing w:before="100" w:after="60"/>
    </w:pPr>
    <w:rPr>
      <w:rFonts w:ascii="Arial" w:hAnsi="Arial" w:cs="Arial"/>
      <w:b/>
      <w:bCs/>
      <w:color w:val="C00000"/>
      <w:sz w:val="18"/>
      <w:u w:val="single"/>
      <w:lang w:eastAsia="en-US"/>
    </w:rPr>
  </w:style>
  <w:style w:type="paragraph" w:customStyle="1" w:styleId="pays">
    <w:name w:val="pays"/>
    <w:pPr>
      <w:spacing w:before="200" w:after="100"/>
    </w:pPr>
    <w:rPr>
      <w:rFonts w:ascii="Myriad Pro" w:hAnsi="Myriad Pro"/>
      <w:b/>
      <w:color w:val="993300"/>
      <w:sz w:val="21"/>
      <w:lang w:eastAsia="en-US"/>
    </w:rPr>
  </w:style>
  <w:style w:type="paragraph" w:customStyle="1" w:styleId="tableauougraphique">
    <w:name w:val="tableau ou graphique"/>
    <w:pPr>
      <w:keepNext/>
      <w:numPr>
        <w:numId w:val="18"/>
      </w:numPr>
      <w:spacing w:before="200" w:after="200" w:line="276" w:lineRule="auto"/>
      <w:ind w:hanging="720"/>
    </w:pPr>
    <w:rPr>
      <w:rFonts w:ascii="Arial Narrow" w:eastAsia="Times New Roman" w:hAnsi="Arial Narrow" w:cs="Arial"/>
      <w:b/>
      <w:bCs/>
      <w:noProof/>
      <w:color w:val="943634"/>
      <w:lang w:eastAsia="en-US"/>
    </w:rPr>
  </w:style>
  <w:style w:type="paragraph" w:customStyle="1" w:styleId="texteparbullet">
    <w:name w:val="texte+par+bullet"/>
    <w:basedOn w:val="Normal"/>
    <w:pPr>
      <w:numPr>
        <w:numId w:val="17"/>
      </w:numPr>
      <w:spacing w:before="160" w:after="0" w:line="300" w:lineRule="auto"/>
      <w:jc w:val="both"/>
    </w:pPr>
    <w:rPr>
      <w:rFonts w:ascii="Arial" w:hAnsi="Arial" w:cs="Arial"/>
      <w:noProof/>
      <w:sz w:val="20"/>
      <w:szCs w:val="20"/>
      <w:lang w:eastAsia="de-DE"/>
    </w:rPr>
  </w:style>
  <w:style w:type="paragraph" w:customStyle="1" w:styleId="texteparbulletretrait">
    <w:name w:val="texte+par+bullet+retrait"/>
    <w:basedOn w:val="texteparbullet"/>
    <w:pPr>
      <w:numPr>
        <w:numId w:val="0"/>
      </w:numPr>
      <w:spacing w:before="80"/>
    </w:pPr>
  </w:style>
  <w:style w:type="paragraph" w:customStyle="1" w:styleId="texte1">
    <w:name w:val="texte1"/>
    <w:basedOn w:val="Normal"/>
    <w:pPr>
      <w:spacing w:before="40" w:after="0" w:line="240" w:lineRule="auto"/>
      <w:jc w:val="both"/>
    </w:pPr>
    <w:rPr>
      <w:rFonts w:ascii="Arial" w:hAnsi="Arial" w:cs="Arial"/>
      <w:sz w:val="2"/>
      <w:szCs w:val="17"/>
      <w:lang w:eastAsia="en-GB"/>
    </w:rPr>
  </w:style>
  <w:style w:type="paragraph" w:customStyle="1" w:styleId="texte83ap">
    <w:name w:val="texte8_3ap"/>
    <w:basedOn w:val="Normal"/>
    <w:pPr>
      <w:widowControl w:val="0"/>
      <w:spacing w:before="40" w:after="60" w:line="240" w:lineRule="auto"/>
      <w:jc w:val="both"/>
    </w:pPr>
    <w:rPr>
      <w:rFonts w:ascii="Arial" w:hAnsi="Arial" w:cs="Arial"/>
      <w:sz w:val="16"/>
      <w:szCs w:val="16"/>
    </w:rPr>
  </w:style>
  <w:style w:type="paragraph" w:customStyle="1" w:styleId="texte">
    <w:name w:val="texte"/>
    <w:basedOn w:val="textepar"/>
    <w:pPr>
      <w:spacing w:before="0"/>
      <w:jc w:val="left"/>
    </w:pPr>
    <w:rPr>
      <w:rFonts w:eastAsia="Calibri" w:cs="Arial"/>
      <w:sz w:val="20"/>
      <w:szCs w:val="20"/>
      <w:lang w:eastAsia="en-GB"/>
    </w:rPr>
  </w:style>
  <w:style w:type="character" w:customStyle="1" w:styleId="Caracteresdenotaderodap">
    <w:name w:val="Caracteres de nota de rodapé"/>
    <w:rPr>
      <w:rFonts w:cs="Times New Roman"/>
      <w:vertAlign w:val="superscript"/>
    </w:rPr>
  </w:style>
  <w:style w:type="character" w:customStyle="1" w:styleId="rightside">
    <w:name w:val="right_side"/>
    <w:rPr>
      <w:rFonts w:cs="Times New Roman"/>
    </w:rPr>
  </w:style>
  <w:style w:type="paragraph" w:customStyle="1" w:styleId="CM1">
    <w:name w:val="CM1"/>
    <w:basedOn w:val="Default"/>
    <w:next w:val="Default"/>
    <w:rPr>
      <w:rFonts w:cs="Times New Roman"/>
      <w:color w:val="auto"/>
    </w:rPr>
  </w:style>
  <w:style w:type="paragraph" w:customStyle="1" w:styleId="CM3">
    <w:name w:val="CM3"/>
    <w:basedOn w:val="Default"/>
    <w:next w:val="Default"/>
    <w:rPr>
      <w:rFonts w:cs="Times New Roman"/>
      <w:color w:val="auto"/>
    </w:rPr>
  </w:style>
  <w:style w:type="paragraph" w:customStyle="1" w:styleId="Headin2">
    <w:name w:val="Headin 2"/>
    <w:basedOn w:val="Normal"/>
    <w:pPr>
      <w:keepNext/>
      <w:tabs>
        <w:tab w:val="left" w:pos="540"/>
      </w:tabs>
      <w:spacing w:before="320" w:after="360" w:line="240" w:lineRule="auto"/>
      <w:jc w:val="both"/>
      <w:outlineLvl w:val="1"/>
    </w:pPr>
    <w:rPr>
      <w:rFonts w:ascii="Arial" w:eastAsia="Times New Roman" w:hAnsi="Arial" w:cs="Arial"/>
      <w:b/>
      <w:bCs/>
      <w:color w:val="943634"/>
      <w:spacing w:val="10"/>
      <w:sz w:val="28"/>
      <w:szCs w:val="28"/>
    </w:rPr>
  </w:style>
  <w:style w:type="paragraph" w:customStyle="1" w:styleId="HwSINF">
    <w:name w:val="HwSINF §"/>
    <w:basedOn w:val="Normal"/>
    <w:pPr>
      <w:keepNext/>
      <w:spacing w:before="270" w:after="160" w:line="240" w:lineRule="auto"/>
      <w:jc w:val="both"/>
      <w:outlineLvl w:val="2"/>
    </w:pPr>
    <w:rPr>
      <w:rFonts w:ascii="Verdana" w:eastAsia="Times New Roman" w:hAnsi="Verdana"/>
      <w:b/>
      <w:color w:val="943634"/>
      <w:sz w:val="24"/>
    </w:rPr>
  </w:style>
  <w:style w:type="paragraph" w:styleId="DocumentMap">
    <w:name w:val="Document Map"/>
    <w:basedOn w:val="Normal"/>
    <w:link w:val="DocumentMapChar"/>
    <w:semiHidden/>
    <w:pPr>
      <w:shd w:val="clear" w:color="auto" w:fill="000080"/>
      <w:spacing w:before="120" w:after="120" w:line="240" w:lineRule="auto"/>
      <w:jc w:val="both"/>
    </w:pPr>
    <w:rPr>
      <w:rFonts w:ascii="Tahoma" w:eastAsia="Times New Roman" w:hAnsi="Tahoma"/>
      <w:sz w:val="20"/>
      <w:szCs w:val="20"/>
      <w:lang w:eastAsia="x-none"/>
    </w:rPr>
  </w:style>
  <w:style w:type="character" w:customStyle="1" w:styleId="DocumentMapChar">
    <w:name w:val="Document Map Char"/>
    <w:link w:val="DocumentMap"/>
    <w:semiHidden/>
    <w:rPr>
      <w:rFonts w:ascii="Tahoma" w:eastAsia="Times New Roman" w:hAnsi="Tahoma"/>
      <w:shd w:val="clear" w:color="auto" w:fill="000080"/>
      <w:lang w:val="en-GB" w:eastAsia="x-none"/>
    </w:rPr>
  </w:style>
  <w:style w:type="paragraph" w:customStyle="1" w:styleId="PartTit">
    <w:name w:val="PartTit#"/>
    <w:basedOn w:val="Heading1"/>
    <w:pPr>
      <w:tabs>
        <w:tab w:val="num" w:pos="850"/>
      </w:tabs>
      <w:spacing w:before="360" w:after="120" w:line="240" w:lineRule="auto"/>
      <w:ind w:left="850" w:hanging="850"/>
      <w:jc w:val="both"/>
    </w:pPr>
    <w:rPr>
      <w:rFonts w:ascii="Times New Roman" w:hAnsi="Times New Roman"/>
      <w:smallCaps/>
      <w:kern w:val="0"/>
      <w:sz w:val="24"/>
      <w:lang w:eastAsia="x-none"/>
    </w:rPr>
  </w:style>
  <w:style w:type="paragraph" w:customStyle="1" w:styleId="ManualHeading10">
    <w:name w:val="ManualHeading 1"/>
    <w:basedOn w:val="Normal"/>
    <w:qFormat/>
    <w:pPr>
      <w:spacing w:before="120" w:after="120" w:line="240" w:lineRule="auto"/>
      <w:jc w:val="both"/>
    </w:pPr>
    <w:rPr>
      <w:rFonts w:ascii="Times New Roman" w:eastAsia="Times New Roman" w:hAnsi="Times New Roman"/>
      <w:sz w:val="24"/>
      <w:szCs w:val="24"/>
    </w:rPr>
  </w:style>
  <w:style w:type="paragraph" w:customStyle="1" w:styleId="PartTitel">
    <w:name w:val="PartTitel"/>
    <w:basedOn w:val="Normal"/>
    <w:pPr>
      <w:spacing w:before="120" w:after="120" w:line="240" w:lineRule="auto"/>
      <w:jc w:val="both"/>
    </w:pPr>
    <w:rPr>
      <w:rFonts w:ascii="Times New Roman" w:eastAsia="Times New Roman" w:hAnsi="Times New Roman"/>
      <w:sz w:val="24"/>
      <w:szCs w:val="24"/>
    </w:rPr>
  </w:style>
  <w:style w:type="paragraph" w:customStyle="1" w:styleId="Heading20">
    <w:name w:val="Heading 2#"/>
    <w:basedOn w:val="Normal"/>
    <w:qFormat/>
    <w:pPr>
      <w:spacing w:before="160" w:after="0" w:line="300" w:lineRule="auto"/>
      <w:jc w:val="both"/>
    </w:pPr>
    <w:rPr>
      <w:rFonts w:ascii="Verdana" w:eastAsia="Times New Roman" w:hAnsi="Verdana" w:cs="Arial"/>
      <w:color w:val="632423"/>
      <w:sz w:val="20"/>
      <w:szCs w:val="20"/>
    </w:rPr>
  </w:style>
  <w:style w:type="paragraph" w:customStyle="1" w:styleId="Point00">
    <w:name w:val="Point0"/>
    <w:basedOn w:val="Point1"/>
    <w:pPr>
      <w:tabs>
        <w:tab w:val="left" w:pos="567"/>
      </w:tabs>
      <w:ind w:left="719" w:hanging="435"/>
    </w:pPr>
  </w:style>
  <w:style w:type="paragraph" w:customStyle="1" w:styleId="ManualHeading20">
    <w:name w:val="ManualHeading 2"/>
    <w:basedOn w:val="Normal"/>
    <w:pPr>
      <w:spacing w:before="120" w:after="120" w:line="240" w:lineRule="auto"/>
      <w:jc w:val="both"/>
    </w:pPr>
    <w:rPr>
      <w:rFonts w:ascii="Times New Roman" w:eastAsia="Times New Roman" w:hAnsi="Times New Roman"/>
      <w:sz w:val="24"/>
      <w:szCs w:val="24"/>
    </w:rPr>
  </w:style>
  <w:style w:type="character" w:customStyle="1" w:styleId="at1">
    <w:name w:val="a__t1"/>
  </w:style>
  <w:style w:type="paragraph" w:customStyle="1" w:styleId="Caption0">
    <w:name w:val="Caption#"/>
    <w:basedOn w:val="Normal"/>
    <w:qFormat/>
    <w:pPr>
      <w:spacing w:before="40" w:after="180" w:line="240" w:lineRule="auto"/>
      <w:jc w:val="both"/>
    </w:pPr>
    <w:rPr>
      <w:rFonts w:ascii="Times New Roman" w:eastAsia="Times New Roman" w:hAnsi="Times New Roman"/>
      <w:sz w:val="24"/>
      <w:lang w:val="en-US"/>
    </w:rPr>
  </w:style>
  <w:style w:type="character" w:customStyle="1" w:styleId="Titolodellibro">
    <w:name w:val="Titolo del libro"/>
    <w:uiPriority w:val="33"/>
    <w:qFormat/>
    <w:rPr>
      <w:b/>
      <w:bCs/>
      <w:smallCaps/>
      <w:spacing w:val="5"/>
    </w:rPr>
  </w:style>
  <w:style w:type="paragraph" w:customStyle="1" w:styleId="Reference">
    <w:name w:val="Reference"/>
    <w:basedOn w:val="Normal"/>
    <w:link w:val="ReferenceChar"/>
    <w:qFormat/>
    <w:pPr>
      <w:keepLines/>
      <w:spacing w:before="40" w:after="120" w:line="240" w:lineRule="auto"/>
      <w:ind w:left="720" w:hanging="720"/>
    </w:pPr>
    <w:rPr>
      <w:rFonts w:ascii="Times New Roman" w:eastAsia="Times New Roman" w:hAnsi="Times New Roman"/>
      <w:noProof/>
      <w:lang w:val="en-US"/>
    </w:rPr>
  </w:style>
  <w:style w:type="character" w:customStyle="1" w:styleId="st1">
    <w:name w:val="st1"/>
  </w:style>
  <w:style w:type="character" w:customStyle="1" w:styleId="ReferenceChar">
    <w:name w:val="Reference Char"/>
    <w:link w:val="Reference"/>
    <w:rPr>
      <w:rFonts w:ascii="Times New Roman" w:eastAsia="Times New Roman" w:hAnsi="Times New Roman"/>
      <w:noProof/>
      <w:sz w:val="22"/>
      <w:szCs w:val="22"/>
      <w:lang w:val="en-US"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TitolosommarioCarattere">
    <w:name w:val="Titolo sommario Carattere"/>
    <w:link w:val="Titolosommario"/>
    <w:uiPriority w:val="39"/>
    <w:rPr>
      <w:rFonts w:ascii="Times New Roman" w:eastAsia="Times New Roman" w:hAnsi="Times New Roman"/>
      <w:b/>
      <w:sz w:val="28"/>
      <w:szCs w:val="24"/>
      <w:lang w:val="x-none" w:eastAsia="en-US"/>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customStyle="1" w:styleId="top">
    <w:name w:val="top"/>
    <w:basedOn w:val="Normal"/>
    <w:link w:val="topChar"/>
    <w:qFormat/>
    <w:pPr>
      <w:spacing w:after="0" w:line="240" w:lineRule="auto"/>
      <w:jc w:val="both"/>
    </w:pPr>
    <w:rPr>
      <w:rFonts w:ascii="Times New Roman" w:eastAsia="Times New Roman" w:hAnsi="Times New Roman"/>
      <w:sz w:val="2"/>
      <w:szCs w:val="2"/>
      <w:lang w:val="en-US"/>
    </w:rPr>
  </w:style>
  <w:style w:type="paragraph" w:customStyle="1" w:styleId="Tiop">
    <w:name w:val="Tiop"/>
    <w:basedOn w:val="Normal"/>
    <w:qFormat/>
    <w:pPr>
      <w:spacing w:before="40" w:after="180" w:line="240" w:lineRule="auto"/>
      <w:jc w:val="both"/>
    </w:pPr>
    <w:rPr>
      <w:rFonts w:ascii="Times New Roman" w:eastAsia="Times New Roman" w:hAnsi="Times New Roman"/>
      <w:sz w:val="24"/>
      <w:lang w:val="en-US"/>
    </w:rPr>
  </w:style>
  <w:style w:type="character" w:customStyle="1" w:styleId="topChar">
    <w:name w:val="top Char"/>
    <w:link w:val="top"/>
    <w:rPr>
      <w:rFonts w:ascii="Times New Roman" w:eastAsia="Times New Roman" w:hAnsi="Times New Roman"/>
      <w:sz w:val="2"/>
      <w:szCs w:val="2"/>
      <w:lang w:val="en-US" w:eastAsia="en-US"/>
    </w:rPr>
  </w:style>
  <w:style w:type="paragraph" w:customStyle="1" w:styleId="a75TextbaseTable">
    <w:name w:val="_a7_5_Text_base_Table"/>
    <w:qFormat/>
    <w:pPr>
      <w:tabs>
        <w:tab w:val="left" w:pos="1985"/>
      </w:tabs>
    </w:pPr>
    <w:rPr>
      <w:rFonts w:ascii="Arial" w:eastAsia="Times New Roman" w:hAnsi="Arial" w:cs="Arial"/>
      <w:snapToGrid w:val="0"/>
      <w:color w:val="1F497D"/>
      <w:sz w:val="16"/>
      <w:szCs w:val="16"/>
      <w:lang w:val="en-US" w:eastAsia="en-US"/>
    </w:rPr>
  </w:style>
  <w:style w:type="paragraph" w:customStyle="1" w:styleId="p91Textpara">
    <w:name w:val="_p9_1_Text_para"/>
    <w:pPr>
      <w:tabs>
        <w:tab w:val="left" w:pos="4253"/>
      </w:tabs>
      <w:spacing w:before="160" w:line="300" w:lineRule="auto"/>
      <w:jc w:val="both"/>
    </w:pPr>
    <w:rPr>
      <w:rFonts w:ascii="Arial" w:hAnsi="Arial" w:cs="Arial"/>
      <w:color w:val="1F497D"/>
      <w:lang w:eastAsia="en-US"/>
    </w:rPr>
  </w:style>
  <w:style w:type="paragraph" w:styleId="Revision">
    <w:name w:val="Revision"/>
    <w:hidden/>
    <w:uiPriority w:val="99"/>
    <w:semiHidden/>
    <w:rPr>
      <w:sz w:val="22"/>
      <w:szCs w:val="22"/>
      <w:lang w:eastAsia="en-US"/>
    </w:rPr>
  </w:style>
  <w:style w:type="paragraph" w:customStyle="1" w:styleId="Yo13YouthIndicator">
    <w:name w:val="_Yo_13_Youth_Indicator"/>
    <w:qFormat/>
    <w:pPr>
      <w:spacing w:line="300" w:lineRule="auto"/>
      <w:ind w:left="113" w:right="113"/>
    </w:pPr>
    <w:rPr>
      <w:rFonts w:ascii="Verdana" w:hAnsi="Verdana"/>
      <w:b/>
      <w:color w:val="FFFFFF"/>
      <w:sz w:val="16"/>
      <w:szCs w:val="22"/>
      <w:lang w:eastAsia="en-US"/>
    </w:rPr>
  </w:style>
  <w:style w:type="paragraph" w:customStyle="1" w:styleId="Yo5TextEUYouthTOC">
    <w:name w:val="_Yo_5_Text_EU_Youth_TOC"/>
    <w:pPr>
      <w:keepNext/>
      <w:framePr w:hSpace="180" w:wrap="around" w:vAnchor="text" w:hAnchor="margin" w:x="108" w:y="100"/>
    </w:pPr>
    <w:rPr>
      <w:rFonts w:ascii="Arial Narrow" w:eastAsia="Cambria" w:hAnsi="Arial Narrow" w:cs="Arial"/>
      <w:b/>
      <w:bCs/>
      <w:noProof/>
      <w:color w:val="C00000"/>
      <w:lang w:eastAsia="en-US"/>
    </w:rPr>
  </w:style>
  <w:style w:type="paragraph" w:customStyle="1" w:styleId="Yo5TextEUYouth">
    <w:name w:val="_Yo_5_Text_EU_Youth"/>
    <w:basedOn w:val="Yo5TextNotes"/>
    <w:qFormat/>
    <w:pPr>
      <w:framePr w:hSpace="180" w:wrap="around" w:vAnchor="text" w:hAnchor="margin" w:x="108" w:y="100"/>
    </w:pPr>
    <w:rPr>
      <w:b/>
      <w:color w:val="C00000"/>
      <w:sz w:val="2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Yo0H1Char">
    <w:name w:val="_Yo_0_H1 Char"/>
    <w:link w:val="Yo0H1"/>
    <w:rPr>
      <w:rFonts w:ascii="Verdana" w:eastAsia="Times New Roman" w:hAnsi="Verdana" w:cs="MyriadPro-Bold"/>
      <w:b/>
      <w:bCs w:val="0"/>
      <w:color w:val="DB1E48"/>
      <w:kern w:val="32"/>
      <w:sz w:val="44"/>
      <w:szCs w:val="44"/>
      <w:lang w:val="en-US" w:eastAsia="fr-BE"/>
    </w:rPr>
  </w:style>
  <w:style w:type="character" w:customStyle="1" w:styleId="FooterSensitivityChar">
    <w:name w:val="Footer Sensitivity Char"/>
    <w:link w:val="FooterSensitivity"/>
    <w:rPr>
      <w:rFonts w:ascii="Times New Roman" w:hAnsi="Times New Roman"/>
      <w:b/>
      <w:sz w:val="32"/>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link w:val="HeaderSensitivity"/>
    <w:rPr>
      <w:rFonts w:ascii="Times New Roman" w:hAnsi="Times New Roman"/>
      <w:b/>
      <w:sz w:val="32"/>
      <w:szCs w:val="22"/>
      <w:lang w:eastAsia="en-US"/>
    </w:rPr>
  </w:style>
  <w:style w:type="paragraph" w:styleId="TOCHeading">
    <w:name w:val="TOC Heading"/>
    <w:basedOn w:val="Heading1"/>
    <w:next w:val="Normal"/>
    <w:uiPriority w:val="39"/>
    <w:unhideWhenUsed/>
    <w:qFormat/>
    <w:pPr>
      <w:keepLines/>
      <w:spacing w:after="0" w:line="259" w:lineRule="auto"/>
      <w:outlineLvl w:val="9"/>
    </w:pPr>
    <w:rPr>
      <w:rFonts w:ascii="Calibri Light" w:hAnsi="Calibri Light"/>
      <w:b w:val="0"/>
      <w:bCs w:val="0"/>
      <w:color w:val="2E74B5"/>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2911">
      <w:bodyDiv w:val="1"/>
      <w:marLeft w:val="0"/>
      <w:marRight w:val="0"/>
      <w:marTop w:val="0"/>
      <w:marBottom w:val="0"/>
      <w:divBdr>
        <w:top w:val="none" w:sz="0" w:space="0" w:color="auto"/>
        <w:left w:val="none" w:sz="0" w:space="0" w:color="auto"/>
        <w:bottom w:val="none" w:sz="0" w:space="0" w:color="auto"/>
        <w:right w:val="none" w:sz="0" w:space="0" w:color="auto"/>
      </w:divBdr>
    </w:div>
    <w:div w:id="60494709">
      <w:bodyDiv w:val="1"/>
      <w:marLeft w:val="0"/>
      <w:marRight w:val="0"/>
      <w:marTop w:val="0"/>
      <w:marBottom w:val="0"/>
      <w:divBdr>
        <w:top w:val="none" w:sz="0" w:space="0" w:color="auto"/>
        <w:left w:val="none" w:sz="0" w:space="0" w:color="auto"/>
        <w:bottom w:val="none" w:sz="0" w:space="0" w:color="auto"/>
        <w:right w:val="none" w:sz="0" w:space="0" w:color="auto"/>
      </w:divBdr>
    </w:div>
    <w:div w:id="366491573">
      <w:bodyDiv w:val="1"/>
      <w:marLeft w:val="0"/>
      <w:marRight w:val="0"/>
      <w:marTop w:val="0"/>
      <w:marBottom w:val="0"/>
      <w:divBdr>
        <w:top w:val="none" w:sz="0" w:space="0" w:color="auto"/>
        <w:left w:val="none" w:sz="0" w:space="0" w:color="auto"/>
        <w:bottom w:val="none" w:sz="0" w:space="0" w:color="auto"/>
        <w:right w:val="none" w:sz="0" w:space="0" w:color="auto"/>
      </w:divBdr>
    </w:div>
    <w:div w:id="1184512386">
      <w:bodyDiv w:val="1"/>
      <w:marLeft w:val="0"/>
      <w:marRight w:val="0"/>
      <w:marTop w:val="0"/>
      <w:marBottom w:val="0"/>
      <w:divBdr>
        <w:top w:val="none" w:sz="0" w:space="0" w:color="auto"/>
        <w:left w:val="none" w:sz="0" w:space="0" w:color="auto"/>
        <w:bottom w:val="none" w:sz="0" w:space="0" w:color="auto"/>
        <w:right w:val="none" w:sz="0" w:space="0" w:color="auto"/>
      </w:divBdr>
    </w:div>
    <w:div w:id="137357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footer" Target="footer6.xml"/><Relationship Id="rId21" Type="http://schemas.openxmlformats.org/officeDocument/2006/relationships/image" Target="media/image5.jpeg"/><Relationship Id="rId42" Type="http://schemas.openxmlformats.org/officeDocument/2006/relationships/image" Target="media/image19.jpeg"/><Relationship Id="rId47" Type="http://schemas.openxmlformats.org/officeDocument/2006/relationships/image" Target="file:///G:\YOUTH\TOOLS\key_youth\R2.jpg" TargetMode="External"/><Relationship Id="rId63" Type="http://schemas.openxmlformats.org/officeDocument/2006/relationships/image" Target="media/image31.jpeg"/><Relationship Id="rId68" Type="http://schemas.openxmlformats.org/officeDocument/2006/relationships/image" Target="media/image34.jpeg"/><Relationship Id="rId84" Type="http://schemas.openxmlformats.org/officeDocument/2006/relationships/image" Target="file:///\\s-eacea-fs03-p\EACEA.A7\Youth\04_Reports\a_EU_Youth_Reports\2018\03_graph\7_K_b_unmet_need_gender.jpg" TargetMode="External"/><Relationship Id="rId89" Type="http://schemas.openxmlformats.org/officeDocument/2006/relationships/image" Target="media/image45.png"/><Relationship Id="rId112" Type="http://schemas.openxmlformats.org/officeDocument/2006/relationships/header" Target="header4.xml"/><Relationship Id="rId16" Type="http://schemas.openxmlformats.org/officeDocument/2006/relationships/image" Target="media/image2.jpeg"/><Relationship Id="rId107" Type="http://schemas.openxmlformats.org/officeDocument/2006/relationships/image" Target="media/image55.jpeg"/><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file:///\\s-eacea-fs03-p\EACEA.A7\Youth\04_Reports\a_EU_Youth_Reports\2018\03_graph\7_B_b_poverty_or_social_exclusion_EU.jpg" TargetMode="External"/><Relationship Id="rId37" Type="http://schemas.openxmlformats.org/officeDocument/2006/relationships/image" Target="file:///\\s-eacea-fs03-p\EACEA.A7\Youth\04_Reports\a_EU_Youth_Reports\2018\03_graph\7_C_poverty_exclusion_living.jpg" TargetMode="External"/><Relationship Id="rId40" Type="http://schemas.openxmlformats.org/officeDocument/2006/relationships/image" Target="media/image18.jpeg"/><Relationship Id="rId45" Type="http://schemas.openxmlformats.org/officeDocument/2006/relationships/image" Target="file:///G:\TOOLS\Templates_Graphs\Maps\Excel\PNG\C2D.png" TargetMode="External"/><Relationship Id="rId53" Type="http://schemas.openxmlformats.org/officeDocument/2006/relationships/image" Target="file:///\\s-eacea-fs03-p\EACEA.A7\Youth\04_Reports\a_EU_Youth_Reports\2018\03_graph\7_E_poverty_young.jpg" TargetMode="External"/><Relationship Id="rId58" Type="http://schemas.openxmlformats.org/officeDocument/2006/relationships/image" Target="media/image28.emf"/><Relationship Id="rId66" Type="http://schemas.openxmlformats.org/officeDocument/2006/relationships/image" Target="media/image33.jpeg"/><Relationship Id="rId74" Type="http://schemas.openxmlformats.org/officeDocument/2006/relationships/image" Target="file:///\\s-eacea-fs03-p\EACEA.A7\Youth\04_Reports\a_EU_Youth_Reports\2018\03_graph\7_I_overcrowding_age.jpg" TargetMode="External"/><Relationship Id="rId79" Type="http://schemas.openxmlformats.org/officeDocument/2006/relationships/image" Target="media/image40.jpeg"/><Relationship Id="rId87" Type="http://schemas.openxmlformats.org/officeDocument/2006/relationships/image" Target="media/image44.jpeg"/><Relationship Id="rId102" Type="http://schemas.openxmlformats.org/officeDocument/2006/relationships/image" Target="media/image52.jpeg"/><Relationship Id="rId110" Type="http://schemas.openxmlformats.org/officeDocument/2006/relationships/image" Target="file:///G:\YOUTH\TOOLS\key_youth\R5.jpg" TargetMode="External"/><Relationship Id="rId115"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30.jpeg"/><Relationship Id="rId82" Type="http://schemas.openxmlformats.org/officeDocument/2006/relationships/image" Target="file:///\\s-eacea-fs03-p\EACEA.A7\Youth\04_Reports\a_EU_Youth_Reports\2018\03_graph\7_K_unmet_need.jpg" TargetMode="External"/><Relationship Id="rId90" Type="http://schemas.openxmlformats.org/officeDocument/2006/relationships/image" Target="media/image46.jpeg"/><Relationship Id="rId95" Type="http://schemas.openxmlformats.org/officeDocument/2006/relationships/image" Target="file:///\\s-eacea-fs03-p\EACEA.A7\Youth\04_Reports\a_EU_Youth_Reports\2018\03_graph\7_M_c_NEET_trend_gender.jpg" TargetMode="External"/><Relationship Id="rId19" Type="http://schemas.openxmlformats.org/officeDocument/2006/relationships/image" Target="file:///\\s-eacea-fs03-p\EACEA.A7\Youth\04_Reports\a_EU_Youth_Reports\2018\03_graph\7_A_women.jpg" TargetMode="Externa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file:///\\s-eacea-fs03-p\EACEA.A7\Youth\04_Reports\a_EU_Youth_Reports\2018\03_graph\7_B_poverty_or_social_exclusion.jpg" TargetMode="External"/><Relationship Id="rId30" Type="http://schemas.openxmlformats.org/officeDocument/2006/relationships/image" Target="media/image12.png"/><Relationship Id="rId35" Type="http://schemas.openxmlformats.org/officeDocument/2006/relationships/image" Target="file:///\\s-eacea-fs03-p\EACEA.A7\Youth\04_Reports\a_EU_Youth_Reports\2018\03_graph\7_B_c_poverty_or_social_exclusion_EU_gender.jpg" TargetMode="External"/><Relationship Id="rId43" Type="http://schemas.openxmlformats.org/officeDocument/2006/relationships/image" Target="file:///G:\YOUTH\11_Youth_Report_2015\STAFF_WORKING_DOC\02_GRAPH\R3.jpg" TargetMode="External"/><Relationship Id="rId48" Type="http://schemas.openxmlformats.org/officeDocument/2006/relationships/image" Target="media/image22.jpeg"/><Relationship Id="rId56" Type="http://schemas.openxmlformats.org/officeDocument/2006/relationships/image" Target="media/image26.png"/><Relationship Id="rId64" Type="http://schemas.openxmlformats.org/officeDocument/2006/relationships/image" Target="media/image32.jpeg"/><Relationship Id="rId69" Type="http://schemas.openxmlformats.org/officeDocument/2006/relationships/image" Target="media/image35.jpeg"/><Relationship Id="rId77" Type="http://schemas.openxmlformats.org/officeDocument/2006/relationships/image" Target="media/image39.jpeg"/><Relationship Id="rId100" Type="http://schemas.openxmlformats.org/officeDocument/2006/relationships/image" Target="media/image51.jpeg"/><Relationship Id="rId105" Type="http://schemas.openxmlformats.org/officeDocument/2006/relationships/image" Target="file:///G:\TOOLS\Templates_Graphs\Maps\Excel\PNG\C2L.png" TargetMode="External"/><Relationship Id="rId113" Type="http://schemas.openxmlformats.org/officeDocument/2006/relationships/header" Target="header5.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file:///\\s-eacea-fs03-p\EACEA.A7\Youth\04_Reports\a_EU_Youth_Reports\2018\03_graph\7_D_b_poverty_EU.jpg" TargetMode="External"/><Relationship Id="rId72" Type="http://schemas.openxmlformats.org/officeDocument/2006/relationships/image" Target="file:///\\s-eacea-fs03-p\EACEA.A7\Youth\04_Reports\a_EU_Youth_Reports\2018\03_graph\7_H_housing_deprivation.jpg" TargetMode="External"/><Relationship Id="rId80" Type="http://schemas.openxmlformats.org/officeDocument/2006/relationships/image" Target="file:///\\s-eacea-fs03-p\EACEA.A7\Youth\04_Reports\a_EU_Youth_Reports\2018\03_graph\7_J_housing_cost_overburden.jpg" TargetMode="External"/><Relationship Id="rId85" Type="http://schemas.openxmlformats.org/officeDocument/2006/relationships/image" Target="media/image43.jpeg"/><Relationship Id="rId93" Type="http://schemas.openxmlformats.org/officeDocument/2006/relationships/image" Target="file:///\\s-eacea-fs03-p\EACEA.A7\Youth\04_Reports\a_EU_Youth_Reports\2018\03_graph\7_M_b_NEET_trend_attitudes.jpg" TargetMode="External"/><Relationship Id="rId98"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file:///\\s-eacea-fs03-p\EACEA.A7\Youth\04_Reports\a_EU_Youth_Reports\2018\03_graph\7_A_men.jpg" TargetMode="External"/><Relationship Id="rId25" Type="http://schemas.openxmlformats.org/officeDocument/2006/relationships/image" Target="file:///\\s-eacea-fs03-p\EACEA.A7\Youth\04_Reports\a_EU_Youth_Reports\2018\03_graph\7_A_EU28.jpg" TargetMode="External"/><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29.jpeg"/><Relationship Id="rId67" Type="http://schemas.openxmlformats.org/officeDocument/2006/relationships/image" Target="file:///\\s-eacea-fs03-p\EACEA.A7\Youth\04_Reports\a_EU_Youth_Reports\2018\03_graph\7_G_b_low_work_intensity_EU.jpg" TargetMode="External"/><Relationship Id="rId103" Type="http://schemas.openxmlformats.org/officeDocument/2006/relationships/image" Target="file:///\\s-eacea-fs03-p\EACEA.A7\Youth\04_Reports\a_EU_Youth_Reports\2018\03_graph\7_P_migrants.jpg" TargetMode="External"/><Relationship Id="rId108" Type="http://schemas.openxmlformats.org/officeDocument/2006/relationships/image" Target="media/image56.png"/><Relationship Id="rId116" Type="http://schemas.openxmlformats.org/officeDocument/2006/relationships/header" Target="header6.xml"/><Relationship Id="rId20" Type="http://schemas.openxmlformats.org/officeDocument/2006/relationships/image" Target="media/image4.jpeg"/><Relationship Id="rId41" Type="http://schemas.openxmlformats.org/officeDocument/2006/relationships/image" Target="file:///G:\YOUTH\11_Youth_Report_2015\STAFF_WORKING_DOC\02_GRAPH\R1.jpg" TargetMode="External"/><Relationship Id="rId54" Type="http://schemas.openxmlformats.org/officeDocument/2006/relationships/image" Target="media/image25.jpeg"/><Relationship Id="rId62" Type="http://schemas.openxmlformats.org/officeDocument/2006/relationships/image" Target="file:///\\s-eacea-fs03-p\EACEA.A7\Youth\04_Reports\a_EU_Youth_Reports\2018\03_graph\7_F_b_material_deprivation_EU.jpg" TargetMode="External"/><Relationship Id="rId70" Type="http://schemas.openxmlformats.org/officeDocument/2006/relationships/image" Target="file:///\\s-eacea-fs03-p\EACEA.A7\Youth\04_Reports\a_EU_Youth_Reports\2018\03_graph\7_H_housing_deprivation_age.jpg" TargetMode="External"/><Relationship Id="rId75" Type="http://schemas.openxmlformats.org/officeDocument/2006/relationships/image" Target="media/image38.jpeg"/><Relationship Id="rId83" Type="http://schemas.openxmlformats.org/officeDocument/2006/relationships/image" Target="media/image42.jpeg"/><Relationship Id="rId88" Type="http://schemas.openxmlformats.org/officeDocument/2006/relationships/image" Target="file:///\\s-eacea-fs03-p\EACEA.A7\Youth\04_Reports\a_EU_Youth_Reports\2018\03_graph\7_L_b_in_work_poverty_age.jpg" TargetMode="External"/><Relationship Id="rId91" Type="http://schemas.openxmlformats.org/officeDocument/2006/relationships/image" Target="file:///\\s-eacea-fs03-p\EACEA.A7\Youth\04_Reports\a_EU_Youth_Reports\2018\03_graph\7_M_a_NEET_trend_labour.jpg" TargetMode="External"/><Relationship Id="rId96" Type="http://schemas.openxmlformats.org/officeDocument/2006/relationships/image" Target="media/image49.jpeg"/><Relationship Id="rId111"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image" Target="media/image16.jpeg"/><Relationship Id="rId49" Type="http://schemas.openxmlformats.org/officeDocument/2006/relationships/image" Target="file:///\\s-eacea-fs03-p\EACEA.A7\Youth\04_Reports\a_EU_Youth_Reports\2018\03_graph\7_D_poverty.jpg" TargetMode="External"/><Relationship Id="rId57" Type="http://schemas.openxmlformats.org/officeDocument/2006/relationships/image" Target="media/image27.png"/><Relationship Id="rId106" Type="http://schemas.openxmlformats.org/officeDocument/2006/relationships/image" Target="media/image54.png"/><Relationship Id="rId114" Type="http://schemas.openxmlformats.org/officeDocument/2006/relationships/footer" Target="footer4.xml"/><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20.png"/><Relationship Id="rId52" Type="http://schemas.openxmlformats.org/officeDocument/2006/relationships/image" Target="media/image24.jpeg"/><Relationship Id="rId60" Type="http://schemas.openxmlformats.org/officeDocument/2006/relationships/image" Target="file:///\\s-eacea-fs03-p\EACEA.A7\Youth\04_Reports\a_EU_Youth_Reports\2018\03_graph\7_F_material_deprivation.jpg" TargetMode="External"/><Relationship Id="rId65" Type="http://schemas.openxmlformats.org/officeDocument/2006/relationships/image" Target="file:///\\s-eacea-fs03-p\EACEA.A7\Youth\04_Reports\a_EU_Youth_Reports\2018\03_graph\7_G_low_work_intensity.jpg" TargetMode="External"/><Relationship Id="rId73" Type="http://schemas.openxmlformats.org/officeDocument/2006/relationships/image" Target="media/image37.jpeg"/><Relationship Id="rId78" Type="http://schemas.openxmlformats.org/officeDocument/2006/relationships/image" Target="file:///\\s-eacea-fs03-p\EACEA.A7\Youth\04_Reports\a_EU_Youth_Reports\2018\03_graph\7_J_housing_cost_overburden_age.jpg" TargetMode="External"/><Relationship Id="rId81" Type="http://schemas.openxmlformats.org/officeDocument/2006/relationships/image" Target="media/image41.jpeg"/><Relationship Id="rId86" Type="http://schemas.openxmlformats.org/officeDocument/2006/relationships/image" Target="file:///\\s-eacea-fs03-p\EACEA.A7\Youth\04_Reports\a_EU_Youth_Reports\2018\03_graph\7_L_in_work_poverty.jpg" TargetMode="External"/><Relationship Id="rId94" Type="http://schemas.openxmlformats.org/officeDocument/2006/relationships/image" Target="media/image48.jpeg"/><Relationship Id="rId99" Type="http://schemas.openxmlformats.org/officeDocument/2006/relationships/image" Target="file:///C:\Users\paredcr\AppData\Local\Temp\03_graph\7_O_migrants.jpg" TargetMode="External"/><Relationship Id="rId101" Type="http://schemas.openxmlformats.org/officeDocument/2006/relationships/image" Target="file:///\\s-eacea-fs03-p\EACEA.A7\Youth\04_Reports\a_EU_Youth_Reports\2018\03_graph\7_P_migrants_EU28.jpg"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3.jpeg"/><Relationship Id="rId39" Type="http://schemas.openxmlformats.org/officeDocument/2006/relationships/image" Target="file:///\\s-eacea-fs03-p\EACEA.A7\Youth\04_Reports\a_EU_Youth_Reports\2018\03_graph\7_C_poverty_exclusion_sex.jpg" TargetMode="External"/><Relationship Id="rId109" Type="http://schemas.openxmlformats.org/officeDocument/2006/relationships/image" Target="media/image57.jpeg"/><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image" Target="file:///\\s-eacea-fs03-p\EACEA.A7\Youth\04_Reports\a_EU_Youth_Reports\2018\03_graph\7_E_b_poverty_young_trend.jpg" TargetMode="External"/><Relationship Id="rId76" Type="http://schemas.openxmlformats.org/officeDocument/2006/relationships/image" Target="file:///\\s-eacea-fs03-p\EACEA.A7\Youth\04_Reports\a_EU_Youth_Reports\2018\03_graph\7_I_overcrowding.jpg" TargetMode="External"/><Relationship Id="rId97" Type="http://schemas.openxmlformats.org/officeDocument/2006/relationships/image" Target="file:///C:\Users\paredcr\AppData\Local\Microsoft\Windows\INetCache\Content.Outlook\03_graph\7_N_NEETs.jpg" TargetMode="External"/><Relationship Id="rId104" Type="http://schemas.openxmlformats.org/officeDocument/2006/relationships/image" Target="media/image53.png"/><Relationship Id="rId7" Type="http://schemas.openxmlformats.org/officeDocument/2006/relationships/footnotes" Target="footnotes.xml"/><Relationship Id="rId71" Type="http://schemas.openxmlformats.org/officeDocument/2006/relationships/image" Target="media/image36.jpeg"/><Relationship Id="rId92" Type="http://schemas.openxmlformats.org/officeDocument/2006/relationships/image" Target="media/image47.jpeg"/><Relationship Id="rId2" Type="http://schemas.openxmlformats.org/officeDocument/2006/relationships/numbering" Target="numbering.xml"/><Relationship Id="rId2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98CD8-0950-4F1C-A3ED-537568B4E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9296</Words>
  <Characters>48155</Characters>
  <Application>Microsoft Office Word</Application>
  <DocSecurity>0</DocSecurity>
  <Lines>982</Lines>
  <Paragraphs>348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57103</CharactersWithSpaces>
  <SharedDoc>false</SharedDoc>
  <HLinks>
    <vt:vector size="246" baseType="variant">
      <vt:variant>
        <vt:i4>8192043</vt:i4>
      </vt:variant>
      <vt:variant>
        <vt:i4>6816</vt:i4>
      </vt:variant>
      <vt:variant>
        <vt:i4>1026</vt:i4>
      </vt:variant>
      <vt:variant>
        <vt:i4>1</vt:i4>
      </vt:variant>
      <vt:variant>
        <vt:lpwstr>\\s-eacea-fs03-p\EACEA.A7\Youth\04_Reports\a_EU_Youth_Reports\2018\03_graph\7_A_men.jpg</vt:lpwstr>
      </vt:variant>
      <vt:variant>
        <vt:lpwstr/>
      </vt:variant>
      <vt:variant>
        <vt:i4>1179740</vt:i4>
      </vt:variant>
      <vt:variant>
        <vt:i4>6953</vt:i4>
      </vt:variant>
      <vt:variant>
        <vt:i4>1027</vt:i4>
      </vt:variant>
      <vt:variant>
        <vt:i4>1</vt:i4>
      </vt:variant>
      <vt:variant>
        <vt:lpwstr>\\s-eacea-fs03-p\EACEA.A7\Youth\04_Reports\a_EU_Youth_Reports\2018\03_graph\7_A_women.jpg</vt:lpwstr>
      </vt:variant>
      <vt:variant>
        <vt:lpwstr/>
      </vt:variant>
      <vt:variant>
        <vt:i4>393291</vt:i4>
      </vt:variant>
      <vt:variant>
        <vt:i4>7185</vt:i4>
      </vt:variant>
      <vt:variant>
        <vt:i4>1032</vt:i4>
      </vt:variant>
      <vt:variant>
        <vt:i4>1</vt:i4>
      </vt:variant>
      <vt:variant>
        <vt:lpwstr>\\s-eacea-fs03-p\EACEA.A7\Youth\04_Reports\a_EU_Youth_Reports\2018\03_graph\7_A_EU28.jpg</vt:lpwstr>
      </vt:variant>
      <vt:variant>
        <vt:lpwstr/>
      </vt:variant>
      <vt:variant>
        <vt:i4>7143432</vt:i4>
      </vt:variant>
      <vt:variant>
        <vt:i4>11711</vt:i4>
      </vt:variant>
      <vt:variant>
        <vt:i4>1033</vt:i4>
      </vt:variant>
      <vt:variant>
        <vt:i4>1</vt:i4>
      </vt:variant>
      <vt:variant>
        <vt:lpwstr>\\s-eacea-fs03-p\EACEA.A7\Youth\04_Reports\a_EU_Youth_Reports\2018\03_graph\7_B_poverty_or_social_exclusion.jpg</vt:lpwstr>
      </vt:variant>
      <vt:variant>
        <vt:lpwstr/>
      </vt:variant>
      <vt:variant>
        <vt:i4>4915259</vt:i4>
      </vt:variant>
      <vt:variant>
        <vt:i4>11990</vt:i4>
      </vt:variant>
      <vt:variant>
        <vt:i4>1037</vt:i4>
      </vt:variant>
      <vt:variant>
        <vt:i4>1</vt:i4>
      </vt:variant>
      <vt:variant>
        <vt:lpwstr>\\s-eacea-fs03-p\EACEA.A7\Youth\04_Reports\a_EU_Youth_Reports\2018\03_graph\7_B_b_poverty_or_social_exclusion_EU.jpg</vt:lpwstr>
      </vt:variant>
      <vt:variant>
        <vt:lpwstr/>
      </vt:variant>
      <vt:variant>
        <vt:i4>7602210</vt:i4>
      </vt:variant>
      <vt:variant>
        <vt:i4>12256</vt:i4>
      </vt:variant>
      <vt:variant>
        <vt:i4>1039</vt:i4>
      </vt:variant>
      <vt:variant>
        <vt:i4>1</vt:i4>
      </vt:variant>
      <vt:variant>
        <vt:lpwstr>\\s-eacea-fs03-p\EACEA.A7\Youth\04_Reports\a_EU_Youth_Reports\2018\03_graph\7_B_c_poverty_or_social_exclusion_EU_gender.jpg</vt:lpwstr>
      </vt:variant>
      <vt:variant>
        <vt:lpwstr/>
      </vt:variant>
      <vt:variant>
        <vt:i4>5898259</vt:i4>
      </vt:variant>
      <vt:variant>
        <vt:i4>16141</vt:i4>
      </vt:variant>
      <vt:variant>
        <vt:i4>1040</vt:i4>
      </vt:variant>
      <vt:variant>
        <vt:i4>1</vt:i4>
      </vt:variant>
      <vt:variant>
        <vt:lpwstr>\\s-eacea-fs03-p\EACEA.A7\Youth\04_Reports\a_EU_Youth_Reports\2018\03_graph\7_C_poverty_exclusion_living.jpg</vt:lpwstr>
      </vt:variant>
      <vt:variant>
        <vt:lpwstr/>
      </vt:variant>
      <vt:variant>
        <vt:i4>720984</vt:i4>
      </vt:variant>
      <vt:variant>
        <vt:i4>16292</vt:i4>
      </vt:variant>
      <vt:variant>
        <vt:i4>1041</vt:i4>
      </vt:variant>
      <vt:variant>
        <vt:i4>1</vt:i4>
      </vt:variant>
      <vt:variant>
        <vt:lpwstr>\\s-eacea-fs03-p\EACEA.A7\Youth\04_Reports\a_EU_Youth_Reports\2018\03_graph\7_C_poverty_exclusion_sex.jpg</vt:lpwstr>
      </vt:variant>
      <vt:variant>
        <vt:lpwstr/>
      </vt:variant>
      <vt:variant>
        <vt:i4>7208977</vt:i4>
      </vt:variant>
      <vt:variant>
        <vt:i4>16448</vt:i4>
      </vt:variant>
      <vt:variant>
        <vt:i4>1042</vt:i4>
      </vt:variant>
      <vt:variant>
        <vt:i4>1</vt:i4>
      </vt:variant>
      <vt:variant>
        <vt:lpwstr>G:\YOUTH\11_Youth_Report_2015\STAFF_WORKING_DOC\02_GRAPH\R1.jpg</vt:lpwstr>
      </vt:variant>
      <vt:variant>
        <vt:lpwstr/>
      </vt:variant>
      <vt:variant>
        <vt:i4>7208979</vt:i4>
      </vt:variant>
      <vt:variant>
        <vt:i4>16592</vt:i4>
      </vt:variant>
      <vt:variant>
        <vt:i4>1043</vt:i4>
      </vt:variant>
      <vt:variant>
        <vt:i4>1</vt:i4>
      </vt:variant>
      <vt:variant>
        <vt:lpwstr>G:\YOUTH\11_Youth_Report_2015\STAFF_WORKING_DOC\02_GRAPH\R3.jpg</vt:lpwstr>
      </vt:variant>
      <vt:variant>
        <vt:lpwstr/>
      </vt:variant>
      <vt:variant>
        <vt:i4>7143451</vt:i4>
      </vt:variant>
      <vt:variant>
        <vt:i4>16711</vt:i4>
      </vt:variant>
      <vt:variant>
        <vt:i4>1044</vt:i4>
      </vt:variant>
      <vt:variant>
        <vt:i4>1</vt:i4>
      </vt:variant>
      <vt:variant>
        <vt:lpwstr>G:\TOOLS\Templates_Graphs\Maps\Excel\PNG\C2D.png</vt:lpwstr>
      </vt:variant>
      <vt:variant>
        <vt:lpwstr/>
      </vt:variant>
      <vt:variant>
        <vt:i4>7077894</vt:i4>
      </vt:variant>
      <vt:variant>
        <vt:i4>16824</vt:i4>
      </vt:variant>
      <vt:variant>
        <vt:i4>1045</vt:i4>
      </vt:variant>
      <vt:variant>
        <vt:i4>1</vt:i4>
      </vt:variant>
      <vt:variant>
        <vt:lpwstr>G:\YOUTH\TOOLS\key_youth\R2.jpg</vt:lpwstr>
      </vt:variant>
      <vt:variant>
        <vt:lpwstr/>
      </vt:variant>
      <vt:variant>
        <vt:i4>6684704</vt:i4>
      </vt:variant>
      <vt:variant>
        <vt:i4>18647</vt:i4>
      </vt:variant>
      <vt:variant>
        <vt:i4>1046</vt:i4>
      </vt:variant>
      <vt:variant>
        <vt:i4>1</vt:i4>
      </vt:variant>
      <vt:variant>
        <vt:lpwstr>\\s-eacea-fs03-p\EACEA.A7\Youth\04_Reports\a_EU_Youth_Reports\2018\03_graph\7_D_poverty.jpg</vt:lpwstr>
      </vt:variant>
      <vt:variant>
        <vt:lpwstr/>
      </vt:variant>
      <vt:variant>
        <vt:i4>4194323</vt:i4>
      </vt:variant>
      <vt:variant>
        <vt:i4>18825</vt:i4>
      </vt:variant>
      <vt:variant>
        <vt:i4>1047</vt:i4>
      </vt:variant>
      <vt:variant>
        <vt:i4>1</vt:i4>
      </vt:variant>
      <vt:variant>
        <vt:lpwstr>\\s-eacea-fs03-p\EACEA.A7\Youth\04_Reports\a_EU_Youth_Reports\2018\03_graph\7_D_b_poverty_EU.jpg</vt:lpwstr>
      </vt:variant>
      <vt:variant>
        <vt:lpwstr/>
      </vt:variant>
      <vt:variant>
        <vt:i4>3670090</vt:i4>
      </vt:variant>
      <vt:variant>
        <vt:i4>20991</vt:i4>
      </vt:variant>
      <vt:variant>
        <vt:i4>1050</vt:i4>
      </vt:variant>
      <vt:variant>
        <vt:i4>1</vt:i4>
      </vt:variant>
      <vt:variant>
        <vt:lpwstr>\\s-eacea-fs03-p\EACEA.A7\Youth\04_Reports\a_EU_Youth_Reports\2018\03_graph\7_E_poverty_young.jpg</vt:lpwstr>
      </vt:variant>
      <vt:variant>
        <vt:lpwstr/>
      </vt:variant>
      <vt:variant>
        <vt:i4>2359389</vt:i4>
      </vt:variant>
      <vt:variant>
        <vt:i4>21169</vt:i4>
      </vt:variant>
      <vt:variant>
        <vt:i4>1051</vt:i4>
      </vt:variant>
      <vt:variant>
        <vt:i4>1</vt:i4>
      </vt:variant>
      <vt:variant>
        <vt:lpwstr>\\s-eacea-fs03-p\EACEA.A7\Youth\04_Reports\a_EU_Youth_Reports\2018\03_graph\7_E_b_poverty_young_trend.jpg</vt:lpwstr>
      </vt:variant>
      <vt:variant>
        <vt:lpwstr/>
      </vt:variant>
      <vt:variant>
        <vt:i4>5308468</vt:i4>
      </vt:variant>
      <vt:variant>
        <vt:i4>24716</vt:i4>
      </vt:variant>
      <vt:variant>
        <vt:i4>1052</vt:i4>
      </vt:variant>
      <vt:variant>
        <vt:i4>1</vt:i4>
      </vt:variant>
      <vt:variant>
        <vt:lpwstr>\\s-eacea-fs03-p\EACEA.A7\Youth\04_Reports\a_EU_Youth_Reports\2018\03_graph\7_F_material_deprivation.jpg</vt:lpwstr>
      </vt:variant>
      <vt:variant>
        <vt:lpwstr/>
      </vt:variant>
      <vt:variant>
        <vt:i4>3670088</vt:i4>
      </vt:variant>
      <vt:variant>
        <vt:i4>24907</vt:i4>
      </vt:variant>
      <vt:variant>
        <vt:i4>1053</vt:i4>
      </vt:variant>
      <vt:variant>
        <vt:i4>1</vt:i4>
      </vt:variant>
      <vt:variant>
        <vt:lpwstr>\\s-eacea-fs03-p\EACEA.A7\Youth\04_Reports\a_EU_Youth_Reports\2018\03_graph\7_F_b_material_deprivation_EU.jpg</vt:lpwstr>
      </vt:variant>
      <vt:variant>
        <vt:lpwstr/>
      </vt:variant>
      <vt:variant>
        <vt:i4>1835095</vt:i4>
      </vt:variant>
      <vt:variant>
        <vt:i4>30577</vt:i4>
      </vt:variant>
      <vt:variant>
        <vt:i4>1055</vt:i4>
      </vt:variant>
      <vt:variant>
        <vt:i4>1</vt:i4>
      </vt:variant>
      <vt:variant>
        <vt:lpwstr>\\s-eacea-fs03-p\EACEA.A7\Youth\04_Reports\a_EU_Youth_Reports\2018\03_graph\7_G_low_work_intensity.jpg</vt:lpwstr>
      </vt:variant>
      <vt:variant>
        <vt:lpwstr/>
      </vt:variant>
      <vt:variant>
        <vt:i4>7667755</vt:i4>
      </vt:variant>
      <vt:variant>
        <vt:i4>30768</vt:i4>
      </vt:variant>
      <vt:variant>
        <vt:i4>1056</vt:i4>
      </vt:variant>
      <vt:variant>
        <vt:i4>1</vt:i4>
      </vt:variant>
      <vt:variant>
        <vt:lpwstr>\\s-eacea-fs03-p\EACEA.A7\Youth\04_Reports\a_EU_Youth_Reports\2018\03_graph\7_G_b_low_work_intensity_EU.jpg</vt:lpwstr>
      </vt:variant>
      <vt:variant>
        <vt:lpwstr/>
      </vt:variant>
      <vt:variant>
        <vt:i4>7077894</vt:i4>
      </vt:variant>
      <vt:variant>
        <vt:i4>31272</vt:i4>
      </vt:variant>
      <vt:variant>
        <vt:i4>1057</vt:i4>
      </vt:variant>
      <vt:variant>
        <vt:i4>1</vt:i4>
      </vt:variant>
      <vt:variant>
        <vt:lpwstr>G:\YOUTH\TOOLS\key_youth\R2.jpg</vt:lpwstr>
      </vt:variant>
      <vt:variant>
        <vt:lpwstr/>
      </vt:variant>
      <vt:variant>
        <vt:i4>5177385</vt:i4>
      </vt:variant>
      <vt:variant>
        <vt:i4>36401</vt:i4>
      </vt:variant>
      <vt:variant>
        <vt:i4>1058</vt:i4>
      </vt:variant>
      <vt:variant>
        <vt:i4>1</vt:i4>
      </vt:variant>
      <vt:variant>
        <vt:lpwstr>\\s-eacea-fs03-p\EACEA.A7\Youth\04_Reports\a_EU_Youth_Reports\2018\03_graph\7_H_housing_deprivation.jpg</vt:lpwstr>
      </vt:variant>
      <vt:variant>
        <vt:lpwstr/>
      </vt:variant>
      <vt:variant>
        <vt:i4>4456472</vt:i4>
      </vt:variant>
      <vt:variant>
        <vt:i4>38729</vt:i4>
      </vt:variant>
      <vt:variant>
        <vt:i4>1059</vt:i4>
      </vt:variant>
      <vt:variant>
        <vt:i4>1</vt:i4>
      </vt:variant>
      <vt:variant>
        <vt:lpwstr>\\s-eacea-fs03-p\EACEA.A7\Youth\04_Reports\a_EU_Youth_Reports\2018\03_graph\7_I_overcrowding.jpg</vt:lpwstr>
      </vt:variant>
      <vt:variant>
        <vt:lpwstr/>
      </vt:variant>
      <vt:variant>
        <vt:i4>5308420</vt:i4>
      </vt:variant>
      <vt:variant>
        <vt:i4>41400</vt:i4>
      </vt:variant>
      <vt:variant>
        <vt:i4>1060</vt:i4>
      </vt:variant>
      <vt:variant>
        <vt:i4>1</vt:i4>
      </vt:variant>
      <vt:variant>
        <vt:lpwstr>\\s-eacea-fs03-p\EACEA.A7\Youth\04_Reports\a_EU_Youth_Reports\2018\03_graph\7_J_housing_cost_overburden.jpg</vt:lpwstr>
      </vt:variant>
      <vt:variant>
        <vt:lpwstr/>
      </vt:variant>
      <vt:variant>
        <vt:i4>1966193</vt:i4>
      </vt:variant>
      <vt:variant>
        <vt:i4>44368</vt:i4>
      </vt:variant>
      <vt:variant>
        <vt:i4>1061</vt:i4>
      </vt:variant>
      <vt:variant>
        <vt:i4>1</vt:i4>
      </vt:variant>
      <vt:variant>
        <vt:lpwstr>\\s-eacea-fs03-p\EACEA.A7\Youth\04_Reports\a_EU_Youth_Reports\2018\03_graph\7_K_unmet_need.jpg</vt:lpwstr>
      </vt:variant>
      <vt:variant>
        <vt:lpwstr/>
      </vt:variant>
      <vt:variant>
        <vt:i4>8257547</vt:i4>
      </vt:variant>
      <vt:variant>
        <vt:i4>44552</vt:i4>
      </vt:variant>
      <vt:variant>
        <vt:i4>1062</vt:i4>
      </vt:variant>
      <vt:variant>
        <vt:i4>1</vt:i4>
      </vt:variant>
      <vt:variant>
        <vt:lpwstr>\\s-eacea-fs03-p\EACEA.A7\Youth\04_Reports\a_EU_Youth_Reports\2018\03_graph\7_K_b_unmet_need_gender.jpg</vt:lpwstr>
      </vt:variant>
      <vt:variant>
        <vt:lpwstr/>
      </vt:variant>
      <vt:variant>
        <vt:i4>5373978</vt:i4>
      </vt:variant>
      <vt:variant>
        <vt:i4>46688</vt:i4>
      </vt:variant>
      <vt:variant>
        <vt:i4>1063</vt:i4>
      </vt:variant>
      <vt:variant>
        <vt:i4>1</vt:i4>
      </vt:variant>
      <vt:variant>
        <vt:lpwstr>\\s-eacea-fs03-p\EACEA.A7\Youth\04_Reports\a_EU_Youth_Reports\2018\03_graph\7_L_in_work_poverty.jpg</vt:lpwstr>
      </vt:variant>
      <vt:variant>
        <vt:lpwstr/>
      </vt:variant>
      <vt:variant>
        <vt:i4>3473532</vt:i4>
      </vt:variant>
      <vt:variant>
        <vt:i4>46881</vt:i4>
      </vt:variant>
      <vt:variant>
        <vt:i4>1064</vt:i4>
      </vt:variant>
      <vt:variant>
        <vt:i4>1</vt:i4>
      </vt:variant>
      <vt:variant>
        <vt:lpwstr>\\s-eacea-fs03-p\EACEA.A7\Youth\04_Reports\a_EU_Youth_Reports\2018\03_graph\7_L_b_in_work_poverty_age.jpg</vt:lpwstr>
      </vt:variant>
      <vt:variant>
        <vt:lpwstr/>
      </vt:variant>
      <vt:variant>
        <vt:i4>5767214</vt:i4>
      </vt:variant>
      <vt:variant>
        <vt:i4>50102</vt:i4>
      </vt:variant>
      <vt:variant>
        <vt:i4>1066</vt:i4>
      </vt:variant>
      <vt:variant>
        <vt:i4>1</vt:i4>
      </vt:variant>
      <vt:variant>
        <vt:lpwstr>\\s-eacea-fs03-p\EACEA.A7\Youth\04_Reports\a_EU_Youth_Reports\2018\03_graph\7_M_a_NEET_trend_labour.jpg</vt:lpwstr>
      </vt:variant>
      <vt:variant>
        <vt:lpwstr/>
      </vt:variant>
      <vt:variant>
        <vt:i4>393320</vt:i4>
      </vt:variant>
      <vt:variant>
        <vt:i4>50250</vt:i4>
      </vt:variant>
      <vt:variant>
        <vt:i4>1067</vt:i4>
      </vt:variant>
      <vt:variant>
        <vt:i4>1</vt:i4>
      </vt:variant>
      <vt:variant>
        <vt:lpwstr>\\s-eacea-fs03-p\EACEA.A7\Youth\04_Reports\a_EU_Youth_Reports\2018\03_graph\7_M_b_NEET_trend_attitudes.jpg</vt:lpwstr>
      </vt:variant>
      <vt:variant>
        <vt:lpwstr/>
      </vt:variant>
      <vt:variant>
        <vt:i4>5177379</vt:i4>
      </vt:variant>
      <vt:variant>
        <vt:i4>50395</vt:i4>
      </vt:variant>
      <vt:variant>
        <vt:i4>1068</vt:i4>
      </vt:variant>
      <vt:variant>
        <vt:i4>1</vt:i4>
      </vt:variant>
      <vt:variant>
        <vt:lpwstr>\\s-eacea-fs03-p\EACEA.A7\Youth\04_Reports\a_EU_Youth_Reports\2018\03_graph\7_M_c_NEET_trend_gender.jpg</vt:lpwstr>
      </vt:variant>
      <vt:variant>
        <vt:lpwstr/>
      </vt:variant>
      <vt:variant>
        <vt:i4>589919</vt:i4>
      </vt:variant>
      <vt:variant>
        <vt:i4>53640</vt:i4>
      </vt:variant>
      <vt:variant>
        <vt:i4>1069</vt:i4>
      </vt:variant>
      <vt:variant>
        <vt:i4>1</vt:i4>
      </vt:variant>
      <vt:variant>
        <vt:lpwstr>\\s-eacea-fs03-p\EACEA.A7\Youth\04_Reports\a_EU_Youth_Reports\2018\03_graph\7_N_NEETs.jpg</vt:lpwstr>
      </vt:variant>
      <vt:variant>
        <vt:lpwstr/>
      </vt:variant>
      <vt:variant>
        <vt:i4>5046285</vt:i4>
      </vt:variant>
      <vt:variant>
        <vt:i4>55221</vt:i4>
      </vt:variant>
      <vt:variant>
        <vt:i4>1070</vt:i4>
      </vt:variant>
      <vt:variant>
        <vt:i4>1</vt:i4>
      </vt:variant>
      <vt:variant>
        <vt:lpwstr>\\s-eacea-fs03-p\EACEA.A7\Youth\04_Reports\a_EU_Youth_Reports\2018\03_graph\7_O_migrants.jpg</vt:lpwstr>
      </vt:variant>
      <vt:variant>
        <vt:lpwstr/>
      </vt:variant>
      <vt:variant>
        <vt:i4>5046290</vt:i4>
      </vt:variant>
      <vt:variant>
        <vt:i4>58233</vt:i4>
      </vt:variant>
      <vt:variant>
        <vt:i4>1074</vt:i4>
      </vt:variant>
      <vt:variant>
        <vt:i4>1</vt:i4>
      </vt:variant>
      <vt:variant>
        <vt:lpwstr>\\s-eacea-fs03-p\EACEA.A7\Youth\04_Reports\a_EU_Youth_Reports\2018\03_graph\7_P_migrants.jpg</vt:lpwstr>
      </vt:variant>
      <vt:variant>
        <vt:lpwstr/>
      </vt:variant>
      <vt:variant>
        <vt:i4>6619163</vt:i4>
      </vt:variant>
      <vt:variant>
        <vt:i4>58329</vt:i4>
      </vt:variant>
      <vt:variant>
        <vt:i4>1075</vt:i4>
      </vt:variant>
      <vt:variant>
        <vt:i4>1</vt:i4>
      </vt:variant>
      <vt:variant>
        <vt:lpwstr>G:\TOOLS\Templates_Graphs\Maps\Excel\PNG\C2L.png</vt:lpwstr>
      </vt:variant>
      <vt:variant>
        <vt:lpwstr/>
      </vt:variant>
      <vt:variant>
        <vt:i4>7077889</vt:i4>
      </vt:variant>
      <vt:variant>
        <vt:i4>58853</vt:i4>
      </vt:variant>
      <vt:variant>
        <vt:i4>1079</vt:i4>
      </vt:variant>
      <vt:variant>
        <vt:i4>1</vt:i4>
      </vt:variant>
      <vt:variant>
        <vt:lpwstr>G:\YOUTH\TOOLS\key_youth\R5.jpg</vt:lpwstr>
      </vt:variant>
      <vt:variant>
        <vt:lpwstr/>
      </vt:variant>
      <vt:variant>
        <vt:i4>7077894</vt:i4>
      </vt:variant>
      <vt:variant>
        <vt:i4>66237</vt:i4>
      </vt:variant>
      <vt:variant>
        <vt:i4>1084</vt:i4>
      </vt:variant>
      <vt:variant>
        <vt:i4>1</vt:i4>
      </vt:variant>
      <vt:variant>
        <vt:lpwstr>G:\YOUTH\TOOLS\key_youth\R2.jpg</vt:lpwstr>
      </vt:variant>
      <vt:variant>
        <vt:lpwstr/>
      </vt:variant>
      <vt:variant>
        <vt:i4>7798829</vt:i4>
      </vt:variant>
      <vt:variant>
        <vt:i4>66430</vt:i4>
      </vt:variant>
      <vt:variant>
        <vt:i4>1087</vt:i4>
      </vt:variant>
      <vt:variant>
        <vt:i4>1</vt:i4>
      </vt:variant>
      <vt:variant>
        <vt:lpwstr>\\s-eacea-fs03-p\EACEA.A7\Youth\04_Reports\a_EU_Youth_Reports\2018\03_graph\7_H_housing_deprivation_age.jpg</vt:lpwstr>
      </vt:variant>
      <vt:variant>
        <vt:lpwstr/>
      </vt:variant>
      <vt:variant>
        <vt:i4>4194336</vt:i4>
      </vt:variant>
      <vt:variant>
        <vt:i4>66577</vt:i4>
      </vt:variant>
      <vt:variant>
        <vt:i4>1088</vt:i4>
      </vt:variant>
      <vt:variant>
        <vt:i4>1</vt:i4>
      </vt:variant>
      <vt:variant>
        <vt:lpwstr>\\s-eacea-fs03-p\EACEA.A7\Youth\04_Reports\a_EU_Youth_Reports\2018\03_graph\7_I_overcrowding_age.jpg</vt:lpwstr>
      </vt:variant>
      <vt:variant>
        <vt:lpwstr/>
      </vt:variant>
      <vt:variant>
        <vt:i4>6881280</vt:i4>
      </vt:variant>
      <vt:variant>
        <vt:i4>66735</vt:i4>
      </vt:variant>
      <vt:variant>
        <vt:i4>1089</vt:i4>
      </vt:variant>
      <vt:variant>
        <vt:i4>1</vt:i4>
      </vt:variant>
      <vt:variant>
        <vt:lpwstr>\\s-eacea-fs03-p\EACEA.A7\Youth\04_Reports\a_EU_Youth_Reports\2018\03_graph\7_J_housing_cost_overburden_age.jpg</vt:lpwstr>
      </vt:variant>
      <vt:variant>
        <vt:lpwstr/>
      </vt:variant>
      <vt:variant>
        <vt:i4>4784180</vt:i4>
      </vt:variant>
      <vt:variant>
        <vt:i4>66877</vt:i4>
      </vt:variant>
      <vt:variant>
        <vt:i4>1090</vt:i4>
      </vt:variant>
      <vt:variant>
        <vt:i4>1</vt:i4>
      </vt:variant>
      <vt:variant>
        <vt:lpwstr>\\s-eacea-fs03-p\EACEA.A7\Youth\04_Reports\a_EU_Youth_Reports\2018\03_graph\7_P_migrants_EU28.jpg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cp:lastPrinted>2018-02-22T10:28:00Z</cp:lastPrinted>
  <dcterms:created xsi:type="dcterms:W3CDTF">2018-04-27T12:40:00Z</dcterms:created>
  <dcterms:modified xsi:type="dcterms:W3CDTF">2018-05-18T07:27:00Z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6</vt:lpwstr>
  </property>
  <property fmtid="{D5CDD505-2E9C-101B-9397-08002B2CF9AE}" pid="4" name="Total parts">
    <vt:lpwstr>7</vt:lpwstr>
  </property>
  <property fmtid="{D5CDD505-2E9C-101B-9397-08002B2CF9AE}" pid="5" name="DocStatus">
    <vt:lpwstr>Green</vt:lpwstr>
  </property>
</Properties>
</file>