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60E5D772-3AF5-40B3-9E39-F4FE21341A41" style="width:450.75pt;height:483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0"/>
          <w:cols w:space="720"/>
          <w:docGrid w:linePitch="360"/>
        </w:sectPr>
      </w:pPr>
    </w:p>
    <w:p>
      <w:pPr>
        <w:pStyle w:val="Yo0H1"/>
        <w:rPr>
          <w:noProof/>
        </w:rPr>
      </w:pPr>
      <w:bookmarkStart w:id="1" w:name="_Toc508378825"/>
      <w:bookmarkStart w:id="2" w:name="_Toc508378850"/>
      <w:bookmarkStart w:id="3" w:name="_GoBack"/>
      <w:bookmarkEnd w:id="3"/>
      <w:r>
        <w:rPr>
          <w:noProof/>
        </w:rPr>
        <w:lastRenderedPageBreak/>
        <w:t>5. Participation</w:t>
      </w:r>
      <w:bookmarkEnd w:id="1"/>
      <w:bookmarkEnd w:id="2"/>
      <w:r>
        <w:rPr>
          <w:noProof/>
        </w:rPr>
        <w:t xml:space="preserve"> </w:t>
      </w:r>
    </w:p>
    <w:tbl>
      <w:tblPr>
        <w:tblpPr w:leftFromText="180" w:rightFromText="180" w:vertAnchor="text" w:horzAnchor="margin" w:tblpX="108" w:tblpY="100"/>
        <w:tblW w:w="5000" w:type="pct"/>
        <w:shd w:val="clear" w:color="auto" w:fill="FBD4B4"/>
        <w:tblLayout w:type="fixed"/>
        <w:tblCellMar>
          <w:top w:w="113" w:type="dxa"/>
          <w:bottom w:w="113" w:type="dxa"/>
        </w:tblCellMar>
        <w:tblLook w:val="04A0" w:firstRow="1" w:lastRow="0" w:firstColumn="1" w:lastColumn="0" w:noHBand="0" w:noVBand="1"/>
      </w:tblPr>
      <w:tblGrid>
        <w:gridCol w:w="7764"/>
        <w:gridCol w:w="2374"/>
      </w:tblGrid>
      <w:tr>
        <w:tc>
          <w:tcPr>
            <w:tcW w:w="3829" w:type="pct"/>
            <w:shd w:val="clear" w:color="auto" w:fill="FBD4B4"/>
            <w:vAlign w:val="center"/>
          </w:tcPr>
          <w:p>
            <w:pPr>
              <w:pStyle w:val="Yo5TextEUYouth"/>
              <w:framePr w:hSpace="0" w:wrap="auto" w:vAnchor="margin" w:hAnchor="text" w:xAlign="left" w:yAlign="inline"/>
              <w:rPr>
                <w:noProof/>
              </w:rPr>
            </w:pPr>
            <w:r>
              <w:rPr>
                <w:noProof/>
              </w:rPr>
              <w:t xml:space="preserve">EU youth </w:t>
            </w:r>
            <w:r>
              <w:rPr>
                <w:noProof/>
                <w:lang w:val="en-GB"/>
              </w:rPr>
              <w:t>indicators</w:t>
            </w:r>
          </w:p>
        </w:tc>
        <w:tc>
          <w:tcPr>
            <w:tcW w:w="1171" w:type="pct"/>
            <w:shd w:val="clear" w:color="auto" w:fill="FBD4B4"/>
            <w:vAlign w:val="center"/>
          </w:tcPr>
          <w:p>
            <w:pPr>
              <w:pStyle w:val="p90H2"/>
              <w:spacing w:before="0" w:after="0"/>
              <w:ind w:left="0" w:firstLine="0"/>
              <w:rPr>
                <w:noProof/>
                <w:sz w:val="20"/>
              </w:rPr>
            </w:pPr>
          </w:p>
        </w:tc>
      </w:tr>
      <w:tr>
        <w:trPr>
          <w:trHeight w:val="400"/>
        </w:trPr>
        <w:tc>
          <w:tcPr>
            <w:tcW w:w="3829" w:type="pct"/>
            <w:shd w:val="clear" w:color="auto" w:fill="FBD4B4"/>
            <w:vAlign w:val="center"/>
          </w:tcPr>
          <w:p>
            <w:pPr>
              <w:pStyle w:val="Yo5TextEUYouthTOC"/>
              <w:framePr w:hSpace="0" w:wrap="auto" w:vAnchor="margin" w:hAnchor="text" w:xAlign="left" w:yAlign="inline"/>
            </w:pPr>
            <w:r>
              <w:t>Participation of young people in elections at the local, regional, national or EU level</w:t>
            </w:r>
          </w:p>
        </w:tc>
        <w:tc>
          <w:tcPr>
            <w:tcW w:w="1171" w:type="pct"/>
            <w:shd w:val="clear" w:color="auto" w:fill="FBD4B4"/>
            <w:vAlign w:val="center"/>
          </w:tcPr>
          <w:p>
            <w:pPr>
              <w:pStyle w:val="Yo5TextEUYouthTOC"/>
              <w:framePr w:hSpace="0" w:wrap="auto" w:vAnchor="margin" w:hAnchor="text" w:xAlign="left" w:yAlign="inline"/>
            </w:pPr>
            <w:r>
              <w:t>Figure 5-E</w:t>
            </w:r>
          </w:p>
        </w:tc>
      </w:tr>
      <w:tr>
        <w:trPr>
          <w:trHeight w:val="398"/>
        </w:trPr>
        <w:tc>
          <w:tcPr>
            <w:tcW w:w="3829" w:type="pct"/>
            <w:shd w:val="clear" w:color="auto" w:fill="FBD4B4"/>
            <w:vAlign w:val="center"/>
          </w:tcPr>
          <w:p>
            <w:pPr>
              <w:pStyle w:val="Yo5TextEUYouthTOC"/>
              <w:framePr w:hSpace="0" w:wrap="auto" w:vAnchor="margin" w:hAnchor="text" w:xAlign="left" w:yAlign="inline"/>
            </w:pPr>
            <w:r>
              <w:t>Young people elected to the European Parliament</w:t>
            </w:r>
          </w:p>
        </w:tc>
        <w:tc>
          <w:tcPr>
            <w:tcW w:w="1171" w:type="pct"/>
            <w:shd w:val="clear" w:color="auto" w:fill="FBD4B4"/>
            <w:vAlign w:val="center"/>
          </w:tcPr>
          <w:p>
            <w:pPr>
              <w:pStyle w:val="Yo5TextEUYouthTOC"/>
              <w:framePr w:hSpace="0" w:wrap="auto" w:vAnchor="margin" w:hAnchor="text" w:xAlign="left" w:yAlign="inline"/>
            </w:pPr>
            <w:r>
              <w:t>Figure 5-G</w:t>
            </w:r>
          </w:p>
        </w:tc>
      </w:tr>
      <w:tr>
        <w:trPr>
          <w:trHeight w:val="398"/>
        </w:trPr>
        <w:tc>
          <w:tcPr>
            <w:tcW w:w="3829" w:type="pct"/>
            <w:shd w:val="clear" w:color="auto" w:fill="FBD4B4"/>
            <w:vAlign w:val="center"/>
          </w:tcPr>
          <w:p>
            <w:pPr>
              <w:pStyle w:val="Yo5TextEUYouthTOC"/>
              <w:framePr w:hSpace="0" w:wrap="auto" w:vAnchor="margin" w:hAnchor="text" w:xAlign="left" w:yAlign="inline"/>
            </w:pPr>
            <w:r>
              <w:t>Young people's participation in political organisations/parties, or community/environmentally-oriented organisations</w:t>
            </w:r>
          </w:p>
        </w:tc>
        <w:tc>
          <w:tcPr>
            <w:tcW w:w="1171" w:type="pct"/>
            <w:shd w:val="clear" w:color="auto" w:fill="FBD4B4"/>
            <w:vAlign w:val="center"/>
          </w:tcPr>
          <w:p>
            <w:pPr>
              <w:pStyle w:val="Yo5TextEUYouthTOC"/>
              <w:framePr w:hSpace="0" w:wrap="auto" w:vAnchor="margin" w:hAnchor="text" w:xAlign="left" w:yAlign="inline"/>
            </w:pPr>
            <w:r>
              <w:t>Figures 5-H and 5-I</w:t>
            </w:r>
          </w:p>
        </w:tc>
      </w:tr>
      <w:tr>
        <w:trPr>
          <w:trHeight w:val="398"/>
        </w:trPr>
        <w:tc>
          <w:tcPr>
            <w:tcW w:w="3829" w:type="pct"/>
            <w:shd w:val="clear" w:color="auto" w:fill="FBD4B4"/>
            <w:vAlign w:val="center"/>
          </w:tcPr>
          <w:p>
            <w:pPr>
              <w:pStyle w:val="Yo5TextEUYouthTOC"/>
              <w:framePr w:hSpace="0" w:wrap="auto" w:vAnchor="margin" w:hAnchor="text" w:xAlign="left" w:yAlign="inline"/>
            </w:pPr>
            <w:r>
              <w:t>Young people who use the internet for interaction with public authorities</w:t>
            </w:r>
          </w:p>
        </w:tc>
        <w:tc>
          <w:tcPr>
            <w:tcW w:w="1171" w:type="pct"/>
            <w:shd w:val="clear" w:color="auto" w:fill="FBD4B4"/>
            <w:vAlign w:val="center"/>
          </w:tcPr>
          <w:p>
            <w:pPr>
              <w:pStyle w:val="Yo5TextEUYouthTOC"/>
              <w:framePr w:hSpace="0" w:wrap="auto" w:vAnchor="margin" w:hAnchor="text" w:xAlign="left" w:yAlign="inline"/>
            </w:pPr>
            <w:r>
              <w:t>Figure 5-J</w:t>
            </w:r>
          </w:p>
        </w:tc>
      </w:tr>
      <w:tr>
        <w:trPr>
          <w:trHeight w:val="398"/>
        </w:trPr>
        <w:tc>
          <w:tcPr>
            <w:tcW w:w="3829" w:type="pct"/>
            <w:shd w:val="clear" w:color="auto" w:fill="FBD4B4"/>
            <w:vAlign w:val="center"/>
          </w:tcPr>
          <w:p>
            <w:pPr>
              <w:pStyle w:val="Yo5TextEUYouthTOC"/>
              <w:framePr w:hSpace="0" w:wrap="auto" w:vAnchor="margin" w:hAnchor="text" w:xAlign="left" w:yAlign="inline"/>
            </w:pPr>
            <w:r>
              <w:t>Young people using the internet to post opinions on civic and political issues via websites</w:t>
            </w:r>
          </w:p>
        </w:tc>
        <w:tc>
          <w:tcPr>
            <w:tcW w:w="1171" w:type="pct"/>
            <w:shd w:val="clear" w:color="auto" w:fill="FBD4B4"/>
            <w:vAlign w:val="center"/>
          </w:tcPr>
          <w:p>
            <w:pPr>
              <w:pStyle w:val="Yo5TextEUYouthTOC"/>
              <w:framePr w:hSpace="0" w:wrap="auto" w:vAnchor="margin" w:hAnchor="text" w:xAlign="left" w:yAlign="inline"/>
            </w:pPr>
            <w:r>
              <w:t>Figure 5-K</w:t>
            </w:r>
          </w:p>
        </w:tc>
      </w:tr>
    </w:tbl>
    <w:p>
      <w:pPr>
        <w:pStyle w:val="Yo5TextNotes"/>
        <w:rPr>
          <w:noProof/>
        </w:rPr>
      </w:pPr>
    </w:p>
    <w:p>
      <w:pPr>
        <w:pStyle w:val="Yo1Textpara"/>
        <w:rPr>
          <w:noProof/>
        </w:rPr>
      </w:pPr>
    </w:p>
    <w:p>
      <w:pPr>
        <w:rPr>
          <w:noProof/>
          <w:lang w:val="en-GB"/>
        </w:rPr>
      </w:pPr>
    </w:p>
    <w:p>
      <w:pPr>
        <w:rPr>
          <w:noProof/>
        </w:rPr>
      </w:pPr>
    </w:p>
    <w:p>
      <w:pPr>
        <w:pStyle w:val="Yo0H2"/>
        <w:rPr>
          <w:b w:val="0"/>
          <w:noProof/>
          <w:sz w:val="28"/>
          <w:szCs w:val="28"/>
        </w:rPr>
      </w:pPr>
      <w:r>
        <w:rPr>
          <w:b w:val="0"/>
          <w:noProof/>
          <w:sz w:val="28"/>
          <w:szCs w:val="28"/>
        </w:rPr>
        <w:br w:type="page"/>
      </w:r>
      <w:bookmarkStart w:id="4" w:name="_Toc508378826"/>
      <w:bookmarkStart w:id="5" w:name="_Toc508378851"/>
      <w:r>
        <w:rPr>
          <w:b w:val="0"/>
          <w:noProof/>
          <w:sz w:val="28"/>
          <w:szCs w:val="28"/>
        </w:rPr>
        <w:t>5.1. Introduction</w:t>
      </w:r>
    </w:p>
    <w:p>
      <w:pPr>
        <w:pStyle w:val="Yo1Textpara"/>
        <w:rPr>
          <w:noProof/>
        </w:rPr>
      </w:pPr>
      <w:r>
        <w:rPr>
          <w:noProof/>
        </w:rPr>
        <w:t>Young people are often described as being more disenchanted with politics and less keen on participating in political activities in comparison with older groups in the population (</w:t>
      </w:r>
      <w:r>
        <w:rPr>
          <w:rStyle w:val="FootnoteReference"/>
          <w:noProof/>
        </w:rPr>
        <w:footnoteReference w:id="1"/>
      </w:r>
      <w:r>
        <w:rPr>
          <w:noProof/>
        </w:rPr>
        <w:t>). This chapter shows that while this might hold true for traditional modes of participation (i.e. those related to representative democracy), increasing numbers of young Europeans are exploring new routes to political engagement and expression, in particular those made available by the internet and social media. Remarkably, young people seem to have found renewed interest in political issues and identify themselves as European citizens to a greater extent than older generations.</w:t>
      </w:r>
    </w:p>
    <w:p>
      <w:pPr>
        <w:pStyle w:val="Yo1Textpara"/>
        <w:rPr>
          <w:noProof/>
        </w:rPr>
      </w:pPr>
      <w:r>
        <w:rPr>
          <w:noProof/>
        </w:rPr>
        <w:t>These trends are discussed in the first section of the chapter, illustrating young people’s general level of interest in politics, their perception of citizenship and their political priorities. The following sections then examine how young citizens take advantage of different opportunities to actively participate in politics, from the more traditional means such as voting and joining political parties, to the less mediated forms of political communication and engagement offered by online applications.</w:t>
      </w:r>
    </w:p>
    <w:p>
      <w:pPr>
        <w:pStyle w:val="Yo0H2"/>
        <w:spacing w:after="0"/>
        <w:rPr>
          <w:b w:val="0"/>
          <w:noProof/>
          <w:sz w:val="28"/>
          <w:szCs w:val="28"/>
        </w:rPr>
      </w:pPr>
      <w:r>
        <w:rPr>
          <w:b w:val="0"/>
          <w:noProof/>
          <w:sz w:val="28"/>
          <w:szCs w:val="28"/>
        </w:rPr>
        <w:t>5.2. Young people's interest in politics and their perception of EU citizenship</w:t>
      </w:r>
    </w:p>
    <w:p>
      <w:pPr>
        <w:pStyle w:val="Yo1Textpara"/>
        <w:rPr>
          <w:noProof/>
        </w:rPr>
      </w:pPr>
      <w:r>
        <w:rPr>
          <w:noProof/>
        </w:rPr>
        <w:t>Interest in the political life of society is a stepping stone to involvement in community life, and vice versa. An interest in politics prompts an individual to become informed about how the policy-making process works, what the opinions of different stakeholders are, and what means of participation are available (</w:t>
      </w:r>
      <w:r>
        <w:rPr>
          <w:rStyle w:val="FootnoteReference"/>
          <w:noProof/>
        </w:rPr>
        <w:footnoteReference w:id="2"/>
      </w:r>
      <w:r>
        <w:rPr>
          <w:noProof/>
        </w:rPr>
        <w:t>). Ultimately, this interest can engender willingness to actively participate and address shared problems together with other members of the community, and it is therefore important to contextualise young people's political engagement (</w:t>
      </w:r>
      <w:r>
        <w:rPr>
          <w:rStyle w:val="FootnoteReference"/>
          <w:noProof/>
        </w:rPr>
        <w:footnoteReference w:id="3"/>
      </w:r>
      <w:r>
        <w:rPr>
          <w:noProof/>
        </w:rPr>
        <w:t xml:space="preserve">). </w:t>
      </w:r>
    </w:p>
    <w:tbl>
      <w:tblPr>
        <w:tblpPr w:leftFromText="181" w:rightFromText="181" w:vertAnchor="text" w:horzAnchor="margin" w:tblpXSpec="right" w:tblpY="334"/>
        <w:tblOverlap w:val="never"/>
        <w:tblW w:w="0" w:type="auto"/>
        <w:shd w:val="clear" w:color="auto" w:fill="FFA3A4"/>
        <w:tblCellMar>
          <w:top w:w="28" w:type="dxa"/>
          <w:bottom w:w="28" w:type="dxa"/>
        </w:tblCellMar>
        <w:tblLook w:val="04A0" w:firstRow="1" w:lastRow="0" w:firstColumn="1" w:lastColumn="0" w:noHBand="0" w:noVBand="1"/>
      </w:tblPr>
      <w:tblGrid>
        <w:gridCol w:w="2612"/>
      </w:tblGrid>
      <w:tr>
        <w:trPr>
          <w:trHeight w:val="1060"/>
        </w:trPr>
        <w:tc>
          <w:tcPr>
            <w:tcW w:w="2612" w:type="dxa"/>
            <w:shd w:val="clear" w:color="auto" w:fill="FFA3A4"/>
            <w:hideMark/>
          </w:tcPr>
          <w:p>
            <w:pPr>
              <w:pStyle w:val="Yo12Encart"/>
              <w:rPr>
                <w:rFonts w:ascii="Arial Narrow" w:hAnsi="Arial Narrow"/>
                <w:i w:val="0"/>
                <w:noProof/>
                <w:sz w:val="22"/>
                <w:szCs w:val="22"/>
              </w:rPr>
            </w:pPr>
            <w:r>
              <w:rPr>
                <w:rFonts w:ascii="Arial Narrow" w:hAnsi="Arial Narrow"/>
                <w:i w:val="0"/>
                <w:noProof/>
                <w:sz w:val="22"/>
                <w:szCs w:val="22"/>
              </w:rPr>
              <w:t>Young people have shown increasing interest in politics since 2010 and the gap vis-à-vis older age groups is reducing.</w:t>
            </w:r>
          </w:p>
        </w:tc>
      </w:tr>
    </w:tbl>
    <w:p>
      <w:pPr>
        <w:pStyle w:val="Yo1Textpara"/>
        <w:rPr>
          <w:noProof/>
        </w:rPr>
      </w:pPr>
      <w:r>
        <w:rPr>
          <w:noProof/>
        </w:rPr>
        <w:t>On average, over half of young Europeans aged between 15 and 24 declared themselves to be moderately or strongly interested in politics in 2016, and what is more, this share has increased since 2010 (Figure 5-A). Contrary to the claim that young people are increasingly disaffected with politics, levels of interest in political issues in Europe seem to have experienced an upturn amongst young people in recent years.</w:t>
      </w:r>
    </w:p>
    <w:p>
      <w:pPr>
        <w:pStyle w:val="Yo1Textpara"/>
        <w:rPr>
          <w:noProof/>
        </w:rPr>
      </w:pPr>
      <w:r>
        <w:rPr>
          <w:noProof/>
        </w:rPr>
        <w:br w:type="page"/>
      </w:r>
    </w:p>
    <w:tbl>
      <w:tblPr>
        <w:tblpPr w:leftFromText="180" w:rightFromText="180" w:vertAnchor="text" w:horzAnchor="margin" w:tblpY="152"/>
        <w:tblOverlap w:val="never"/>
        <w:tblW w:w="0" w:type="auto"/>
        <w:tblLayout w:type="fixed"/>
        <w:tblLook w:val="04A0" w:firstRow="1" w:lastRow="0" w:firstColumn="1" w:lastColumn="0" w:noHBand="0" w:noVBand="1"/>
      </w:tblPr>
      <w:tblGrid>
        <w:gridCol w:w="5262"/>
      </w:tblGrid>
      <w:tr>
        <w:trPr>
          <w:trHeight w:val="866"/>
        </w:trPr>
        <w:tc>
          <w:tcPr>
            <w:tcW w:w="5262" w:type="dxa"/>
            <w:shd w:val="clear" w:color="auto" w:fill="auto"/>
            <w:vAlign w:val="bottom"/>
          </w:tcPr>
          <w:p>
            <w:pPr>
              <w:pStyle w:val="Yo5TextNotesbeforeafter"/>
              <w:spacing w:before="0"/>
              <w:jc w:val="left"/>
              <w:rPr>
                <w:noProof/>
                <w:lang w:val="en-GB" w:eastAsia="en-GB"/>
              </w:rPr>
            </w:pPr>
            <w:r>
              <w:rPr>
                <w:rFonts w:eastAsia="Cambria" w:cs="Calibri"/>
                <w:b/>
                <w:bCs/>
                <w:noProof/>
                <w:snapToGrid/>
                <w:color w:val="7F7F7F"/>
                <w:w w:val="80"/>
                <w:sz w:val="22"/>
                <w:szCs w:val="22"/>
                <w:lang w:val="en-GB"/>
              </w:rPr>
              <w:t>Figure 5-A</w:t>
            </w:r>
            <w:r>
              <w:rPr>
                <w:rFonts w:eastAsia="Cambria" w:cs="Calibri"/>
                <w:bCs/>
                <w:noProof/>
                <w:snapToGrid/>
                <w:color w:val="7F7F7F"/>
                <w:w w:val="80"/>
                <w:sz w:val="22"/>
                <w:szCs w:val="22"/>
                <w:lang w:val="en-GB"/>
              </w:rPr>
              <w:t>: Percentage of young people (aged 15-24) claiming to be 'moderately' or 'strongly' interested in politics, EU-28 average, 2010-2017</w:t>
            </w:r>
          </w:p>
        </w:tc>
      </w:tr>
      <w:tr>
        <w:trPr>
          <w:trHeight w:val="2959"/>
        </w:trPr>
        <w:tc>
          <w:tcPr>
            <w:tcW w:w="5262" w:type="dxa"/>
            <w:shd w:val="clear" w:color="auto" w:fill="auto"/>
            <w:vAlign w:val="bottom"/>
          </w:tcPr>
          <w:p>
            <w:pPr>
              <w:pStyle w:val="Yo5TextNotesbeforeafter"/>
              <w:spacing w:before="0"/>
              <w:jc w:val="center"/>
              <w:rPr>
                <w:noProof/>
                <w:lang w:val="en-GB" w:eastAsia="en-GB"/>
              </w:rPr>
            </w:pPr>
            <w:r>
              <w:rPr>
                <w:i/>
                <w:noProof/>
                <w:snapToGrid/>
                <w:lang w:val="en-US"/>
              </w:rPr>
              <w:drawing>
                <wp:inline distT="0" distB="0" distL="0" distR="0">
                  <wp:extent cx="3114675" cy="1876425"/>
                  <wp:effectExtent l="0" t="0" r="9525" b="9525"/>
                  <wp:docPr id="2" name="Picture 2" descr="\\s-eacea-fs03-p\EACEA.A7\Youth\04_Reports\a_EU_Youth_Reports\2018\03_graph\5_A_Interest_in_poli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cea-fs03-p\EACEA.A7\Youth\04_Reports\a_EU_Youth_Reports\2018\03_graph\5_A_Interest_in_politics.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114675" cy="1876425"/>
                          </a:xfrm>
                          <a:prstGeom prst="rect">
                            <a:avLst/>
                          </a:prstGeom>
                          <a:noFill/>
                          <a:ln>
                            <a:noFill/>
                          </a:ln>
                        </pic:spPr>
                      </pic:pic>
                    </a:graphicData>
                  </a:graphic>
                </wp:inline>
              </w:drawing>
            </w:r>
          </w:p>
        </w:tc>
      </w:tr>
      <w:tr>
        <w:tc>
          <w:tcPr>
            <w:tcW w:w="5262" w:type="dxa"/>
            <w:shd w:val="clear" w:color="auto" w:fill="auto"/>
          </w:tcPr>
          <w:p>
            <w:pPr>
              <w:pStyle w:val="Yo5TextNotesbeforeafter"/>
              <w:tabs>
                <w:tab w:val="left" w:pos="4820"/>
              </w:tabs>
              <w:spacing w:before="0"/>
              <w:ind w:right="34"/>
              <w:rPr>
                <w:i/>
                <w:noProof/>
                <w:lang w:val="en-GB" w:eastAsia="en-GB"/>
              </w:rPr>
            </w:pPr>
            <w:r>
              <w:rPr>
                <w:i/>
                <w:noProof/>
                <w:lang w:val="en-GB" w:eastAsia="en-GB"/>
              </w:rPr>
              <w:t>Note</w:t>
            </w:r>
            <w:r>
              <w:rPr>
                <w:noProof/>
                <w:lang w:val="en-GB" w:eastAsia="en-GB"/>
              </w:rPr>
              <w:t>: The question was as follows: 'When you get together with friends or relatives, would you say that you discuss frequently, occasionally or never about…? National political matters/European political matters/local political matters'. A score was then attributed to each answer: 'Never' = 0; 'Occasionally' = 1; 'Frequently' = 2. An index was then constructed by adding together the scores for the three dimensions (local, national, European). Each group corresponds to a different index level: 'not at all interested in politics' = 0; 'slightly' = 1 to 2; 'moderately' = 3 to 4; 'strongly' = 5 to 6.</w:t>
            </w:r>
          </w:p>
        </w:tc>
      </w:tr>
      <w:tr>
        <w:trPr>
          <w:trHeight w:val="521"/>
        </w:trPr>
        <w:tc>
          <w:tcPr>
            <w:tcW w:w="5262" w:type="dxa"/>
            <w:shd w:val="clear" w:color="auto" w:fill="auto"/>
          </w:tcPr>
          <w:p>
            <w:pPr>
              <w:pStyle w:val="Yo5TextNotesbeforeafter"/>
              <w:tabs>
                <w:tab w:val="left" w:pos="4820"/>
              </w:tabs>
              <w:spacing w:before="0"/>
              <w:ind w:right="34"/>
              <w:rPr>
                <w:i/>
                <w:noProof/>
                <w:lang w:val="en-GB" w:eastAsia="en-GB"/>
              </w:rPr>
            </w:pPr>
            <w:r>
              <w:rPr>
                <w:i/>
                <w:noProof/>
                <w:lang w:val="en-GB" w:eastAsia="en-GB"/>
              </w:rPr>
              <w:t>Source</w:t>
            </w:r>
            <w:r>
              <w:rPr>
                <w:noProof/>
                <w:lang w:val="en-GB" w:eastAsia="en-GB"/>
              </w:rPr>
              <w:t>: Standard Eurobarometers 74 (2010), 76 (2011), 78 (2012), 79 (2013), 82 (2014), 84 (2015), 86 (2016), and 87 (2017).</w:t>
            </w:r>
          </w:p>
        </w:tc>
      </w:tr>
    </w:tbl>
    <w:p>
      <w:pPr>
        <w:pStyle w:val="Yo1Textpara"/>
        <w:rPr>
          <w:noProof/>
        </w:rPr>
      </w:pPr>
      <w:r>
        <w:rPr>
          <w:noProof/>
        </w:rPr>
        <w:t>Research has identified the main reason behind this renewed sensitivity to political issues in young people: their increasing use of new media for social and civic communication (</w:t>
      </w:r>
      <w:r>
        <w:rPr>
          <w:rStyle w:val="FootnoteReference"/>
          <w:noProof/>
        </w:rPr>
        <w:footnoteReference w:id="4"/>
      </w:r>
      <w:r>
        <w:rPr>
          <w:noProof/>
        </w:rPr>
        <w:t>). Social media such as podcasts, wikis, blogs and online networks are recognised as tools which can greatly facilitate participatory and peer-based politics, allowing individuals and groups to connect and discuss issues of public concern. Young people are at the forefront in adopting these new channels, and are making the most of these new opportunities for interacting within large-scale, online communities organised around media content (</w:t>
      </w:r>
      <w:r>
        <w:rPr>
          <w:rStyle w:val="FootnoteReference"/>
          <w:noProof/>
        </w:rPr>
        <w:footnoteReference w:id="5"/>
      </w:r>
      <w:r>
        <w:rPr>
          <w:noProof/>
        </w:rPr>
        <w:t>). The last section of the chapter will discuss these aspects in more detail.</w:t>
      </w:r>
    </w:p>
    <w:p>
      <w:pPr>
        <w:pStyle w:val="Yo1Textpara"/>
        <w:rPr>
          <w:noProof/>
          <w:highlight w:val="yellow"/>
        </w:rPr>
      </w:pPr>
    </w:p>
    <w:p>
      <w:pPr>
        <w:pStyle w:val="Yo1Textpara"/>
        <w:rPr>
          <w:noProof/>
        </w:rPr>
      </w:pPr>
    </w:p>
    <w:p>
      <w:pPr>
        <w:pStyle w:val="Yo1Textpara"/>
        <w:rPr>
          <w:noProof/>
        </w:rPr>
      </w:pPr>
    </w:p>
    <w:p>
      <w:pPr>
        <w:pStyle w:val="Yo1Textpara"/>
        <w:rPr>
          <w:noProof/>
        </w:rPr>
      </w:pPr>
    </w:p>
    <w:p>
      <w:pPr>
        <w:pStyle w:val="Yo1Textpara"/>
        <w:rPr>
          <w:noProof/>
        </w:rPr>
      </w:pPr>
    </w:p>
    <w:tbl>
      <w:tblPr>
        <w:tblpPr w:leftFromText="181" w:rightFromText="181" w:vertAnchor="text" w:horzAnchor="page" w:tblpX="6301" w:tblpY="228"/>
        <w:tblOverlap w:val="never"/>
        <w:tblW w:w="0" w:type="auto"/>
        <w:tblLayout w:type="fixed"/>
        <w:tblLook w:val="04A0" w:firstRow="1" w:lastRow="0" w:firstColumn="1" w:lastColumn="0" w:noHBand="0" w:noVBand="1"/>
      </w:tblPr>
      <w:tblGrid>
        <w:gridCol w:w="959"/>
        <w:gridCol w:w="992"/>
        <w:gridCol w:w="817"/>
        <w:gridCol w:w="896"/>
        <w:gridCol w:w="812"/>
        <w:gridCol w:w="594"/>
      </w:tblGrid>
      <w:tr>
        <w:trPr>
          <w:trHeight w:val="136"/>
        </w:trPr>
        <w:tc>
          <w:tcPr>
            <w:tcW w:w="5070" w:type="dxa"/>
            <w:gridSpan w:val="6"/>
            <w:shd w:val="clear" w:color="auto" w:fill="auto"/>
            <w:vAlign w:val="bottom"/>
          </w:tcPr>
          <w:p>
            <w:pPr>
              <w:pStyle w:val="Yo5TitleFigure"/>
              <w:spacing w:before="0" w:after="0"/>
              <w:jc w:val="both"/>
            </w:pPr>
            <w:r>
              <w:rPr>
                <w:b/>
              </w:rPr>
              <w:t>Figure 5-B</w:t>
            </w:r>
            <w:r>
              <w:t>: Percentage of people with a  moderate or strong level of interest in politics, by age group, EU-28 average, 2010 and 2017</w:t>
            </w:r>
          </w:p>
        </w:tc>
      </w:tr>
      <w:tr>
        <w:trPr>
          <w:trHeight w:val="3424"/>
        </w:trPr>
        <w:tc>
          <w:tcPr>
            <w:tcW w:w="5070" w:type="dxa"/>
            <w:gridSpan w:val="6"/>
            <w:shd w:val="clear" w:color="auto" w:fill="auto"/>
            <w:vAlign w:val="bottom"/>
          </w:tcPr>
          <w:p>
            <w:pPr>
              <w:pStyle w:val="Yo5TextNotes"/>
              <w:jc w:val="center"/>
              <w:rPr>
                <w:noProof/>
              </w:rPr>
            </w:pPr>
            <w:r>
              <w:rPr>
                <w:noProof/>
                <w:snapToGrid/>
                <w:lang w:val="en-US"/>
              </w:rPr>
              <w:drawing>
                <wp:inline distT="0" distB="0" distL="0" distR="0">
                  <wp:extent cx="2781300" cy="2124075"/>
                  <wp:effectExtent l="0" t="0" r="0" b="9525"/>
                  <wp:docPr id="3" name="Picture 3" descr="\\s-eacea-fs03-p\EACEA.A7\Youth\04_Reports\a_EU_Youth_Reports\2018\03_graph\5_B_Interest_in_politics_age_group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eacea-fs03-p\EACEA.A7\Youth\04_Reports\a_EU_Youth_Reports\2018\03_graph\5_B_Interest_in_politics_age_groups.jpg"/>
                          <pic:cNvPicPr>
                            <a:picLocks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781300" cy="2124075"/>
                          </a:xfrm>
                          <a:prstGeom prst="rect">
                            <a:avLst/>
                          </a:prstGeom>
                          <a:noFill/>
                          <a:ln>
                            <a:noFill/>
                          </a:ln>
                        </pic:spPr>
                      </pic:pic>
                    </a:graphicData>
                  </a:graphic>
                </wp:inline>
              </w:drawing>
            </w:r>
          </w:p>
        </w:tc>
      </w:tr>
      <w:tr>
        <w:tc>
          <w:tcPr>
            <w:tcW w:w="959" w:type="dxa"/>
            <w:shd w:val="clear" w:color="auto" w:fill="auto"/>
          </w:tcPr>
          <w:p>
            <w:pPr>
              <w:pStyle w:val="Yo5TextNotes"/>
              <w:rPr>
                <w:rFonts w:ascii="Calibri" w:hAnsi="Calibri"/>
                <w:noProof/>
                <w:sz w:val="18"/>
                <w:szCs w:val="18"/>
              </w:rPr>
            </w:pPr>
          </w:p>
        </w:tc>
        <w:tc>
          <w:tcPr>
            <w:tcW w:w="992" w:type="dxa"/>
            <w:shd w:val="clear" w:color="auto" w:fill="auto"/>
            <w:vAlign w:val="center"/>
          </w:tcPr>
          <w:p>
            <w:pPr>
              <w:pStyle w:val="Yo5TextbaseTable"/>
              <w:jc w:val="center"/>
              <w:rPr>
                <w:rFonts w:ascii="Calibri" w:hAnsi="Calibri"/>
                <w:b/>
                <w:noProof/>
                <w:color w:val="auto"/>
                <w:sz w:val="18"/>
                <w:szCs w:val="18"/>
              </w:rPr>
            </w:pPr>
            <w:r>
              <w:rPr>
                <w:rFonts w:ascii="Calibri" w:hAnsi="Calibri"/>
                <w:b/>
                <w:noProof/>
                <w:color w:val="auto"/>
                <w:sz w:val="18"/>
                <w:szCs w:val="18"/>
              </w:rPr>
              <w:t>15-24</w:t>
            </w:r>
          </w:p>
        </w:tc>
        <w:tc>
          <w:tcPr>
            <w:tcW w:w="817" w:type="dxa"/>
            <w:shd w:val="clear" w:color="auto" w:fill="auto"/>
            <w:vAlign w:val="center"/>
          </w:tcPr>
          <w:p>
            <w:pPr>
              <w:pStyle w:val="Yo5TextNotes"/>
              <w:jc w:val="center"/>
              <w:rPr>
                <w:rFonts w:ascii="Calibri" w:hAnsi="Calibri"/>
                <w:b/>
                <w:noProof/>
                <w:sz w:val="18"/>
                <w:szCs w:val="18"/>
              </w:rPr>
            </w:pPr>
            <w:r>
              <w:rPr>
                <w:rFonts w:ascii="Calibri" w:hAnsi="Calibri"/>
                <w:b/>
                <w:noProof/>
                <w:sz w:val="18"/>
                <w:szCs w:val="18"/>
              </w:rPr>
              <w:t>25-39</w:t>
            </w:r>
          </w:p>
        </w:tc>
        <w:tc>
          <w:tcPr>
            <w:tcW w:w="896" w:type="dxa"/>
            <w:shd w:val="clear" w:color="auto" w:fill="auto"/>
            <w:vAlign w:val="center"/>
          </w:tcPr>
          <w:p>
            <w:pPr>
              <w:pStyle w:val="Yo5TextbaseTable"/>
              <w:jc w:val="center"/>
              <w:rPr>
                <w:rFonts w:ascii="Calibri" w:hAnsi="Calibri"/>
                <w:b/>
                <w:noProof/>
                <w:color w:val="auto"/>
                <w:sz w:val="18"/>
                <w:szCs w:val="18"/>
              </w:rPr>
            </w:pPr>
            <w:r>
              <w:rPr>
                <w:rFonts w:ascii="Calibri" w:hAnsi="Calibri"/>
                <w:b/>
                <w:noProof/>
                <w:color w:val="auto"/>
                <w:sz w:val="18"/>
                <w:szCs w:val="18"/>
              </w:rPr>
              <w:t>40-54</w:t>
            </w:r>
          </w:p>
        </w:tc>
        <w:tc>
          <w:tcPr>
            <w:tcW w:w="812" w:type="dxa"/>
            <w:shd w:val="clear" w:color="auto" w:fill="auto"/>
            <w:vAlign w:val="center"/>
          </w:tcPr>
          <w:p>
            <w:pPr>
              <w:pStyle w:val="Yo5TextNotes"/>
              <w:jc w:val="center"/>
              <w:rPr>
                <w:rFonts w:ascii="Calibri" w:hAnsi="Calibri"/>
                <w:b/>
                <w:noProof/>
                <w:sz w:val="18"/>
                <w:szCs w:val="18"/>
              </w:rPr>
            </w:pPr>
            <w:r>
              <w:rPr>
                <w:rFonts w:ascii="Calibri" w:hAnsi="Calibri"/>
                <w:b/>
                <w:noProof/>
                <w:sz w:val="18"/>
                <w:szCs w:val="18"/>
              </w:rPr>
              <w:t>55+</w:t>
            </w:r>
          </w:p>
        </w:tc>
        <w:tc>
          <w:tcPr>
            <w:tcW w:w="594" w:type="dxa"/>
            <w:shd w:val="clear" w:color="auto" w:fill="auto"/>
          </w:tcPr>
          <w:p>
            <w:pPr>
              <w:pStyle w:val="Yo5TextNotes"/>
              <w:rPr>
                <w:rFonts w:ascii="Calibri" w:hAnsi="Calibri"/>
                <w:noProof/>
                <w:sz w:val="18"/>
                <w:szCs w:val="18"/>
              </w:rPr>
            </w:pPr>
          </w:p>
        </w:tc>
      </w:tr>
      <w:tr>
        <w:tc>
          <w:tcPr>
            <w:tcW w:w="5070" w:type="dxa"/>
            <w:gridSpan w:val="6"/>
            <w:shd w:val="clear" w:color="auto" w:fill="auto"/>
          </w:tcPr>
          <w:p>
            <w:pPr>
              <w:pStyle w:val="Yo5TextNotes"/>
              <w:rPr>
                <w:noProof/>
                <w:lang w:val="en-GB" w:eastAsia="en-GB"/>
              </w:rPr>
            </w:pPr>
          </w:p>
          <w:p>
            <w:pPr>
              <w:pStyle w:val="Yo5TextNotes"/>
              <w:rPr>
                <w:noProof/>
                <w:lang w:val="en-GB" w:eastAsia="en-GB"/>
              </w:rPr>
            </w:pPr>
            <w:r>
              <w:rPr>
                <w:i/>
                <w:noProof/>
                <w:lang w:val="en-GB" w:eastAsia="en-GB"/>
              </w:rPr>
              <w:t>Source:</w:t>
            </w:r>
            <w:r>
              <w:rPr>
                <w:noProof/>
                <w:lang w:val="en-GB" w:eastAsia="en-GB"/>
              </w:rPr>
              <w:t xml:space="preserve"> Standard Eurobarometers 74 (2010), and 87 (2017).</w:t>
            </w:r>
          </w:p>
        </w:tc>
      </w:tr>
    </w:tbl>
    <w:p>
      <w:pPr>
        <w:pStyle w:val="Yo1Textpara"/>
        <w:rPr>
          <w:noProof/>
        </w:rPr>
      </w:pPr>
      <w:r>
        <w:rPr>
          <w:noProof/>
        </w:rPr>
        <w:t>The trend in the level of interest in politics amongst young people can be particularly appreciated when compared to that of older age groups over the last years</w:t>
      </w:r>
      <w:r>
        <w:rPr>
          <w:rFonts w:ascii="Calibri" w:hAnsi="Calibri"/>
          <w:noProof/>
          <w:szCs w:val="22"/>
          <w:lang w:eastAsia="en-US"/>
        </w:rPr>
        <w:t xml:space="preserve"> </w:t>
      </w:r>
      <w:r>
        <w:rPr>
          <w:noProof/>
        </w:rPr>
        <w:t>(Figure 5-B).</w:t>
      </w:r>
    </w:p>
    <w:p>
      <w:pPr>
        <w:pStyle w:val="Yo1Textpara"/>
        <w:rPr>
          <w:noProof/>
        </w:rPr>
      </w:pPr>
    </w:p>
    <w:p>
      <w:pPr>
        <w:pStyle w:val="Yo1Textpara"/>
        <w:rPr>
          <w:noProof/>
        </w:rPr>
      </w:pPr>
      <w:r>
        <w:rPr>
          <w:noProof/>
        </w:rPr>
        <w:br w:type="page"/>
        <w:t>At first glance, the data confirm the traditional pattern according to which interest in civic and political matters increases throughout a person’s life: individuals tend to become more aware of the political environment as they grow into mature adulthood, become politically socialised, and acquire a larger ‘stake’ in the social, political and economic life of their community (</w:t>
      </w:r>
      <w:r>
        <w:rPr>
          <w:rStyle w:val="FootnoteReference"/>
          <w:noProof/>
        </w:rPr>
        <w:footnoteReference w:id="6"/>
      </w:r>
      <w:r>
        <w:rPr>
          <w:noProof/>
        </w:rPr>
        <w:t>). This phenomenon is intrinsic to each generation, therefore the fact that the youngest age group expresses a lower level of interest in politics cannot be labelled as a specific characteristic of the current generation of young people but rather as an inherent phase in the average life trajectory (</w:t>
      </w:r>
      <w:r>
        <w:rPr>
          <w:rStyle w:val="FootnoteReference"/>
          <w:noProof/>
        </w:rPr>
        <w:footnoteReference w:id="7"/>
      </w:r>
      <w:r>
        <w:rPr>
          <w:noProof/>
        </w:rPr>
        <w:t>). What is worth noting is that this gap has reduced: since 2010, the increase in the share of 15-24 year-olds interested in politics has exceeded that of other age groups, probably as a result of their increased use of social media.</w:t>
      </w:r>
    </w:p>
    <w:tbl>
      <w:tblPr>
        <w:tblpPr w:leftFromText="180" w:rightFromText="180" w:vertAnchor="text" w:tblpX="108" w:tblpY="531"/>
        <w:tblOverlap w:val="never"/>
        <w:tblW w:w="0" w:type="auto"/>
        <w:tblLayout w:type="fixed"/>
        <w:tblLook w:val="04A0" w:firstRow="1" w:lastRow="0" w:firstColumn="1" w:lastColumn="0" w:noHBand="0" w:noVBand="1"/>
      </w:tblPr>
      <w:tblGrid>
        <w:gridCol w:w="947"/>
        <w:gridCol w:w="853"/>
        <w:gridCol w:w="853"/>
        <w:gridCol w:w="853"/>
        <w:gridCol w:w="830"/>
        <w:gridCol w:w="418"/>
      </w:tblGrid>
      <w:tr>
        <w:trPr>
          <w:trHeight w:val="702"/>
        </w:trPr>
        <w:tc>
          <w:tcPr>
            <w:tcW w:w="4754" w:type="dxa"/>
            <w:gridSpan w:val="6"/>
            <w:shd w:val="clear" w:color="auto" w:fill="auto"/>
          </w:tcPr>
          <w:p>
            <w:pPr>
              <w:pStyle w:val="Yo5TextNotes"/>
              <w:tabs>
                <w:tab w:val="clear" w:pos="1985"/>
                <w:tab w:val="right" w:pos="4995"/>
              </w:tabs>
              <w:rPr>
                <w:noProof/>
                <w:lang w:val="en-GB"/>
              </w:rPr>
            </w:pPr>
            <w:r>
              <w:rPr>
                <w:rFonts w:eastAsia="Cambria" w:cs="Calibri"/>
                <w:b/>
                <w:bCs/>
                <w:noProof/>
                <w:snapToGrid/>
                <w:color w:val="7F7F7F"/>
                <w:w w:val="80"/>
                <w:sz w:val="22"/>
                <w:szCs w:val="22"/>
                <w:lang w:val="en-GB"/>
              </w:rPr>
              <w:t>Figure 5-C:</w:t>
            </w:r>
            <w:r>
              <w:rPr>
                <w:rFonts w:eastAsia="Cambria" w:cs="Calibri"/>
                <w:bCs/>
                <w:noProof/>
                <w:snapToGrid/>
                <w:color w:val="7F7F7F"/>
                <w:w w:val="80"/>
                <w:sz w:val="22"/>
                <w:szCs w:val="22"/>
                <w:lang w:val="en-GB"/>
              </w:rPr>
              <w:t xml:space="preserve"> Percentage of people who feel they are a citizen of the EU, by age group, EU-28 average, 2010 and 2017</w:t>
            </w:r>
          </w:p>
        </w:tc>
      </w:tr>
      <w:tr>
        <w:trPr>
          <w:trHeight w:val="3137"/>
        </w:trPr>
        <w:tc>
          <w:tcPr>
            <w:tcW w:w="4754" w:type="dxa"/>
            <w:gridSpan w:val="6"/>
            <w:shd w:val="clear" w:color="auto" w:fill="auto"/>
          </w:tcPr>
          <w:p>
            <w:pPr>
              <w:pStyle w:val="Yo5TextNotes"/>
              <w:rPr>
                <w:noProof/>
                <w:lang w:eastAsia="en-GB"/>
              </w:rPr>
            </w:pPr>
            <w:r>
              <w:rPr>
                <w:noProof/>
                <w:snapToGrid/>
                <w:lang w:val="en-US"/>
              </w:rPr>
              <w:drawing>
                <wp:inline distT="0" distB="0" distL="0" distR="0">
                  <wp:extent cx="2876550" cy="2219325"/>
                  <wp:effectExtent l="0" t="0" r="0" b="9525"/>
                  <wp:docPr id="4" name="Picture 4" descr="\\s-eacea-fs03-p\EACEA.A7\Youth\04_Reports\a_EU_Youth_Reports\2018\03_graph\5_C_EU_citizen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cea-fs03-p\EACEA.A7\Youth\04_Reports\a_EU_Youth_Reports\2018\03_graph\5_C_EU_citizenship.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876550" cy="2219325"/>
                          </a:xfrm>
                          <a:prstGeom prst="rect">
                            <a:avLst/>
                          </a:prstGeom>
                          <a:noFill/>
                          <a:ln>
                            <a:noFill/>
                          </a:ln>
                        </pic:spPr>
                      </pic:pic>
                    </a:graphicData>
                  </a:graphic>
                </wp:inline>
              </w:drawing>
            </w:r>
          </w:p>
        </w:tc>
      </w:tr>
      <w:tr>
        <w:trPr>
          <w:trHeight w:val="224"/>
        </w:trPr>
        <w:tc>
          <w:tcPr>
            <w:tcW w:w="947" w:type="dxa"/>
            <w:shd w:val="clear" w:color="auto" w:fill="auto"/>
            <w:vAlign w:val="center"/>
          </w:tcPr>
          <w:p>
            <w:pPr>
              <w:pStyle w:val="Yo5TextNotes"/>
              <w:jc w:val="left"/>
              <w:rPr>
                <w:noProof/>
                <w:color w:val="000000"/>
              </w:rPr>
            </w:pPr>
          </w:p>
        </w:tc>
        <w:tc>
          <w:tcPr>
            <w:tcW w:w="853" w:type="dxa"/>
            <w:shd w:val="clear" w:color="auto" w:fill="auto"/>
          </w:tcPr>
          <w:p>
            <w:pPr>
              <w:pStyle w:val="Yo5TextbaseTable"/>
              <w:rPr>
                <w:b/>
                <w:noProof/>
                <w:color w:val="000000"/>
              </w:rPr>
            </w:pPr>
            <w:r>
              <w:rPr>
                <w:b/>
                <w:noProof/>
                <w:color w:val="000000"/>
              </w:rPr>
              <w:t>15-24</w:t>
            </w:r>
          </w:p>
        </w:tc>
        <w:tc>
          <w:tcPr>
            <w:tcW w:w="853" w:type="dxa"/>
            <w:shd w:val="clear" w:color="auto" w:fill="auto"/>
          </w:tcPr>
          <w:p>
            <w:pPr>
              <w:pStyle w:val="Yo5TextbaseTable"/>
              <w:rPr>
                <w:b/>
                <w:noProof/>
                <w:color w:val="000000"/>
              </w:rPr>
            </w:pPr>
            <w:r>
              <w:rPr>
                <w:b/>
                <w:noProof/>
                <w:color w:val="000000"/>
              </w:rPr>
              <w:t>25-39</w:t>
            </w:r>
          </w:p>
        </w:tc>
        <w:tc>
          <w:tcPr>
            <w:tcW w:w="853" w:type="dxa"/>
            <w:shd w:val="clear" w:color="auto" w:fill="auto"/>
          </w:tcPr>
          <w:p>
            <w:pPr>
              <w:pStyle w:val="Yo5TextbaseTable"/>
              <w:rPr>
                <w:b/>
                <w:noProof/>
                <w:color w:val="000000"/>
              </w:rPr>
            </w:pPr>
            <w:r>
              <w:rPr>
                <w:b/>
                <w:noProof/>
                <w:color w:val="000000"/>
              </w:rPr>
              <w:t>40-54</w:t>
            </w:r>
          </w:p>
        </w:tc>
        <w:tc>
          <w:tcPr>
            <w:tcW w:w="830" w:type="dxa"/>
            <w:shd w:val="clear" w:color="auto" w:fill="auto"/>
          </w:tcPr>
          <w:p>
            <w:pPr>
              <w:pStyle w:val="Yo5TextbaseTable"/>
              <w:jc w:val="center"/>
              <w:rPr>
                <w:noProof/>
                <w:color w:val="000000"/>
              </w:rPr>
            </w:pPr>
            <w:r>
              <w:rPr>
                <w:b/>
                <w:noProof/>
                <w:color w:val="000000"/>
              </w:rPr>
              <w:t>55+</w:t>
            </w:r>
          </w:p>
        </w:tc>
        <w:tc>
          <w:tcPr>
            <w:tcW w:w="418" w:type="dxa"/>
            <w:shd w:val="clear" w:color="auto" w:fill="auto"/>
          </w:tcPr>
          <w:p>
            <w:pPr>
              <w:pStyle w:val="Yo5TextbaseTable"/>
              <w:rPr>
                <w:noProof/>
                <w:color w:val="000000"/>
              </w:rPr>
            </w:pPr>
          </w:p>
        </w:tc>
      </w:tr>
      <w:tr>
        <w:trPr>
          <w:trHeight w:val="224"/>
        </w:trPr>
        <w:tc>
          <w:tcPr>
            <w:tcW w:w="4754" w:type="dxa"/>
            <w:gridSpan w:val="6"/>
            <w:shd w:val="clear" w:color="auto" w:fill="auto"/>
            <w:vAlign w:val="center"/>
          </w:tcPr>
          <w:p>
            <w:pPr>
              <w:pStyle w:val="Yo5TextNotesafter"/>
              <w:rPr>
                <w:noProof/>
                <w:lang w:eastAsia="en-GB"/>
              </w:rPr>
            </w:pPr>
            <w:r>
              <w:rPr>
                <w:i/>
                <w:noProof/>
                <w:lang w:eastAsia="en-GB"/>
              </w:rPr>
              <w:t>Notes</w:t>
            </w:r>
            <w:r>
              <w:rPr>
                <w:noProof/>
                <w:lang w:eastAsia="en-GB"/>
              </w:rPr>
              <w:t>: The question was: ‘For each of the following statements, please tell me to what extent it corresponds or not to your own opinion – ‘You feel you are a citizen of the EU’. Options included ‘Yes definitely’, ‘Yes to some extent’, ‘No, not really’, ‘No, definitely not’ and Base: all respondents. The chart does not show the share of respondents answering ‘I don't know’.</w:t>
            </w:r>
          </w:p>
          <w:p>
            <w:pPr>
              <w:pStyle w:val="Yo5TextNotes"/>
              <w:rPr>
                <w:noProof/>
                <w:color w:val="000000"/>
                <w:lang w:val="en-GB"/>
              </w:rPr>
            </w:pPr>
            <w:r>
              <w:rPr>
                <w:i/>
                <w:noProof/>
                <w:lang w:val="en-GB" w:eastAsia="en-GB"/>
              </w:rPr>
              <w:t>Source</w:t>
            </w:r>
            <w:r>
              <w:rPr>
                <w:noProof/>
                <w:lang w:val="en-GB" w:eastAsia="en-GB"/>
              </w:rPr>
              <w:t>: Standard Eurobarometers 74 (2010), and 87 (2017).</w:t>
            </w:r>
          </w:p>
        </w:tc>
      </w:tr>
    </w:tbl>
    <w:p>
      <w:pPr>
        <w:pStyle w:val="Yo1Textpara"/>
        <w:rPr>
          <w:noProof/>
          <w:highlight w:val="yellow"/>
        </w:rPr>
      </w:pPr>
    </w:p>
    <w:tbl>
      <w:tblPr>
        <w:tblpPr w:leftFromText="181" w:rightFromText="181" w:vertAnchor="text" w:horzAnchor="margin" w:tblpXSpec="right" w:tblpY="838"/>
        <w:tblOverlap w:val="never"/>
        <w:tblW w:w="0" w:type="auto"/>
        <w:shd w:val="clear" w:color="auto" w:fill="FFA3A4"/>
        <w:tblCellMar>
          <w:top w:w="28" w:type="dxa"/>
          <w:bottom w:w="28" w:type="dxa"/>
        </w:tblCellMar>
        <w:tblLook w:val="04A0" w:firstRow="1" w:lastRow="0" w:firstColumn="1" w:lastColumn="0" w:noHBand="0" w:noVBand="1"/>
      </w:tblPr>
      <w:tblGrid>
        <w:gridCol w:w="2220"/>
      </w:tblGrid>
      <w:tr>
        <w:trPr>
          <w:trHeight w:val="823"/>
        </w:trPr>
        <w:tc>
          <w:tcPr>
            <w:tcW w:w="2220" w:type="dxa"/>
            <w:shd w:val="clear" w:color="auto" w:fill="FFA3A4"/>
            <w:hideMark/>
          </w:tcPr>
          <w:p>
            <w:pPr>
              <w:pStyle w:val="Yo12Encart"/>
              <w:rPr>
                <w:rFonts w:ascii="Arial Narrow" w:hAnsi="Arial Narrow"/>
                <w:i w:val="0"/>
                <w:noProof/>
                <w:sz w:val="22"/>
                <w:szCs w:val="22"/>
              </w:rPr>
            </w:pPr>
            <w:r>
              <w:rPr>
                <w:rFonts w:ascii="Arial Narrow" w:hAnsi="Arial Narrow"/>
                <w:i w:val="0"/>
                <w:noProof/>
                <w:sz w:val="22"/>
                <w:szCs w:val="22"/>
              </w:rPr>
              <w:t xml:space="preserve">Young people feel the most European in the general population. </w:t>
            </w:r>
          </w:p>
        </w:tc>
      </w:tr>
    </w:tbl>
    <w:p>
      <w:pPr>
        <w:pStyle w:val="Yo1Textpara"/>
        <w:rPr>
          <w:noProof/>
        </w:rPr>
      </w:pPr>
      <w:r>
        <w:rPr>
          <w:noProof/>
        </w:rPr>
        <w:t>Besides a general interest in politics, identification with a political entity is essential in determining the degree of engagement in political life, since  perceptions of citizenship are crucial in motivating people to participate (</w:t>
      </w:r>
      <w:r>
        <w:rPr>
          <w:rStyle w:val="FootnoteReference"/>
          <w:noProof/>
        </w:rPr>
        <w:footnoteReference w:id="8"/>
      </w:r>
      <w:r>
        <w:rPr>
          <w:noProof/>
        </w:rPr>
        <w:t xml:space="preserve">). </w:t>
      </w:r>
    </w:p>
    <w:p>
      <w:pPr>
        <w:pStyle w:val="Yo1Textpara"/>
        <w:rPr>
          <w:noProof/>
        </w:rPr>
      </w:pPr>
      <w:r>
        <w:rPr>
          <w:noProof/>
        </w:rPr>
        <w:t>Figure 5-C shows the percentage of people, by age group, who feel they are EU citizens. Interestingly, more young people feel ties of citizenship towards the European Union than older cohorts. Also noteworthy is the fact that self-identification as European citizens has grown more amongst young people than among older individuals. This might be related to the fact that young Europeans, compared to older age groups, have more opportunity to travel to other European countries for study, work or tourism; they also have a better knowledge of foreign languages and, on average, achieve higher levels of formal education – all factors recognised as positively correlated with nurturing a sense of European citizenship (</w:t>
      </w:r>
      <w:r>
        <w:rPr>
          <w:rStyle w:val="FootnoteReference"/>
          <w:noProof/>
        </w:rPr>
        <w:footnoteReference w:id="9"/>
      </w:r>
      <w:r>
        <w:rPr>
          <w:noProof/>
        </w:rPr>
        <w:t>). As citizens of the European Union, young people attach the highest importance to issues that have a tangible impact on the quality of their lives and on society: education and the acquisition of skills and the protection of the environment feature as the top priorities to be addressed at EU level, followed by employment and the integration of refugees (Figure 5-D).</w:t>
      </w:r>
    </w:p>
    <w:p>
      <w:pPr>
        <w:pStyle w:val="Yo5TextNotes"/>
        <w:tabs>
          <w:tab w:val="clear" w:pos="1985"/>
          <w:tab w:val="right" w:pos="4995"/>
        </w:tabs>
        <w:rPr>
          <w:rFonts w:eastAsia="Cambria" w:cs="Calibri"/>
          <w:b/>
          <w:bCs/>
          <w:noProof/>
          <w:snapToGrid/>
          <w:color w:val="7F7F7F"/>
          <w:w w:val="80"/>
          <w:sz w:val="22"/>
          <w:szCs w:val="22"/>
          <w:lang w:val="en-GB"/>
        </w:rPr>
      </w:pPr>
      <w:r>
        <w:rPr>
          <w:rFonts w:eastAsia="Cambria" w:cs="Calibri"/>
          <w:b/>
          <w:bCs/>
          <w:noProof/>
          <w:snapToGrid/>
          <w:color w:val="7F7F7F"/>
          <w:w w:val="80"/>
          <w:sz w:val="22"/>
          <w:szCs w:val="22"/>
          <w:lang w:val="en-GB"/>
        </w:rPr>
        <w:br w:type="page"/>
        <w:t>Figure 5-D</w:t>
      </w:r>
      <w:r>
        <w:rPr>
          <w:rFonts w:eastAsia="Cambria" w:cs="Calibri"/>
          <w:bCs/>
          <w:noProof/>
          <w:snapToGrid/>
          <w:color w:val="7F7F7F"/>
          <w:w w:val="80"/>
          <w:sz w:val="22"/>
          <w:szCs w:val="22"/>
          <w:lang w:val="en-GB"/>
        </w:rPr>
        <w:t>: Issues young people (aged 15-30) think should be top priorities for the European Union, by age group, EU-28 average, 2017</w:t>
      </w:r>
    </w:p>
    <w:tbl>
      <w:tblPr>
        <w:tblW w:w="0" w:type="auto"/>
        <w:tblLayout w:type="fixed"/>
        <w:tblLook w:val="04A0" w:firstRow="1" w:lastRow="0" w:firstColumn="1" w:lastColumn="0" w:noHBand="0" w:noVBand="1"/>
      </w:tblPr>
      <w:tblGrid>
        <w:gridCol w:w="4266"/>
        <w:gridCol w:w="5765"/>
      </w:tblGrid>
      <w:tr>
        <w:tc>
          <w:tcPr>
            <w:tcW w:w="10031" w:type="dxa"/>
            <w:gridSpan w:val="2"/>
            <w:shd w:val="clear" w:color="auto" w:fill="auto"/>
          </w:tcPr>
          <w:p>
            <w:pPr>
              <w:pStyle w:val="Yo5TextNotes"/>
              <w:rPr>
                <w:noProof/>
                <w:lang w:eastAsia="en-GB"/>
              </w:rPr>
            </w:pPr>
            <w:r>
              <w:rPr>
                <w:noProof/>
                <w:snapToGrid/>
                <w:lang w:val="en-US"/>
              </w:rPr>
              <w:drawing>
                <wp:inline distT="0" distB="0" distL="0" distR="0">
                  <wp:extent cx="6048375" cy="2447925"/>
                  <wp:effectExtent l="0" t="0" r="9525" b="9525"/>
                  <wp:docPr id="5" name="Picture 5" descr="\\s-eacea-fs03-p\EACEA.A7\Youth\04_Reports\a_EU_Youth_Reports\2018\03_graph\5_D_Prior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acea-fs03-p\EACEA.A7\Youth\04_Reports\a_EU_Youth_Reports\2018\03_graph\5_D_Priorities.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6048375" cy="2447925"/>
                          </a:xfrm>
                          <a:prstGeom prst="rect">
                            <a:avLst/>
                          </a:prstGeom>
                          <a:noFill/>
                          <a:ln>
                            <a:noFill/>
                          </a:ln>
                        </pic:spPr>
                      </pic:pic>
                    </a:graphicData>
                  </a:graphic>
                </wp:inline>
              </w:drawing>
            </w:r>
          </w:p>
        </w:tc>
      </w:tr>
      <w:tr>
        <w:trPr>
          <w:trHeight w:val="260"/>
        </w:trPr>
        <w:tc>
          <w:tcPr>
            <w:tcW w:w="4266" w:type="dxa"/>
            <w:shd w:val="clear" w:color="auto" w:fill="auto"/>
            <w:vAlign w:val="center"/>
          </w:tcPr>
          <w:p>
            <w:pPr>
              <w:pStyle w:val="Yo5TextbaseTable"/>
              <w:jc w:val="center"/>
              <w:rPr>
                <w:b/>
                <w:noProof/>
                <w:color w:val="000000"/>
                <w:sz w:val="14"/>
              </w:rPr>
            </w:pPr>
          </w:p>
        </w:tc>
        <w:tc>
          <w:tcPr>
            <w:tcW w:w="5765" w:type="dxa"/>
            <w:shd w:val="clear" w:color="auto" w:fill="auto"/>
            <w:vAlign w:val="center"/>
          </w:tcPr>
          <w:p>
            <w:pPr>
              <w:pStyle w:val="Yo5TextbaseTable"/>
              <w:jc w:val="center"/>
              <w:rPr>
                <w:b/>
                <w:noProof/>
                <w:color w:val="000000"/>
                <w:sz w:val="12"/>
              </w:rPr>
            </w:pPr>
          </w:p>
          <w:tbl>
            <w:tblPr>
              <w:tblW w:w="0" w:type="auto"/>
              <w:jc w:val="center"/>
              <w:tblLayout w:type="fixed"/>
              <w:tblLook w:val="04A0" w:firstRow="1" w:lastRow="0" w:firstColumn="1" w:lastColumn="0" w:noHBand="0" w:noVBand="1"/>
            </w:tblPr>
            <w:tblGrid>
              <w:gridCol w:w="432"/>
              <w:gridCol w:w="575"/>
              <w:gridCol w:w="432"/>
              <w:gridCol w:w="575"/>
              <w:gridCol w:w="432"/>
              <w:gridCol w:w="575"/>
            </w:tblGrid>
            <w:tr>
              <w:trPr>
                <w:trHeight w:val="260"/>
                <w:jc w:val="center"/>
              </w:trPr>
              <w:tc>
                <w:tcPr>
                  <w:tcW w:w="432" w:type="dxa"/>
                  <w:shd w:val="clear" w:color="auto" w:fill="auto"/>
                  <w:vAlign w:val="center"/>
                </w:tcPr>
                <w:p>
                  <w:pPr>
                    <w:pStyle w:val="Yo5TextNotes"/>
                    <w:jc w:val="left"/>
                    <w:rPr>
                      <w:noProof/>
                      <w:color w:val="000000"/>
                    </w:rPr>
                  </w:pPr>
                  <w:r>
                    <w:rPr>
                      <w:noProof/>
                      <w:snapToGrid/>
                      <w:color w:val="000000"/>
                      <w:lang w:val="en-US"/>
                    </w:rPr>
                    <w:drawing>
                      <wp:inline distT="0" distB="0" distL="0" distR="0">
                        <wp:extent cx="160020" cy="16002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tc>
              <w:tc>
                <w:tcPr>
                  <w:tcW w:w="575" w:type="dxa"/>
                  <w:shd w:val="clear" w:color="auto" w:fill="auto"/>
                  <w:vAlign w:val="center"/>
                </w:tcPr>
                <w:p>
                  <w:pPr>
                    <w:pStyle w:val="Yo5TextbaseTable"/>
                    <w:rPr>
                      <w:b/>
                      <w:noProof/>
                      <w:color w:val="000000"/>
                      <w:sz w:val="14"/>
                    </w:rPr>
                  </w:pPr>
                  <w:r>
                    <w:rPr>
                      <w:b/>
                      <w:noProof/>
                      <w:color w:val="000000"/>
                      <w:sz w:val="14"/>
                    </w:rPr>
                    <w:t>15-19</w:t>
                  </w:r>
                </w:p>
              </w:tc>
              <w:tc>
                <w:tcPr>
                  <w:tcW w:w="432" w:type="dxa"/>
                  <w:shd w:val="clear" w:color="auto" w:fill="auto"/>
                  <w:vAlign w:val="center"/>
                </w:tcPr>
                <w:p>
                  <w:pPr>
                    <w:pStyle w:val="Yo5TextbaseTable"/>
                    <w:rPr>
                      <w:b/>
                      <w:noProof/>
                      <w:color w:val="000000"/>
                      <w:sz w:val="14"/>
                    </w:rPr>
                  </w:pPr>
                  <w:r>
                    <w:rPr>
                      <w:b/>
                      <w:noProof/>
                      <w:snapToGrid/>
                      <w:color w:val="000000"/>
                      <w:sz w:val="14"/>
                    </w:rPr>
                    <w:drawing>
                      <wp:inline distT="0" distB="0" distL="0" distR="0">
                        <wp:extent cx="160020" cy="16002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tc>
              <w:tc>
                <w:tcPr>
                  <w:tcW w:w="575" w:type="dxa"/>
                  <w:shd w:val="clear" w:color="auto" w:fill="auto"/>
                  <w:vAlign w:val="center"/>
                </w:tcPr>
                <w:p>
                  <w:pPr>
                    <w:pStyle w:val="Yo5TextbaseTable"/>
                    <w:rPr>
                      <w:b/>
                      <w:noProof/>
                      <w:color w:val="000000"/>
                      <w:sz w:val="14"/>
                    </w:rPr>
                  </w:pPr>
                  <w:r>
                    <w:rPr>
                      <w:b/>
                      <w:noProof/>
                      <w:color w:val="000000"/>
                      <w:sz w:val="14"/>
                    </w:rPr>
                    <w:t>20-24</w:t>
                  </w:r>
                </w:p>
              </w:tc>
              <w:tc>
                <w:tcPr>
                  <w:tcW w:w="432" w:type="dxa"/>
                  <w:shd w:val="clear" w:color="auto" w:fill="auto"/>
                  <w:vAlign w:val="center"/>
                </w:tcPr>
                <w:p>
                  <w:pPr>
                    <w:pStyle w:val="Yo5TextbaseTable"/>
                    <w:rPr>
                      <w:noProof/>
                      <w:color w:val="000000"/>
                      <w:sz w:val="14"/>
                    </w:rPr>
                  </w:pPr>
                  <w:r>
                    <w:rPr>
                      <w:b/>
                      <w:noProof/>
                      <w:snapToGrid/>
                      <w:color w:val="000000"/>
                      <w:sz w:val="14"/>
                    </w:rPr>
                    <w:drawing>
                      <wp:inline distT="0" distB="0" distL="0" distR="0">
                        <wp:extent cx="160020" cy="16002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tc>
              <w:tc>
                <w:tcPr>
                  <w:tcW w:w="575" w:type="dxa"/>
                  <w:shd w:val="clear" w:color="auto" w:fill="auto"/>
                  <w:vAlign w:val="center"/>
                </w:tcPr>
                <w:p>
                  <w:pPr>
                    <w:pStyle w:val="Yo5TextbaseTable"/>
                    <w:rPr>
                      <w:noProof/>
                      <w:color w:val="000000"/>
                      <w:sz w:val="14"/>
                    </w:rPr>
                  </w:pPr>
                  <w:r>
                    <w:rPr>
                      <w:b/>
                      <w:noProof/>
                      <w:color w:val="000000"/>
                      <w:sz w:val="14"/>
                    </w:rPr>
                    <w:t>25-30</w:t>
                  </w:r>
                </w:p>
              </w:tc>
            </w:tr>
          </w:tbl>
          <w:p>
            <w:pPr>
              <w:pStyle w:val="Yo5TextbaseTable"/>
              <w:jc w:val="center"/>
              <w:rPr>
                <w:b/>
                <w:noProof/>
                <w:color w:val="000000"/>
                <w:sz w:val="14"/>
              </w:rPr>
            </w:pPr>
          </w:p>
        </w:tc>
      </w:tr>
      <w:tr>
        <w:trPr>
          <w:trHeight w:val="260"/>
        </w:trPr>
        <w:tc>
          <w:tcPr>
            <w:tcW w:w="10031" w:type="dxa"/>
            <w:gridSpan w:val="2"/>
            <w:shd w:val="clear" w:color="auto" w:fill="auto"/>
            <w:vAlign w:val="center"/>
          </w:tcPr>
          <w:p>
            <w:pPr>
              <w:pStyle w:val="Yo5TextNotesafter"/>
              <w:rPr>
                <w:noProof/>
                <w:lang w:eastAsia="en-GB"/>
              </w:rPr>
            </w:pPr>
            <w:r>
              <w:rPr>
                <w:i/>
                <w:noProof/>
                <w:lang w:eastAsia="en-GB"/>
              </w:rPr>
              <w:t>Notes</w:t>
            </w:r>
            <w:r>
              <w:rPr>
                <w:noProof/>
                <w:lang w:eastAsia="en-GB"/>
              </w:rPr>
              <w:t>: The question was: ‘In your opinion, which of the following topics should be a priority for the EU? (MAX. 3 ANSWERS). Base: All respondents. The chart does not show the share of respondents answering ‘I don't know’.</w:t>
            </w:r>
          </w:p>
          <w:p>
            <w:pPr>
              <w:pStyle w:val="Yo5TextNotes"/>
              <w:rPr>
                <w:noProof/>
                <w:color w:val="000000"/>
                <w:lang w:val="en-GB"/>
              </w:rPr>
            </w:pPr>
            <w:r>
              <w:rPr>
                <w:i/>
                <w:noProof/>
                <w:lang w:val="en-GB" w:eastAsia="en-GB"/>
              </w:rPr>
              <w:t>Source</w:t>
            </w:r>
            <w:r>
              <w:rPr>
                <w:noProof/>
                <w:lang w:val="en-GB" w:eastAsia="en-GB"/>
              </w:rPr>
              <w:t>: Flash Eurobarometer 455 'European Youth' (2017).</w:t>
            </w:r>
          </w:p>
        </w:tc>
      </w:tr>
    </w:tbl>
    <w:p>
      <w:pPr>
        <w:pStyle w:val="Yo1Textpara"/>
        <w:rPr>
          <w:noProof/>
        </w:rPr>
      </w:pPr>
      <w:r>
        <w:rPr>
          <w:noProof/>
        </w:rPr>
        <w:t>On the other hand, democratic participation is the issue considered the least important among those highlighted in the survey. Despite the fact that more young people identify themselves as European citizens, this does not seem to translate into the opinion that fostering democratic participation should be a priority for the EU. This counterintuitive result seems to be in line with what research has indicated as a predominantly 'efficiency-driven' concept of citizenship prevailing amongst the younger generations (</w:t>
      </w:r>
      <w:r>
        <w:rPr>
          <w:rStyle w:val="FootnoteReference"/>
          <w:noProof/>
        </w:rPr>
        <w:footnoteReference w:id="10"/>
      </w:r>
      <w:r>
        <w:rPr>
          <w:noProof/>
        </w:rPr>
        <w:t>). According to this notion, young people’s attachment to the EU is born out of the desire to see concrete improvements in their lives (for example, receiving quality education, living in a healthy environment and finding a job), rather than on the less tangible principle of democracy and its practicalities in terms of citizenship and electoral representation.</w:t>
      </w:r>
    </w:p>
    <w:p>
      <w:pPr>
        <w:pStyle w:val="Yo1Textpara"/>
        <w:rPr>
          <w:noProof/>
        </w:rPr>
      </w:pPr>
      <w:r>
        <w:rPr>
          <w:noProof/>
        </w:rPr>
        <w:t xml:space="preserve">All in all, the data described so far reveal young people’s sound interest in politics and their strong European identity. These factors, paired with the low level of priority given to democratic participation, create the basis for understanding the actual forms of civic and political engagement favoured by young Europeans, which are discussed in the next sections. </w:t>
      </w:r>
    </w:p>
    <w:p>
      <w:pPr>
        <w:pStyle w:val="Yo0H2"/>
        <w:spacing w:after="0"/>
        <w:jc w:val="left"/>
        <w:rPr>
          <w:b w:val="0"/>
          <w:noProof/>
          <w:sz w:val="28"/>
          <w:szCs w:val="28"/>
        </w:rPr>
      </w:pPr>
      <w:r>
        <w:rPr>
          <w:bCs w:val="0"/>
          <w:caps w:val="0"/>
          <w:noProof/>
          <w:sz w:val="28"/>
          <w:szCs w:val="28"/>
        </w:rPr>
        <w:br w:type="page"/>
      </w:r>
      <w:r>
        <w:rPr>
          <w:b w:val="0"/>
          <w:noProof/>
          <w:sz w:val="28"/>
          <w:szCs w:val="28"/>
        </w:rPr>
        <w:t>5.3. Young people's participation in representative democracy: voting and joining a political party</w:t>
      </w:r>
    </w:p>
    <w:tbl>
      <w:tblPr>
        <w:tblpPr w:leftFromText="181" w:rightFromText="181" w:vertAnchor="text" w:horzAnchor="margin" w:tblpXSpec="right" w:tblpY="605"/>
        <w:tblOverlap w:val="never"/>
        <w:tblW w:w="0" w:type="auto"/>
        <w:shd w:val="clear" w:color="auto" w:fill="E5B8B7"/>
        <w:tblCellMar>
          <w:top w:w="28" w:type="dxa"/>
          <w:left w:w="142" w:type="dxa"/>
          <w:bottom w:w="28" w:type="dxa"/>
          <w:right w:w="142" w:type="dxa"/>
        </w:tblCellMar>
        <w:tblLook w:val="04A0" w:firstRow="1" w:lastRow="0" w:firstColumn="1" w:lastColumn="0" w:noHBand="0" w:noVBand="1"/>
      </w:tblPr>
      <w:tblGrid>
        <w:gridCol w:w="2836"/>
      </w:tblGrid>
      <w:tr>
        <w:trPr>
          <w:trHeight w:val="722"/>
        </w:trPr>
        <w:tc>
          <w:tcPr>
            <w:tcW w:w="2836" w:type="dxa"/>
            <w:shd w:val="clear" w:color="auto" w:fill="FFA3A4"/>
          </w:tcPr>
          <w:p>
            <w:pPr>
              <w:pStyle w:val="Yo12Encart"/>
              <w:jc w:val="left"/>
              <w:rPr>
                <w:rFonts w:ascii="Arial Narrow" w:hAnsi="Arial Narrow"/>
                <w:i w:val="0"/>
                <w:noProof/>
                <w:sz w:val="22"/>
                <w:szCs w:val="22"/>
              </w:rPr>
            </w:pPr>
            <w:r>
              <w:rPr>
                <w:rFonts w:ascii="Arial Narrow" w:hAnsi="Arial Narrow"/>
                <w:i w:val="0"/>
                <w:noProof/>
                <w:sz w:val="22"/>
                <w:szCs w:val="22"/>
              </w:rPr>
              <w:t xml:space="preserve">Electoral turnout amongst young Europeans continues to decline. </w:t>
            </w:r>
          </w:p>
        </w:tc>
      </w:tr>
    </w:tbl>
    <w:p>
      <w:pPr>
        <w:pStyle w:val="Yo1Textpara"/>
        <w:rPr>
          <w:noProof/>
        </w:rPr>
      </w:pPr>
      <w:r>
        <w:rPr>
          <w:noProof/>
        </w:rPr>
        <w:t xml:space="preserve">Genuine elections with political parties competing on alternative political programmes provide the basis for the functioning of representative democracy. Choosing between the programmes of various parties and candidates, and selecting representatives for public office are the basic actions through which citizens participate in the management of public affairs. This is why election turnout is usually referred to as a relevant measure of citizens' participation. </w:t>
      </w:r>
    </w:p>
    <w:p>
      <w:pPr>
        <w:pStyle w:val="Yo1Textpara"/>
        <w:rPr>
          <w:noProof/>
          <w:lang w:val="en-US"/>
        </w:rPr>
      </w:pPr>
      <w:r>
        <w:rPr>
          <w:noProof/>
        </w:rPr>
        <w:t xml:space="preserve">On average, 74 % </w:t>
      </w:r>
      <w:r>
        <w:rPr>
          <w:noProof/>
          <w:lang w:val="en-US"/>
        </w:rPr>
        <w:t xml:space="preserve">of young Europeans report having participated in elections at the local, regional, national or European level during the three years preceding the survey </w:t>
      </w:r>
      <w:r>
        <w:rPr>
          <w:noProof/>
          <w:lang w:val="en-US"/>
        </w:rPr>
        <w:sym w:font="Symbol" w:char="F02D"/>
      </w:r>
      <w:r>
        <w:rPr>
          <w:noProof/>
          <w:lang w:val="en-US"/>
        </w:rPr>
        <w:t xml:space="preserve"> the results of which are illustrated in Figure 5-E. While in some countries the turnout is very high (at least 80 % in Italy, Malta, Austria, and Poland), in Ireland, Cyprus and Luxembourg, less than half of the youth population entitled to vote actually did so in recent elections. The case of Cyprus and Luxembourg is all the more noteworthy as they are amongst the countries in the European Union where voting is compulsory </w:t>
      </w:r>
      <w:r>
        <w:rPr>
          <w:noProof/>
        </w:rPr>
        <w:t>(</w:t>
      </w:r>
      <w:r>
        <w:rPr>
          <w:rStyle w:val="FootnoteReference"/>
          <w:noProof/>
        </w:rPr>
        <w:footnoteReference w:id="11"/>
      </w:r>
      <w:r>
        <w:rPr>
          <w:noProof/>
        </w:rPr>
        <w:t>).</w:t>
      </w:r>
    </w:p>
    <w:p>
      <w:pPr>
        <w:pStyle w:val="Yo1Textpara"/>
        <w:rPr>
          <w:rFonts w:ascii="Verdana" w:eastAsia="Cambria" w:hAnsi="Verdana" w:cs="Calibri"/>
          <w:bCs/>
          <w:noProof/>
          <w:color w:val="7F7F7F"/>
          <w:w w:val="80"/>
          <w:szCs w:val="22"/>
          <w:lang w:eastAsia="en-US"/>
        </w:rPr>
      </w:pPr>
      <w:r>
        <w:rPr>
          <w:rFonts w:ascii="Verdana" w:eastAsia="Cambria" w:hAnsi="Verdana" w:cs="Calibri"/>
          <w:b/>
          <w:bCs/>
          <w:noProof/>
          <w:color w:val="7F7F7F"/>
          <w:w w:val="80"/>
          <w:szCs w:val="22"/>
          <w:lang w:eastAsia="en-US"/>
        </w:rPr>
        <w:t>Figure 5-E</w:t>
      </w:r>
      <w:r>
        <w:rPr>
          <w:rFonts w:ascii="Verdana" w:eastAsia="Cambria" w:hAnsi="Verdana" w:cs="Calibri"/>
          <w:bCs/>
          <w:noProof/>
          <w:color w:val="7F7F7F"/>
          <w:w w:val="80"/>
          <w:szCs w:val="22"/>
          <w:lang w:eastAsia="en-US"/>
        </w:rPr>
        <w:t>: Participation of young people (aged 15-30) in elections at the local, regional, national or EU level, by country, 2011 and 2017, and by sex, 2017</w:t>
      </w:r>
    </w:p>
    <w:tbl>
      <w:tblPr>
        <w:tblpPr w:leftFromText="180" w:rightFromText="180" w:vertAnchor="text" w:horzAnchor="margin" w:tblpX="-459" w:tblpY="106"/>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534"/>
        <w:gridCol w:w="9956"/>
      </w:tblGrid>
      <w:tr>
        <w:trPr>
          <w:trHeight w:val="2667"/>
        </w:trPr>
        <w:tc>
          <w:tcPr>
            <w:tcW w:w="534" w:type="dxa"/>
            <w:tcBorders>
              <w:bottom w:val="single" w:sz="4" w:space="0" w:color="auto"/>
            </w:tcBorders>
            <w:shd w:val="clear" w:color="auto" w:fill="FB5F5F"/>
            <w:textDirection w:val="btLr"/>
            <w:vAlign w:val="bottom"/>
          </w:tcPr>
          <w:p>
            <w:pPr>
              <w:pStyle w:val="Yo13YouthIndicator"/>
              <w:jc w:val="center"/>
              <w:rPr>
                <w:noProof/>
                <w:lang w:eastAsia="fr-BE"/>
              </w:rPr>
            </w:pPr>
            <w:r>
              <w:rPr>
                <w:noProof/>
              </w:rPr>
              <w:t>EU youth indicator</w:t>
            </w:r>
          </w:p>
        </w:tc>
        <w:tc>
          <w:tcPr>
            <w:tcW w:w="9956" w:type="dxa"/>
            <w:tcBorders>
              <w:bottom w:val="single" w:sz="4" w:space="0" w:color="auto"/>
            </w:tcBorders>
            <w:shd w:val="clear" w:color="auto" w:fill="auto"/>
          </w:tcPr>
          <w:p>
            <w:pPr>
              <w:pStyle w:val="Yo5TextNotes"/>
              <w:tabs>
                <w:tab w:val="clear" w:pos="1985"/>
                <w:tab w:val="left" w:pos="9248"/>
              </w:tabs>
              <w:ind w:left="176"/>
              <w:rPr>
                <w:noProof/>
                <w:lang w:eastAsia="en-GB"/>
              </w:rPr>
            </w:pPr>
            <w:r>
              <w:rPr>
                <w:noProof/>
                <w:lang w:eastAsia="en-GB"/>
              </w:rPr>
              <w:t>%                                                                                                                                                                                %</w:t>
            </w:r>
          </w:p>
          <w:p>
            <w:pPr>
              <w:pStyle w:val="Yo5TextNotesafter"/>
              <w:rPr>
                <w:noProof/>
                <w:sz w:val="16"/>
              </w:rPr>
            </w:pPr>
            <w:r>
              <w:rPr>
                <w:noProof/>
                <w:snapToGrid/>
              </w:rPr>
              <mc:AlternateContent>
                <mc:Choice Requires="wps">
                  <w:drawing>
                    <wp:anchor distT="0" distB="0" distL="114300" distR="114300" simplePos="0" relativeHeight="251689984" behindDoc="0" locked="0" layoutInCell="1" allowOverlap="1">
                      <wp:simplePos x="0" y="0"/>
                      <wp:positionH relativeFrom="column">
                        <wp:posOffset>4417060</wp:posOffset>
                      </wp:positionH>
                      <wp:positionV relativeFrom="paragraph">
                        <wp:posOffset>173355</wp:posOffset>
                      </wp:positionV>
                      <wp:extent cx="1320800" cy="987425"/>
                      <wp:effectExtent l="0" t="1905" r="0" b="127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98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after="0"/>
                                    <w:ind w:left="-567"/>
                                    <w:jc w:val="center"/>
                                    <w:rPr>
                                      <w:lang w:val="en-GB"/>
                                    </w:rPr>
                                  </w:pPr>
                                  <w:r>
                                    <w:rPr>
                                      <w:noProof/>
                                      <w:lang w:val="en-US"/>
                                    </w:rPr>
                                    <w:drawing>
                                      <wp:inline distT="0" distB="0" distL="0" distR="0">
                                        <wp:extent cx="933450" cy="981075"/>
                                        <wp:effectExtent l="0" t="0" r="0" b="9525"/>
                                        <wp:docPr id="47" name="Picture 47" descr="\\s-eacea-fs03-p\EACEA.A7\Youth\04_Reports\a_EU_Youth_Reports\2018\03_graph\5_E_Voting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acea-fs03-p\EACEA.A7\Youth\04_Reports\a_EU_Youth_Reports\2018\03_graph\5_E_Voting_gender.jp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933450" cy="981075"/>
                                                </a:xfrm>
                                                <a:prstGeom prst="rect">
                                                  <a:avLst/>
                                                </a:prstGeom>
                                                <a:noFill/>
                                                <a:ln>
                                                  <a:noFill/>
                                                </a:ln>
                                              </pic:spPr>
                                            </pic:pic>
                                          </a:graphicData>
                                        </a:graphic>
                                      </wp:inline>
                                    </w:drawing>
                                  </w:r>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7.8pt;margin-top:13.65pt;width:104pt;height:7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" filled="f" stroked="f">
                      <v:textbox inset=".5mm,0,.5mm,0">
                        <w:txbxContent>
                          <w:p>
                            <w:pPr>
                              <w:spacing w:after="0"/>
                              <w:ind w:left="-567"/>
                              <w:jc w:val="center"/>
                              <w:rPr>
                                <w:lang w:val="en-GB"/>
                              </w:rPr>
                            </w:pPr>
                            <w:r>
                              <w:rPr>
                                <w:noProof/>
                                <w:lang w:val="en-US"/>
                              </w:rPr>
                              <w:drawing>
                                <wp:inline distT="0" distB="0" distL="0" distR="0">
                                  <wp:extent cx="933450" cy="981075"/>
                                  <wp:effectExtent l="0" t="0" r="0" b="9525"/>
                                  <wp:docPr id="47" name="Picture 47" descr="\\s-eacea-fs03-p\EACEA.A7\Youth\04_Reports\a_EU_Youth_Reports\2018\03_graph\5_E_Voting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acea-fs03-p\EACEA.A7\Youth\04_Reports\a_EU_Youth_Reports\2018\03_graph\5_E_Voting_gender.jp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933450" cy="981075"/>
                                          </a:xfrm>
                                          <a:prstGeom prst="rect">
                                            <a:avLst/>
                                          </a:prstGeom>
                                          <a:noFill/>
                                          <a:ln>
                                            <a:noFill/>
                                          </a:ln>
                                        </pic:spPr>
                                      </pic:pic>
                                    </a:graphicData>
                                  </a:graphic>
                                </wp:inline>
                              </w:drawing>
                            </w:r>
                          </w:p>
                        </w:txbxContent>
                      </v:textbox>
                    </v:shape>
                  </w:pict>
                </mc:Fallback>
              </mc:AlternateContent>
            </w:r>
            <w:r>
              <w:rPr>
                <w:noProof/>
                <w:snapToGrid/>
                <w:sz w:val="16"/>
              </w:rPr>
              <w:drawing>
                <wp:inline distT="0" distB="0" distL="0" distR="0">
                  <wp:extent cx="5886450" cy="1857375"/>
                  <wp:effectExtent l="0" t="0" r="0" b="9525"/>
                  <wp:docPr id="9" name="Picture 9" descr="\\s-eacea-fs03-p\EACEA.A7\Youth\04_Reports\a_EU_Youth_Reports\2018\03_graph\7_E_vo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cea-fs03-p\EACEA.A7\Youth\04_Reports\a_EU_Youth_Reports\2018\03_graph\7_E_voting.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5886450" cy="1857375"/>
                          </a:xfrm>
                          <a:prstGeom prst="rect">
                            <a:avLst/>
                          </a:prstGeom>
                          <a:noFill/>
                          <a:ln>
                            <a:noFill/>
                          </a:ln>
                        </pic:spPr>
                      </pic:pic>
                    </a:graphicData>
                  </a:graphic>
                </wp:inline>
              </w:drawing>
            </w:r>
          </w:p>
        </w:tc>
      </w:tr>
    </w:tbl>
    <w:p>
      <w:pPr>
        <w:pStyle w:val="Yo5TitleNotes"/>
        <w:rPr>
          <w:b w:val="0"/>
          <w:bCs w:val="0"/>
          <w:noProof/>
          <w:snapToGrid w:val="0"/>
          <w:color w:val="auto"/>
          <w:sz w:val="14"/>
          <w:szCs w:val="16"/>
          <w:u w:val="none"/>
          <w:lang w:val="en-US" w:eastAsia="en-GB"/>
        </w:rPr>
      </w:pPr>
      <w:r>
        <w:rPr>
          <w:b w:val="0"/>
          <w:bCs w:val="0"/>
          <w:i/>
          <w:noProof/>
          <w:snapToGrid w:val="0"/>
          <w:color w:val="auto"/>
          <w:sz w:val="14"/>
          <w:szCs w:val="16"/>
          <w:u w:val="none"/>
          <w:lang w:val="en-US" w:eastAsia="en-GB"/>
        </w:rPr>
        <w:t>Notes</w:t>
      </w:r>
      <w:r>
        <w:rPr>
          <w:b w:val="0"/>
          <w:bCs w:val="0"/>
          <w:noProof/>
          <w:snapToGrid w:val="0"/>
          <w:color w:val="auto"/>
          <w:sz w:val="14"/>
          <w:szCs w:val="16"/>
          <w:u w:val="none"/>
          <w:lang w:val="en-US" w:eastAsia="en-GB"/>
        </w:rPr>
        <w:t>: The question was ‘During the last 3 years, did you vote in any political election at the local, regional, national or EU level? If you were, at that time, not eligible to vote, please say so’. Base: respondents who were eligible to vote at the time of the election. EU-27 (2011) and EU-28 (2017).</w:t>
      </w:r>
    </w:p>
    <w:p>
      <w:pPr>
        <w:pStyle w:val="Yo5TextNotesbeforeafter"/>
        <w:rPr>
          <w:b/>
          <w:noProof/>
          <w:lang w:val="en-GB"/>
        </w:rPr>
      </w:pPr>
      <w:r>
        <w:rPr>
          <w:i/>
          <w:noProof/>
          <w:lang w:val="en-GB" w:eastAsia="en-GB"/>
        </w:rPr>
        <w:t>Source</w:t>
      </w:r>
      <w:r>
        <w:rPr>
          <w:noProof/>
          <w:lang w:val="en-GB" w:eastAsia="en-GB"/>
        </w:rPr>
        <w:t>: 2011 Flash Eurobarometer 319 ‘Youth on the Move’; 2017 Flash Eurobarometer 455 'European Youth'.</w:t>
      </w:r>
    </w:p>
    <w:p>
      <w:pPr>
        <w:pStyle w:val="Yo1Textpara"/>
        <w:rPr>
          <w:noProof/>
        </w:rPr>
      </w:pPr>
      <w:r>
        <w:rPr>
          <w:noProof/>
          <w:lang w:val="en-US"/>
        </w:rPr>
        <w:t>Data also indicate a general decrease across Europe since 2011in the electoral turnout among young people.</w:t>
      </w:r>
      <w:r>
        <w:rPr>
          <w:noProof/>
        </w:rPr>
        <w:t xml:space="preserve"> A comparison of the EU-27 averages in 2011 and 2017 show a substantial fall from 79 % in 2011 to 68 % in 2017 (the inclusion of Croatia, which reports a high turnout in 2017, reduces the magnitude of the decline). This trend, common to the majority of EU Member States, is particularly marked in Belgium and Cyprus, where the turnout fell by over 40 %. Significant decreases of approximately 30 % were registered in Ireland, Hungary and Luxembourg. Very few countries have resisted this trend. Among these, Lithuania stands out with an increase in turnout of 36 %. Spain and Italy follow at some distance with 10% more young citizens voting in elections since 2011. On average, young men report slightly higher percentages of turnout than women (75 % and 71 % respectively), in line with similar trends in the general population (</w:t>
      </w:r>
      <w:r>
        <w:rPr>
          <w:rStyle w:val="FootnoteReference"/>
          <w:noProof/>
        </w:rPr>
        <w:footnoteReference w:id="12"/>
      </w:r>
      <w:r>
        <w:rPr>
          <w:noProof/>
        </w:rPr>
        <w:t>).</w:t>
      </w:r>
    </w:p>
    <w:tbl>
      <w:tblPr>
        <w:tblpPr w:leftFromText="180" w:rightFromText="180" w:vertAnchor="text" w:horzAnchor="margin" w:tblpXSpec="right" w:tblpY="200"/>
        <w:tblOverlap w:val="never"/>
        <w:tblW w:w="0" w:type="auto"/>
        <w:tblLayout w:type="fixed"/>
        <w:tblLook w:val="04A0" w:firstRow="1" w:lastRow="0" w:firstColumn="1" w:lastColumn="0" w:noHBand="0" w:noVBand="1"/>
      </w:tblPr>
      <w:tblGrid>
        <w:gridCol w:w="5495"/>
      </w:tblGrid>
      <w:tr>
        <w:trPr>
          <w:trHeight w:val="230"/>
        </w:trPr>
        <w:tc>
          <w:tcPr>
            <w:tcW w:w="5495" w:type="dxa"/>
            <w:shd w:val="clear" w:color="auto" w:fill="auto"/>
          </w:tcPr>
          <w:p>
            <w:pPr>
              <w:pStyle w:val="Yo5TextNotes"/>
              <w:tabs>
                <w:tab w:val="clear" w:pos="1985"/>
                <w:tab w:val="right" w:pos="4995"/>
              </w:tabs>
              <w:rPr>
                <w:noProof/>
                <w:lang w:val="en-GB"/>
              </w:rPr>
            </w:pPr>
            <w:r>
              <w:rPr>
                <w:rFonts w:eastAsia="Cambria" w:cs="Calibri"/>
                <w:b/>
                <w:bCs/>
                <w:noProof/>
                <w:snapToGrid/>
                <w:color w:val="7F7F7F"/>
                <w:w w:val="80"/>
                <w:sz w:val="22"/>
                <w:szCs w:val="22"/>
                <w:lang w:val="en-GB"/>
              </w:rPr>
              <w:t xml:space="preserve">Figure 5-F: </w:t>
            </w:r>
            <w:r>
              <w:rPr>
                <w:noProof/>
                <w:lang w:val="en-GB"/>
              </w:rPr>
              <w:t xml:space="preserve"> </w:t>
            </w:r>
            <w:r>
              <w:rPr>
                <w:rFonts w:eastAsia="Cambria" w:cs="Calibri"/>
                <w:bCs/>
                <w:noProof/>
                <w:snapToGrid/>
                <w:color w:val="7F7F7F"/>
                <w:w w:val="80"/>
                <w:sz w:val="22"/>
                <w:szCs w:val="22"/>
                <w:lang w:val="en-GB"/>
              </w:rPr>
              <w:t>Participation of young people (aged 15-30) by type of election, EU-28 average, 2017</w:t>
            </w:r>
          </w:p>
        </w:tc>
      </w:tr>
      <w:tr>
        <w:trPr>
          <w:trHeight w:val="3577"/>
        </w:trPr>
        <w:tc>
          <w:tcPr>
            <w:tcW w:w="5495" w:type="dxa"/>
            <w:shd w:val="clear" w:color="auto" w:fill="auto"/>
          </w:tcPr>
          <w:p>
            <w:pPr>
              <w:pStyle w:val="Yo5TextNotes"/>
              <w:rPr>
                <w:noProof/>
                <w:lang w:val="en-GB" w:eastAsia="en-GB"/>
              </w:rPr>
            </w:pPr>
          </w:p>
          <w:p>
            <w:pPr>
              <w:pStyle w:val="Yo5TextNotes"/>
              <w:rPr>
                <w:noProof/>
                <w:lang w:eastAsia="en-GB"/>
              </w:rPr>
            </w:pPr>
            <w:r>
              <w:rPr>
                <w:noProof/>
                <w:snapToGrid/>
                <w:lang w:val="en-US"/>
              </w:rPr>
              <w:drawing>
                <wp:inline distT="0" distB="0" distL="0" distR="0">
                  <wp:extent cx="3371850" cy="2124075"/>
                  <wp:effectExtent l="0" t="0" r="0" b="9525"/>
                  <wp:docPr id="10" name="Picture 10" descr="\\s-eacea-fs03-p\EACEA.A7\Youth\04_Reports\a_EU_Youth_Reports\2018\03_graph\5_F_voting_by_e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cea-fs03-p\EACEA.A7\Youth\04_Reports\a_EU_Youth_Reports\2018\03_graph\5_F_voting_by_election.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371850" cy="2124075"/>
                          </a:xfrm>
                          <a:prstGeom prst="rect">
                            <a:avLst/>
                          </a:prstGeom>
                          <a:noFill/>
                          <a:ln>
                            <a:noFill/>
                          </a:ln>
                        </pic:spPr>
                      </pic:pic>
                    </a:graphicData>
                  </a:graphic>
                </wp:inline>
              </w:drawing>
            </w:r>
          </w:p>
        </w:tc>
      </w:tr>
      <w:tr>
        <w:trPr>
          <w:trHeight w:val="223"/>
        </w:trPr>
        <w:tc>
          <w:tcPr>
            <w:tcW w:w="5495" w:type="dxa"/>
            <w:shd w:val="clear" w:color="auto" w:fill="auto"/>
            <w:vAlign w:val="center"/>
          </w:tcPr>
          <w:p>
            <w:pPr>
              <w:pStyle w:val="Yo5TextNotesafter"/>
              <w:rPr>
                <w:noProof/>
                <w:lang w:eastAsia="en-GB"/>
              </w:rPr>
            </w:pPr>
            <w:r>
              <w:rPr>
                <w:i/>
                <w:noProof/>
                <w:lang w:eastAsia="en-GB"/>
              </w:rPr>
              <w:t>Notes</w:t>
            </w:r>
            <w:r>
              <w:rPr>
                <w:noProof/>
                <w:lang w:eastAsia="en-GB"/>
              </w:rPr>
              <w:t xml:space="preserve">: The question was: ‘During the last 3 years, did you vote in any political election at the local, regional, national or EU level? If you were, at that time, not eligible to vote, please say so’. Base: respondents who were eligible to vote at the time of the election. </w:t>
            </w:r>
          </w:p>
          <w:p>
            <w:pPr>
              <w:pStyle w:val="Yo5TextNotesafter"/>
              <w:rPr>
                <w:noProof/>
                <w:lang w:eastAsia="en-GB"/>
              </w:rPr>
            </w:pPr>
            <w:r>
              <w:rPr>
                <w:noProof/>
                <w:lang w:eastAsia="en-GB"/>
              </w:rPr>
              <w:t xml:space="preserve">The survey was conducted in August 2017, therefore respondents' answers could in principle exclude the European elections of May 2014. However, the level of positive answers (25%) is similar to that registered by another survey conducted in the aftermath of the EU vote (28%). Data reported can therefore be considered to depict a reliable picture of youth participation. </w:t>
            </w:r>
          </w:p>
          <w:p>
            <w:pPr>
              <w:pStyle w:val="Yo5TextNotes"/>
              <w:rPr>
                <w:noProof/>
                <w:color w:val="000000"/>
                <w:lang w:val="en-GB"/>
              </w:rPr>
            </w:pPr>
            <w:r>
              <w:rPr>
                <w:i/>
                <w:noProof/>
                <w:lang w:val="en-GB" w:eastAsia="en-GB"/>
              </w:rPr>
              <w:t>Source</w:t>
            </w:r>
            <w:r>
              <w:rPr>
                <w:noProof/>
                <w:lang w:val="en-GB" w:eastAsia="en-GB"/>
              </w:rPr>
              <w:t>: Flash Eurobarometer 455 'European Youth' (2017)</w:t>
            </w:r>
          </w:p>
        </w:tc>
      </w:tr>
    </w:tbl>
    <w:p>
      <w:pPr>
        <w:pStyle w:val="Yo1Textpara"/>
        <w:widowControl w:val="0"/>
        <w:rPr>
          <w:noProof/>
        </w:rPr>
      </w:pPr>
      <w:r>
        <w:rPr>
          <w:noProof/>
        </w:rPr>
        <w:t>Research literature has long since documented a variety of factors combining to influence voting turnout amongst younger as well as older voters (including the level of educational attainment, family income, and exposure to political conversations and exchanges) (</w:t>
      </w:r>
      <w:r>
        <w:rPr>
          <w:rStyle w:val="FootnoteReference"/>
          <w:noProof/>
        </w:rPr>
        <w:footnoteReference w:id="13"/>
      </w:r>
      <w:r>
        <w:rPr>
          <w:noProof/>
        </w:rPr>
        <w:t>). Current research being conducted on the issue of youth voting patterns is pointing towards an additional element: although young people do believe voting to be an important means of participation, they often choose to abstain because they do not think that politicians running at elections nor the issues debated during the campaigns sufficiently address their concerns (</w:t>
      </w:r>
      <w:r>
        <w:rPr>
          <w:rStyle w:val="FootnoteReference"/>
          <w:noProof/>
        </w:rPr>
        <w:footnoteReference w:id="14"/>
      </w:r>
      <w:r>
        <w:rPr>
          <w:noProof/>
        </w:rPr>
        <w:t>). Rather than lacking interest in politics, it may be that young people are not attracted by the choices on offer at elections. This might prove to be the case especially at EU level. Indeed, compared to other elections (local, regional and national), the general turnout amongst young voters is lowest at European level (Figure 5-F). In 2014, only about a quarter of young Europeans eligible to vote contributed to electing the European Parliament. A survey conducted by the Parliament just after the EU vote in May 2014 confirmed this ratio and indicated that older age groups voted in much higher proportions (for example, 51 % of citizens aged 55 years or older reported casting their vote) (</w:t>
      </w:r>
      <w:r>
        <w:rPr>
          <w:rStyle w:val="FootnoteReference"/>
          <w:noProof/>
        </w:rPr>
        <w:footnoteReference w:id="15"/>
      </w:r>
      <w:r>
        <w:rPr>
          <w:noProof/>
        </w:rPr>
        <w:t xml:space="preserve">). </w:t>
      </w:r>
    </w:p>
    <w:p>
      <w:pPr>
        <w:pStyle w:val="Yo1Textpara"/>
        <w:widowControl w:val="0"/>
        <w:rPr>
          <w:noProof/>
          <w:highlight w:val="yellow"/>
        </w:rPr>
      </w:pPr>
      <w:r>
        <w:rPr>
          <w:noProof/>
        </w:rPr>
        <w:t xml:space="preserve">At EU level, younger representatives are also few. The proportion of Members of the European Parliament aged 30 or under is indeed very small and has decreased since 2009 (Figure 5-G). </w:t>
      </w:r>
    </w:p>
    <w:p>
      <w:pPr>
        <w:pStyle w:val="Yo1Textpara"/>
        <w:widowControl w:val="0"/>
        <w:rPr>
          <w:rFonts w:ascii="Verdana" w:eastAsia="Cambria" w:hAnsi="Verdana" w:cs="Calibri"/>
          <w:b/>
          <w:bCs/>
          <w:noProof/>
          <w:color w:val="7F7F7F"/>
          <w:w w:val="80"/>
          <w:szCs w:val="22"/>
          <w:lang w:eastAsia="en-US"/>
        </w:rPr>
      </w:pPr>
      <w:r>
        <w:rPr>
          <w:rFonts w:ascii="Verdana" w:eastAsia="Cambria" w:hAnsi="Verdana" w:cs="Calibri"/>
          <w:b/>
          <w:bCs/>
          <w:noProof/>
          <w:color w:val="7F7F7F"/>
          <w:w w:val="80"/>
          <w:szCs w:val="22"/>
          <w:lang w:eastAsia="en-US"/>
        </w:rPr>
        <w:br w:type="page"/>
        <w:t>Figure 5-G</w:t>
      </w:r>
      <w:r>
        <w:rPr>
          <w:rFonts w:ascii="Verdana" w:eastAsia="Cambria" w:hAnsi="Verdana" w:cs="Calibri"/>
          <w:bCs/>
          <w:noProof/>
          <w:color w:val="7F7F7F"/>
          <w:w w:val="80"/>
          <w:szCs w:val="22"/>
          <w:lang w:eastAsia="en-US"/>
        </w:rPr>
        <w:t>: Members of the European Parliament aged 30 or under, 2009 and 2014</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567"/>
        <w:gridCol w:w="955"/>
        <w:gridCol w:w="1030"/>
        <w:gridCol w:w="2977"/>
        <w:gridCol w:w="708"/>
        <w:gridCol w:w="4111"/>
      </w:tblGrid>
      <w:tr>
        <w:trPr>
          <w:trHeight w:val="183"/>
        </w:trPr>
        <w:tc>
          <w:tcPr>
            <w:tcW w:w="567" w:type="dxa"/>
            <w:vMerge w:val="restart"/>
            <w:tcBorders>
              <w:top w:val="single" w:sz="4" w:space="0" w:color="auto"/>
              <w:right w:val="single" w:sz="4" w:space="0" w:color="auto"/>
            </w:tcBorders>
            <w:shd w:val="clear" w:color="auto" w:fill="FB5F5F"/>
            <w:textDirection w:val="btLr"/>
            <w:vAlign w:val="bottom"/>
          </w:tcPr>
          <w:p>
            <w:pPr>
              <w:pStyle w:val="Yo13YouthIndicator"/>
              <w:jc w:val="center"/>
              <w:rPr>
                <w:noProof/>
              </w:rPr>
            </w:pPr>
            <w:r>
              <w:rPr>
                <w:noProof/>
              </w:rPr>
              <w:t>EU youth indicator</w:t>
            </w:r>
          </w:p>
        </w:tc>
        <w:tc>
          <w:tcPr>
            <w:tcW w:w="4962" w:type="dxa"/>
            <w:gridSpan w:val="3"/>
            <w:tcBorders>
              <w:top w:val="single" w:sz="4" w:space="0" w:color="auto"/>
              <w:left w:val="single" w:sz="4" w:space="0" w:color="auto"/>
              <w:bottom w:val="nil"/>
              <w:right w:val="nil"/>
            </w:tcBorders>
            <w:shd w:val="clear" w:color="auto" w:fill="auto"/>
          </w:tcPr>
          <w:p>
            <w:pPr>
              <w:pStyle w:val="Yo5TextNotes"/>
              <w:tabs>
                <w:tab w:val="clear" w:pos="1985"/>
                <w:tab w:val="left" w:pos="4570"/>
              </w:tabs>
              <w:ind w:left="176"/>
              <w:jc w:val="center"/>
              <w:rPr>
                <w:b/>
                <w:noProof/>
                <w:sz w:val="16"/>
                <w:lang w:eastAsia="en-GB"/>
              </w:rPr>
            </w:pPr>
            <w:r>
              <w:rPr>
                <w:b/>
                <w:noProof/>
                <w:sz w:val="16"/>
                <w:lang w:eastAsia="en-GB"/>
              </w:rPr>
              <w:t>2009</w:t>
            </w:r>
          </w:p>
        </w:tc>
        <w:tc>
          <w:tcPr>
            <w:tcW w:w="4819" w:type="dxa"/>
            <w:gridSpan w:val="2"/>
            <w:tcBorders>
              <w:top w:val="single" w:sz="4" w:space="0" w:color="auto"/>
              <w:left w:val="nil"/>
              <w:bottom w:val="nil"/>
              <w:right w:val="single" w:sz="4" w:space="0" w:color="auto"/>
            </w:tcBorders>
            <w:shd w:val="clear" w:color="auto" w:fill="auto"/>
          </w:tcPr>
          <w:p>
            <w:pPr>
              <w:pStyle w:val="Yo5TextNotesafter"/>
              <w:jc w:val="center"/>
              <w:rPr>
                <w:b/>
                <w:noProof/>
                <w:sz w:val="16"/>
              </w:rPr>
            </w:pPr>
            <w:r>
              <w:rPr>
                <w:b/>
                <w:noProof/>
                <w:sz w:val="16"/>
              </w:rPr>
              <w:t>2014</w:t>
            </w:r>
          </w:p>
        </w:tc>
      </w:tr>
      <w:tr>
        <w:trPr>
          <w:trHeight w:val="2129"/>
        </w:trPr>
        <w:tc>
          <w:tcPr>
            <w:tcW w:w="567" w:type="dxa"/>
            <w:vMerge/>
            <w:tcBorders>
              <w:right w:val="single" w:sz="4" w:space="0" w:color="auto"/>
            </w:tcBorders>
            <w:shd w:val="clear" w:color="auto" w:fill="FB5F5F"/>
            <w:textDirection w:val="btLr"/>
            <w:vAlign w:val="bottom"/>
          </w:tcPr>
          <w:p>
            <w:pPr>
              <w:pStyle w:val="Yo13YouthIndicator"/>
              <w:jc w:val="center"/>
              <w:rPr>
                <w:noProof/>
                <w:lang w:eastAsia="fr-BE"/>
              </w:rPr>
            </w:pPr>
          </w:p>
        </w:tc>
        <w:tc>
          <w:tcPr>
            <w:tcW w:w="4962" w:type="dxa"/>
            <w:gridSpan w:val="3"/>
            <w:tcBorders>
              <w:top w:val="nil"/>
              <w:left w:val="single" w:sz="4" w:space="0" w:color="auto"/>
              <w:bottom w:val="nil"/>
              <w:right w:val="nil"/>
            </w:tcBorders>
            <w:shd w:val="clear" w:color="auto" w:fill="auto"/>
            <w:vAlign w:val="center"/>
          </w:tcPr>
          <w:p>
            <w:pPr>
              <w:pStyle w:val="Yo5TextNotes"/>
              <w:tabs>
                <w:tab w:val="clear" w:pos="1985"/>
                <w:tab w:val="center" w:pos="2109"/>
                <w:tab w:val="left" w:pos="3192"/>
                <w:tab w:val="left" w:pos="3475"/>
              </w:tabs>
              <w:ind w:left="176" w:right="318"/>
              <w:jc w:val="center"/>
              <w:rPr>
                <w:noProof/>
                <w:sz w:val="16"/>
                <w:lang w:eastAsia="en-GB"/>
              </w:rPr>
            </w:pPr>
            <w:r>
              <w:rPr>
                <w:noProof/>
                <w:snapToGrid/>
                <w:sz w:val="16"/>
                <w:lang w:val="en-US"/>
              </w:rPr>
              <w:drawing>
                <wp:inline distT="0" distB="0" distL="0" distR="0">
                  <wp:extent cx="2705100" cy="1190625"/>
                  <wp:effectExtent l="0" t="0" r="0" b="0"/>
                  <wp:docPr id="11" name="Picture 11" descr="\\s-eacea-fs03-p\EACEA.A7\Youth\04_Reports\a_EU_Youth_Reports\2018\03_graph\5_G_200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cea-fs03-p\EACEA.A7\Youth\04_Reports\a_EU_Youth_Reports\2018\03_graph\5_G_2009.emf"/>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705100" cy="1190625"/>
                          </a:xfrm>
                          <a:prstGeom prst="rect">
                            <a:avLst/>
                          </a:prstGeom>
                          <a:noFill/>
                          <a:ln>
                            <a:noFill/>
                          </a:ln>
                        </pic:spPr>
                      </pic:pic>
                    </a:graphicData>
                  </a:graphic>
                </wp:inline>
              </w:drawing>
            </w:r>
          </w:p>
        </w:tc>
        <w:tc>
          <w:tcPr>
            <w:tcW w:w="4819" w:type="dxa"/>
            <w:gridSpan w:val="2"/>
            <w:tcBorders>
              <w:top w:val="nil"/>
              <w:left w:val="nil"/>
              <w:bottom w:val="nil"/>
              <w:right w:val="single" w:sz="4" w:space="0" w:color="auto"/>
            </w:tcBorders>
            <w:shd w:val="clear" w:color="auto" w:fill="auto"/>
            <w:vAlign w:val="center"/>
          </w:tcPr>
          <w:p>
            <w:pPr>
              <w:pStyle w:val="Yo5TextNotesafter"/>
              <w:jc w:val="center"/>
              <w:rPr>
                <w:noProof/>
                <w:sz w:val="16"/>
              </w:rPr>
            </w:pPr>
            <w:r>
              <w:rPr>
                <w:noProof/>
                <w:snapToGrid/>
                <w:sz w:val="16"/>
              </w:rPr>
              <w:drawing>
                <wp:inline distT="0" distB="0" distL="0" distR="0">
                  <wp:extent cx="2705100" cy="1200150"/>
                  <wp:effectExtent l="0" t="0" r="0" b="0"/>
                  <wp:docPr id="12" name="Picture 12" descr="\\s-eacea-fs03-p\EACEA.A7\Youth\04_Reports\a_EU_Youth_Reports\2018\03_graph\5_G_201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acea-fs03-p\EACEA.A7\Youth\04_Reports\a_EU_Youth_Reports\2018\03_graph\5_G_2014.emf"/>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705100" cy="1200150"/>
                          </a:xfrm>
                          <a:prstGeom prst="rect">
                            <a:avLst/>
                          </a:prstGeom>
                          <a:noFill/>
                          <a:ln>
                            <a:noFill/>
                          </a:ln>
                        </pic:spPr>
                      </pic:pic>
                    </a:graphicData>
                  </a:graphic>
                </wp:inline>
              </w:drawing>
            </w:r>
          </w:p>
        </w:tc>
      </w:tr>
      <w:tr>
        <w:trPr>
          <w:trHeight w:val="303"/>
        </w:trPr>
        <w:tc>
          <w:tcPr>
            <w:tcW w:w="567" w:type="dxa"/>
            <w:vMerge/>
            <w:shd w:val="clear" w:color="auto" w:fill="FB5F5F"/>
            <w:textDirection w:val="btLr"/>
            <w:vAlign w:val="bottom"/>
          </w:tcPr>
          <w:p>
            <w:pPr>
              <w:spacing w:after="0" w:line="240" w:lineRule="auto"/>
              <w:ind w:left="113" w:right="113"/>
              <w:rPr>
                <w:rFonts w:ascii="Verdana" w:hAnsi="Verdana"/>
                <w:b/>
                <w:noProof/>
                <w:color w:val="FFFFFF"/>
                <w:sz w:val="16"/>
                <w:szCs w:val="16"/>
              </w:rPr>
            </w:pPr>
          </w:p>
        </w:tc>
        <w:tc>
          <w:tcPr>
            <w:tcW w:w="955" w:type="dxa"/>
            <w:tcBorders>
              <w:top w:val="nil"/>
              <w:bottom w:val="nil"/>
              <w:right w:val="nil"/>
            </w:tcBorders>
            <w:shd w:val="clear" w:color="auto" w:fill="auto"/>
          </w:tcPr>
          <w:p>
            <w:pPr>
              <w:pStyle w:val="Yo5TextNotes"/>
              <w:tabs>
                <w:tab w:val="clear" w:pos="1985"/>
                <w:tab w:val="left" w:pos="9248"/>
              </w:tabs>
              <w:ind w:left="176"/>
              <w:jc w:val="center"/>
              <w:rPr>
                <w:noProof/>
                <w:lang w:eastAsia="en-GB"/>
              </w:rPr>
            </w:pPr>
          </w:p>
        </w:tc>
        <w:tc>
          <w:tcPr>
            <w:tcW w:w="1030" w:type="dxa"/>
            <w:tcBorders>
              <w:top w:val="nil"/>
              <w:left w:val="nil"/>
              <w:bottom w:val="nil"/>
              <w:right w:val="nil"/>
            </w:tcBorders>
            <w:shd w:val="clear" w:color="auto" w:fill="auto"/>
          </w:tcPr>
          <w:p>
            <w:pPr>
              <w:pStyle w:val="Yo5TextbaseTable"/>
              <w:jc w:val="center"/>
              <w:rPr>
                <w:b/>
                <w:noProof/>
                <w:color w:val="auto"/>
              </w:rPr>
            </w:pPr>
            <w:r>
              <w:rPr>
                <w:b/>
                <w:noProof/>
                <w:snapToGrid/>
                <w:color w:val="auto"/>
              </w:rPr>
              <w:drawing>
                <wp:inline distT="0" distB="0" distL="0" distR="0">
                  <wp:extent cx="200025" cy="190500"/>
                  <wp:effectExtent l="0" t="0" r="9525" b="0"/>
                  <wp:docPr id="13" name="Picture 13" descr="rouge_f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uge_fo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c>
          <w:tcPr>
            <w:tcW w:w="2977" w:type="dxa"/>
            <w:tcBorders>
              <w:top w:val="nil"/>
              <w:left w:val="nil"/>
              <w:bottom w:val="nil"/>
              <w:right w:val="nil"/>
            </w:tcBorders>
            <w:shd w:val="clear" w:color="auto" w:fill="auto"/>
            <w:vAlign w:val="center"/>
          </w:tcPr>
          <w:p>
            <w:pPr>
              <w:pStyle w:val="Yo5TextbaseTable"/>
              <w:rPr>
                <w:rFonts w:ascii="Verdana" w:hAnsi="Verdana"/>
                <w:b/>
                <w:noProof/>
                <w:color w:val="auto"/>
              </w:rPr>
            </w:pPr>
            <w:r>
              <w:rPr>
                <w:rFonts w:ascii="Verdana" w:hAnsi="Verdana"/>
                <w:b/>
                <w:noProof/>
                <w:color w:val="auto"/>
                <w:sz w:val="14"/>
              </w:rPr>
              <w:t>% of MEPs aged 30 or younger</w:t>
            </w:r>
          </w:p>
        </w:tc>
        <w:tc>
          <w:tcPr>
            <w:tcW w:w="708" w:type="dxa"/>
            <w:tcBorders>
              <w:top w:val="nil"/>
              <w:left w:val="nil"/>
              <w:bottom w:val="nil"/>
              <w:right w:val="nil"/>
            </w:tcBorders>
            <w:shd w:val="clear" w:color="auto" w:fill="auto"/>
            <w:vAlign w:val="bottom"/>
          </w:tcPr>
          <w:p>
            <w:pPr>
              <w:pStyle w:val="Yo5TextNotes"/>
              <w:tabs>
                <w:tab w:val="clear" w:pos="1985"/>
                <w:tab w:val="left" w:pos="9248"/>
              </w:tabs>
              <w:ind w:left="176"/>
              <w:jc w:val="center"/>
              <w:rPr>
                <w:noProof/>
                <w:lang w:val="en-GB" w:eastAsia="en-GB"/>
              </w:rPr>
            </w:pPr>
            <w:r>
              <w:rPr>
                <w:noProof/>
                <w:snapToGrid/>
                <w:lang w:val="en-US"/>
              </w:rPr>
              <w:drawing>
                <wp:inline distT="0" distB="0" distL="0" distR="0">
                  <wp:extent cx="200025" cy="190500"/>
                  <wp:effectExtent l="0" t="0" r="9525" b="0"/>
                  <wp:docPr id="14" name="Picture 14" descr="rouge_c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uge_clai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c>
          <w:tcPr>
            <w:tcW w:w="4111" w:type="dxa"/>
            <w:tcBorders>
              <w:top w:val="nil"/>
              <w:left w:val="nil"/>
              <w:bottom w:val="nil"/>
              <w:right w:val="single" w:sz="4" w:space="0" w:color="auto"/>
            </w:tcBorders>
            <w:shd w:val="clear" w:color="auto" w:fill="auto"/>
            <w:vAlign w:val="center"/>
          </w:tcPr>
          <w:p>
            <w:pPr>
              <w:pStyle w:val="Yo5TextNotes"/>
              <w:tabs>
                <w:tab w:val="clear" w:pos="1985"/>
                <w:tab w:val="left" w:pos="9248"/>
              </w:tabs>
              <w:ind w:left="-108"/>
              <w:jc w:val="left"/>
              <w:rPr>
                <w:noProof/>
                <w:lang w:val="en-GB" w:eastAsia="en-GB"/>
              </w:rPr>
            </w:pPr>
            <w:r>
              <w:rPr>
                <w:b/>
                <w:noProof/>
                <w:lang w:val="en-GB" w:eastAsia="en-GB"/>
              </w:rPr>
              <w:t>% of MEPs over 30 years of age</w:t>
            </w:r>
          </w:p>
        </w:tc>
      </w:tr>
      <w:tr>
        <w:trPr>
          <w:trHeight w:val="232"/>
        </w:trPr>
        <w:tc>
          <w:tcPr>
            <w:tcW w:w="567" w:type="dxa"/>
            <w:vMerge/>
            <w:shd w:val="clear" w:color="auto" w:fill="FB5F5F"/>
            <w:textDirection w:val="btLr"/>
            <w:vAlign w:val="bottom"/>
          </w:tcPr>
          <w:p>
            <w:pPr>
              <w:spacing w:after="0" w:line="240" w:lineRule="auto"/>
              <w:ind w:left="113" w:right="113"/>
              <w:rPr>
                <w:rFonts w:ascii="Verdana" w:hAnsi="Verdana"/>
                <w:b/>
                <w:noProof/>
                <w:color w:val="FFFFFF"/>
                <w:sz w:val="16"/>
                <w:szCs w:val="16"/>
                <w:lang w:val="en-GB"/>
              </w:rPr>
            </w:pPr>
          </w:p>
        </w:tc>
        <w:tc>
          <w:tcPr>
            <w:tcW w:w="9781" w:type="dxa"/>
            <w:gridSpan w:val="5"/>
            <w:tcBorders>
              <w:top w:val="nil"/>
            </w:tcBorders>
            <w:shd w:val="clear" w:color="auto" w:fill="auto"/>
            <w:vAlign w:val="center"/>
          </w:tcPr>
          <w:p>
            <w:pPr>
              <w:pStyle w:val="Yo5TextNotes"/>
              <w:tabs>
                <w:tab w:val="clear" w:pos="1985"/>
                <w:tab w:val="left" w:pos="9248"/>
              </w:tabs>
              <w:jc w:val="left"/>
              <w:rPr>
                <w:noProof/>
                <w:lang w:eastAsia="en-GB"/>
              </w:rPr>
            </w:pPr>
            <w:r>
              <w:rPr>
                <w:i/>
                <w:noProof/>
                <w:lang w:eastAsia="en-GB"/>
              </w:rPr>
              <w:t>Source</w:t>
            </w:r>
            <w:r>
              <w:rPr>
                <w:noProof/>
                <w:lang w:eastAsia="en-GB"/>
              </w:rPr>
              <w:t>: European Parliament.</w:t>
            </w:r>
          </w:p>
        </w:tc>
      </w:tr>
    </w:tbl>
    <w:p>
      <w:pPr>
        <w:pStyle w:val="Yo1Textpara"/>
        <w:widowControl w:val="0"/>
        <w:spacing w:after="240"/>
        <w:rPr>
          <w:noProof/>
        </w:rPr>
      </w:pPr>
      <w:r>
        <w:rPr>
          <w:noProof/>
        </w:rPr>
        <w:t>The results presented in the last three figures indicate only limited participation by young Europeans in elections, both as active (voters) and as passive electorate (candidates). This is especially evident at European level, despite the high numbers identifying themselves as EU citizens. Nevertheless, this situation is in line with the limited importance ascribed by young people to the issue of democratic participation, and a confirmation of the higher relevance of other political issues (Figure 5-D above).</w:t>
      </w:r>
    </w:p>
    <w:p>
      <w:pPr>
        <w:pStyle w:val="Yo1Textpara"/>
        <w:widowControl w:val="0"/>
        <w:spacing w:before="0"/>
        <w:rPr>
          <w:noProof/>
        </w:rPr>
      </w:pPr>
      <w:r>
        <w:rPr>
          <w:noProof/>
        </w:rPr>
        <w:t>Besides voting, membership of political parties is considered to be a form of political participation in a representative democracy. Parties play a central role in channelling political opinions between voters and candidates at elections and ultimately superintend the appointment of elected offices (</w:t>
      </w:r>
      <w:r>
        <w:rPr>
          <w:rStyle w:val="FootnoteReference"/>
          <w:noProof/>
        </w:rPr>
        <w:footnoteReference w:id="16"/>
      </w:r>
      <w:r>
        <w:rPr>
          <w:noProof/>
        </w:rPr>
        <w:t>). Becoming a member of a political party appeals to only a small proportion of young people. In 2017, only 7 % of young Europeans reported being affiliated to a political organisation or party, although this proportion has increased somewhat in Europe between 2011 and 2017 (particularly in Czech Republic, Germany, Spain and France) (Figure 5-H). The gender balance amongst the membership of political organisations is slightly in favour of young men.</w:t>
      </w:r>
    </w:p>
    <w:p>
      <w:pPr>
        <w:pStyle w:val="Yo1Textpara"/>
        <w:widowControl w:val="0"/>
        <w:spacing w:before="0"/>
        <w:rPr>
          <w:rFonts w:ascii="Verdana" w:eastAsia="Cambria" w:hAnsi="Verdana" w:cs="Calibri"/>
          <w:b/>
          <w:bCs/>
          <w:noProof/>
          <w:color w:val="7F7F7F"/>
          <w:w w:val="80"/>
          <w:szCs w:val="22"/>
          <w:lang w:eastAsia="en-US"/>
        </w:rPr>
      </w:pPr>
    </w:p>
    <w:p>
      <w:pPr>
        <w:pStyle w:val="Yo1Textpara"/>
        <w:widowControl w:val="0"/>
        <w:spacing w:before="0"/>
        <w:rPr>
          <w:rFonts w:ascii="Verdana" w:eastAsia="Cambria" w:hAnsi="Verdana" w:cs="Calibri"/>
          <w:bCs/>
          <w:noProof/>
          <w:color w:val="7F7F7F"/>
          <w:w w:val="80"/>
          <w:szCs w:val="22"/>
          <w:lang w:eastAsia="en-US"/>
        </w:rPr>
      </w:pPr>
      <w:r>
        <w:rPr>
          <w:rFonts w:ascii="Verdana" w:eastAsia="Cambria" w:hAnsi="Verdana" w:cs="Calibri"/>
          <w:b/>
          <w:bCs/>
          <w:noProof/>
          <w:color w:val="7F7F7F"/>
          <w:w w:val="80"/>
          <w:szCs w:val="22"/>
          <w:lang w:eastAsia="en-US"/>
        </w:rPr>
        <w:br w:type="page"/>
        <w:t>Figure 5-H</w:t>
      </w:r>
      <w:r>
        <w:rPr>
          <w:rFonts w:ascii="Verdana" w:eastAsia="Cambria" w:hAnsi="Verdana" w:cs="Calibri"/>
          <w:bCs/>
          <w:noProof/>
          <w:color w:val="7F7F7F"/>
          <w:w w:val="80"/>
          <w:szCs w:val="22"/>
          <w:lang w:eastAsia="en-US"/>
        </w:rPr>
        <w:t>: Participation of young people (aged 15-30) in a political organisation or political party, by country, 2011 and 2017, and by sex, 2017</w:t>
      </w:r>
    </w:p>
    <w:tbl>
      <w:tblPr>
        <w:tblW w:w="1040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533"/>
        <w:gridCol w:w="9869"/>
      </w:tblGrid>
      <w:tr>
        <w:trPr>
          <w:trHeight w:val="2667"/>
        </w:trPr>
        <w:tc>
          <w:tcPr>
            <w:tcW w:w="533" w:type="dxa"/>
            <w:tcBorders>
              <w:bottom w:val="single" w:sz="4" w:space="0" w:color="auto"/>
            </w:tcBorders>
            <w:shd w:val="clear" w:color="auto" w:fill="FB5F5F"/>
            <w:textDirection w:val="btLr"/>
            <w:vAlign w:val="bottom"/>
          </w:tcPr>
          <w:p>
            <w:pPr>
              <w:pStyle w:val="Yo13YouthIndicator"/>
              <w:jc w:val="center"/>
              <w:rPr>
                <w:noProof/>
                <w:lang w:eastAsia="fr-BE"/>
              </w:rPr>
            </w:pPr>
            <w:r>
              <w:rPr>
                <w:noProof/>
              </w:rPr>
              <w:t>EU youth indicator</w:t>
            </w:r>
          </w:p>
        </w:tc>
        <w:tc>
          <w:tcPr>
            <w:tcW w:w="9869" w:type="dxa"/>
            <w:tcBorders>
              <w:bottom w:val="single" w:sz="4" w:space="0" w:color="auto"/>
            </w:tcBorders>
            <w:shd w:val="clear" w:color="auto" w:fill="auto"/>
          </w:tcPr>
          <w:p>
            <w:pPr>
              <w:pStyle w:val="Yo5TextNotes"/>
              <w:tabs>
                <w:tab w:val="clear" w:pos="1985"/>
                <w:tab w:val="left" w:pos="9248"/>
              </w:tabs>
              <w:rPr>
                <w:noProof/>
                <w:lang w:eastAsia="en-GB"/>
              </w:rPr>
            </w:pPr>
            <w:r>
              <w:rPr>
                <w:noProof/>
                <w:lang w:eastAsia="en-GB"/>
              </w:rPr>
              <w:t>%</w:t>
            </w:r>
            <w:r>
              <w:rPr>
                <w:noProof/>
                <w:lang w:eastAsia="en-GB"/>
              </w:rPr>
              <w:tab/>
              <w:t xml:space="preserve">    %</w:t>
            </w:r>
          </w:p>
          <w:p>
            <w:pPr>
              <w:pStyle w:val="Yo5TextNotesafter"/>
              <w:rPr>
                <w:noProof/>
                <w:sz w:val="16"/>
              </w:rPr>
            </w:pPr>
            <w:r>
              <w:rPr>
                <w:noProof/>
                <w:snapToGrid/>
              </w:rPr>
              <mc:AlternateContent>
                <mc:Choice Requires="wps">
                  <w:drawing>
                    <wp:anchor distT="0" distB="0" distL="114300" distR="114300" simplePos="0" relativeHeight="251640832" behindDoc="0" locked="0" layoutInCell="1" allowOverlap="1">
                      <wp:simplePos x="0" y="0"/>
                      <wp:positionH relativeFrom="column">
                        <wp:posOffset>4751070</wp:posOffset>
                      </wp:positionH>
                      <wp:positionV relativeFrom="paragraph">
                        <wp:posOffset>288290</wp:posOffset>
                      </wp:positionV>
                      <wp:extent cx="909320" cy="1059180"/>
                      <wp:effectExtent l="7620" t="12065" r="6985" b="508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1059180"/>
                              </a:xfrm>
                              <a:prstGeom prst="rect">
                                <a:avLst/>
                              </a:prstGeom>
                              <a:solidFill>
                                <a:srgbClr val="FFFFFF"/>
                              </a:solidFill>
                              <a:ln w="9525">
                                <a:solidFill>
                                  <a:srgbClr val="FFFFFF"/>
                                </a:solidFill>
                                <a:miter lim="800000"/>
                                <a:headEnd/>
                                <a:tailEnd/>
                              </a:ln>
                            </wps:spPr>
                            <wps:txbx>
                              <w:txbxContent>
                                <w:p>
                                  <w:pPr>
                                    <w:rPr>
                                      <w:lang w:val="en-GB"/>
                                    </w:rPr>
                                  </w:pPr>
                                  <w:r>
                                    <w:rPr>
                                      <w:noProof/>
                                      <w:lang w:val="en-US"/>
                                    </w:rPr>
                                    <w:drawing>
                                      <wp:inline distT="0" distB="0" distL="0" distR="0">
                                        <wp:extent cx="866775" cy="1019175"/>
                                        <wp:effectExtent l="0" t="0" r="9525" b="9525"/>
                                        <wp:docPr id="48" name="Picture 48" descr="\\s-eacea-fs03-p\EACEA.A7\Youth\04_Reports\a_EU_Youth_Reports\2018\03_graph\5_H_political_organisation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acea-fs03-p\EACEA.A7\Youth\04_Reports\a_EU_Youth_Reports\2018\03_graph\5_H_political_organisation_gender.jp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866775" cy="1019175"/>
                                                </a:xfrm>
                                                <a:prstGeom prst="rect">
                                                  <a:avLst/>
                                                </a:prstGeom>
                                                <a:noFill/>
                                                <a:ln>
                                                  <a:noFill/>
                                                </a:ln>
                                              </pic:spPr>
                                            </pic:pic>
                                          </a:graphicData>
                                        </a:graphic>
                                      </wp:inline>
                                    </w:drawing>
                                  </w:r>
                                </w:p>
                              </w:txbxContent>
                            </wps:txbx>
                            <wps:bodyPr rot="0" vert="horz" wrap="non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74.1pt;margin-top:22.7pt;width:71.6pt;height:83.4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" strokecolor="white">
                      <v:textbox inset=".5mm,.3mm,.5mm,.3mm">
                        <w:txbxContent>
                          <w:p>
                            <w:pPr>
                              <w:rPr>
                                <w:lang w:val="en-GB"/>
                              </w:rPr>
                            </w:pPr>
                            <w:r>
                              <w:rPr>
                                <w:noProof/>
                                <w:lang w:val="en-US"/>
                              </w:rPr>
                              <w:drawing>
                                <wp:inline distT="0" distB="0" distL="0" distR="0">
                                  <wp:extent cx="866775" cy="1019175"/>
                                  <wp:effectExtent l="0" t="0" r="9525" b="9525"/>
                                  <wp:docPr id="48" name="Picture 48" descr="\\s-eacea-fs03-p\EACEA.A7\Youth\04_Reports\a_EU_Youth_Reports\2018\03_graph\5_H_political_organisation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acea-fs03-p\EACEA.A7\Youth\04_Reports\a_EU_Youth_Reports\2018\03_graph\5_H_political_organisation_gender.jp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866775" cy="1019175"/>
                                          </a:xfrm>
                                          <a:prstGeom prst="rect">
                                            <a:avLst/>
                                          </a:prstGeom>
                                          <a:noFill/>
                                          <a:ln>
                                            <a:noFill/>
                                          </a:ln>
                                        </pic:spPr>
                                      </pic:pic>
                                    </a:graphicData>
                                  </a:graphic>
                                </wp:inline>
                              </w:drawing>
                            </w:r>
                          </w:p>
                        </w:txbxContent>
                      </v:textbox>
                    </v:shape>
                  </w:pict>
                </mc:Fallback>
              </mc:AlternateContent>
            </w:r>
            <w:r>
              <w:rPr>
                <w:noProof/>
                <w:snapToGrid/>
              </w:rPr>
              <w:drawing>
                <wp:inline distT="0" distB="0" distL="0" distR="0">
                  <wp:extent cx="6124575" cy="2114550"/>
                  <wp:effectExtent l="0" t="0" r="9525" b="0"/>
                  <wp:docPr id="15" name="Picture 15" descr="\\s-eacea-fs03-p\EACEA.A7\Youth\04_Reports\a_EU_Youth_Reports\2018\03_graph\7_H_political_organ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acea-fs03-p\EACEA.A7\Youth\04_Reports\a_EU_Youth_Reports\2018\03_graph\7_H_political_organisation.jpg"/>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6124575" cy="2114550"/>
                          </a:xfrm>
                          <a:prstGeom prst="rect">
                            <a:avLst/>
                          </a:prstGeom>
                          <a:noFill/>
                          <a:ln>
                            <a:noFill/>
                          </a:ln>
                        </pic:spPr>
                      </pic:pic>
                    </a:graphicData>
                  </a:graphic>
                </wp:inline>
              </w:drawing>
            </w:r>
          </w:p>
        </w:tc>
      </w:tr>
    </w:tbl>
    <w:p>
      <w:pPr>
        <w:pStyle w:val="Yo5TextNotesafter"/>
        <w:rPr>
          <w:noProof/>
          <w:lang w:eastAsia="en-GB"/>
        </w:rPr>
      </w:pPr>
      <w:r>
        <w:rPr>
          <w:i/>
          <w:noProof/>
          <w:lang w:eastAsia="en-GB"/>
        </w:rPr>
        <w:t>Notes</w:t>
      </w:r>
      <w:r>
        <w:rPr>
          <w:noProof/>
          <w:lang w:eastAsia="en-GB"/>
        </w:rPr>
        <w:t>: Question was ‘In the last 12 months, have you participated in any activities of the following organisations: political organisation or political party?'. Base: All respondents.</w:t>
      </w:r>
      <w:r>
        <w:rPr>
          <w:rFonts w:ascii="Calibri" w:eastAsia="Calibri" w:hAnsi="Calibri" w:cs="Times New Roman"/>
          <w:noProof/>
          <w:snapToGrid/>
          <w:sz w:val="22"/>
          <w:szCs w:val="22"/>
          <w:lang w:val="en-GB"/>
        </w:rPr>
        <w:t xml:space="preserve"> </w:t>
      </w:r>
      <w:r>
        <w:rPr>
          <w:noProof/>
          <w:lang w:val="en-GB" w:eastAsia="en-GB"/>
        </w:rPr>
        <w:t>EU-27 (2011) and EU-28 (2017).</w:t>
      </w:r>
    </w:p>
    <w:p>
      <w:pPr>
        <w:pStyle w:val="Yo5TextNotesbeforeafter"/>
        <w:rPr>
          <w:b/>
          <w:noProof/>
          <w:lang w:val="en-GB"/>
        </w:rPr>
      </w:pPr>
      <w:r>
        <w:rPr>
          <w:i/>
          <w:noProof/>
          <w:lang w:val="en-GB" w:eastAsia="en-GB"/>
        </w:rPr>
        <w:t>Source</w:t>
      </w:r>
      <w:r>
        <w:rPr>
          <w:noProof/>
          <w:lang w:val="en-GB" w:eastAsia="en-GB"/>
        </w:rPr>
        <w:t>: 2011: Flash Eurobarometer 319 ‘Youth on the Move’; 2017: Flash Eurobarometer 455 ‘European Youth’.</w:t>
      </w:r>
    </w:p>
    <w:p>
      <w:pPr>
        <w:pStyle w:val="Yo1Textpara"/>
        <w:rPr>
          <w:noProof/>
        </w:rPr>
      </w:pPr>
      <w:r>
        <w:rPr>
          <w:noProof/>
        </w:rPr>
        <w:t>Data presented in this section indicate a limited involvement of young people in the institutional practices of representative democracy. This is especially true for young women, who tend to participate less than men both in elections and in political organisations</w:t>
      </w:r>
      <w:r>
        <w:rPr>
          <w:noProof/>
          <w:lang w:eastAsia="en-GB"/>
        </w:rPr>
        <w:t> </w:t>
      </w:r>
      <w:r>
        <w:rPr>
          <w:noProof/>
        </w:rPr>
        <w:t>(</w:t>
      </w:r>
      <w:r>
        <w:rPr>
          <w:rStyle w:val="FootnoteReference"/>
          <w:noProof/>
        </w:rPr>
        <w:footnoteReference w:id="17"/>
      </w:r>
      <w:r>
        <w:rPr>
          <w:noProof/>
        </w:rPr>
        <w:t xml:space="preserve">). However, though elections and political parties have a pivotal role in democratic societies, they are not the only activities to be taken into account when evaluating political participation. Other channels are open to people to have their say and to influence political decision-makers and policies, and these may be particularly attractive to younger citizens. </w:t>
      </w:r>
    </w:p>
    <w:p>
      <w:pPr>
        <w:pStyle w:val="Yo0H2"/>
        <w:rPr>
          <w:b w:val="0"/>
          <w:noProof/>
          <w:sz w:val="28"/>
          <w:szCs w:val="28"/>
        </w:rPr>
      </w:pPr>
      <w:r>
        <w:rPr>
          <w:b w:val="0"/>
          <w:noProof/>
          <w:sz w:val="28"/>
          <w:szCs w:val="28"/>
        </w:rPr>
        <w:t>5.4. Other ways young people participate</w:t>
      </w:r>
    </w:p>
    <w:p>
      <w:pPr>
        <w:pStyle w:val="Yo1Textpara"/>
        <w:rPr>
          <w:noProof/>
        </w:rPr>
      </w:pPr>
      <w:r>
        <w:rPr>
          <w:noProof/>
        </w:rPr>
        <w:t>Political activism has, over recent decades, become more individualised, ad-hoc, and issue-specific (</w:t>
      </w:r>
      <w:r>
        <w:rPr>
          <w:rStyle w:val="FootnoteReference"/>
          <w:noProof/>
        </w:rPr>
        <w:footnoteReference w:id="18"/>
      </w:r>
      <w:r>
        <w:rPr>
          <w:noProof/>
        </w:rPr>
        <w:t>). This trend applies to the entire population but is particularly evident amongst young people, who have come to favour more flexible and issue-based forms of participation such as contributing to the projects of non-governmental organisations (NGOs), participating in community-driven initiatives and joining social movements (</w:t>
      </w:r>
      <w:r>
        <w:rPr>
          <w:rStyle w:val="FootnoteReference"/>
          <w:noProof/>
        </w:rPr>
        <w:footnoteReference w:id="19"/>
      </w:r>
      <w:r>
        <w:rPr>
          <w:noProof/>
        </w:rPr>
        <w:t>).</w:t>
      </w:r>
    </w:p>
    <w:tbl>
      <w:tblPr>
        <w:tblpPr w:leftFromText="181" w:rightFromText="181" w:vertAnchor="text" w:horzAnchor="margin" w:tblpXSpec="right" w:tblpY="183"/>
        <w:tblOverlap w:val="never"/>
        <w:tblW w:w="0" w:type="auto"/>
        <w:shd w:val="clear" w:color="auto" w:fill="FFA3A4"/>
        <w:tblCellMar>
          <w:top w:w="28" w:type="dxa"/>
          <w:bottom w:w="28" w:type="dxa"/>
        </w:tblCellMar>
        <w:tblLook w:val="04A0" w:firstRow="1" w:lastRow="0" w:firstColumn="1" w:lastColumn="0" w:noHBand="0" w:noVBand="1"/>
      </w:tblPr>
      <w:tblGrid>
        <w:gridCol w:w="2612"/>
      </w:tblGrid>
      <w:tr>
        <w:trPr>
          <w:trHeight w:val="1060"/>
        </w:trPr>
        <w:tc>
          <w:tcPr>
            <w:tcW w:w="2612" w:type="dxa"/>
            <w:shd w:val="clear" w:color="auto" w:fill="FFA3A4"/>
            <w:hideMark/>
          </w:tcPr>
          <w:p>
            <w:pPr>
              <w:pStyle w:val="Yo12Encart"/>
              <w:rPr>
                <w:rFonts w:ascii="Arial Narrow" w:hAnsi="Arial Narrow"/>
                <w:i w:val="0"/>
                <w:noProof/>
                <w:sz w:val="22"/>
                <w:szCs w:val="22"/>
              </w:rPr>
            </w:pPr>
            <w:r>
              <w:rPr>
                <w:rFonts w:ascii="Arial Narrow" w:hAnsi="Arial Narrow"/>
                <w:i w:val="0"/>
                <w:noProof/>
                <w:sz w:val="22"/>
                <w:szCs w:val="22"/>
              </w:rPr>
              <w:t>Young people are more active in non-governmental organisations and/or local organisations than in political parties.</w:t>
            </w:r>
          </w:p>
        </w:tc>
      </w:tr>
    </w:tbl>
    <w:p>
      <w:pPr>
        <w:pStyle w:val="Yo1Textpara"/>
        <w:rPr>
          <w:noProof/>
        </w:rPr>
      </w:pPr>
      <w:r>
        <w:rPr>
          <w:noProof/>
        </w:rPr>
        <w:t>Data presented in Figure 5-I confirm young people’s preference for being active in NGOs and/or local organisations which address local issues, rather than in political parties (as displayed in Figure 5-H above). On average, twice as many respondents had participated in the activities of a local organisation aimed at improving their local community than were active in a political party.</w:t>
      </w:r>
    </w:p>
    <w:p>
      <w:pPr>
        <w:pStyle w:val="Yo5TitleFigure"/>
        <w:spacing w:after="0"/>
        <w:jc w:val="both"/>
      </w:pPr>
      <w:r>
        <w:rPr>
          <w:b/>
        </w:rPr>
        <w:t>Figure 5-I:</w:t>
      </w:r>
      <w:r>
        <w:t xml:space="preserve"> Proportion of young people (aged 15-30) who have participated in the activities of organisations aimed at improving their local community, by country, 2011 and 2017, and by sex, 2017</w:t>
      </w:r>
    </w:p>
    <w:tbl>
      <w:tblPr>
        <w:tblW w:w="1040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533"/>
        <w:gridCol w:w="9869"/>
      </w:tblGrid>
      <w:tr>
        <w:trPr>
          <w:trHeight w:val="2667"/>
        </w:trPr>
        <w:tc>
          <w:tcPr>
            <w:tcW w:w="533" w:type="dxa"/>
            <w:shd w:val="clear" w:color="auto" w:fill="FB5F5F"/>
            <w:textDirection w:val="btLr"/>
            <w:vAlign w:val="bottom"/>
          </w:tcPr>
          <w:p>
            <w:pPr>
              <w:pStyle w:val="Yo13YouthIndicator"/>
              <w:jc w:val="center"/>
              <w:rPr>
                <w:noProof/>
                <w:lang w:eastAsia="fr-BE"/>
              </w:rPr>
            </w:pPr>
            <w:r>
              <w:rPr>
                <w:noProof/>
              </w:rPr>
              <w:t>EU youth indicator</w:t>
            </w:r>
          </w:p>
        </w:tc>
        <w:tc>
          <w:tcPr>
            <w:tcW w:w="9869" w:type="dxa"/>
            <w:shd w:val="clear" w:color="auto" w:fill="auto"/>
          </w:tcPr>
          <w:p>
            <w:pPr>
              <w:pStyle w:val="Yo5TextNotes"/>
              <w:tabs>
                <w:tab w:val="clear" w:pos="1985"/>
                <w:tab w:val="left" w:pos="9248"/>
              </w:tabs>
              <w:rPr>
                <w:noProof/>
                <w:lang w:eastAsia="en-GB"/>
              </w:rPr>
            </w:pPr>
            <w:r>
              <w:rPr>
                <w:noProof/>
                <w:lang w:eastAsia="en-GB"/>
              </w:rPr>
              <w:t>%</w:t>
            </w:r>
            <w:r>
              <w:rPr>
                <w:noProof/>
                <w:lang w:eastAsia="en-GB"/>
              </w:rPr>
              <w:tab/>
              <w:t xml:space="preserve">    %</w:t>
            </w:r>
          </w:p>
          <w:p>
            <w:pPr>
              <w:pStyle w:val="Yo5TextNotesafter"/>
              <w:rPr>
                <w:noProof/>
                <w:sz w:val="16"/>
              </w:rPr>
            </w:pPr>
            <w:r>
              <w:rPr>
                <w:noProof/>
                <w:snapToGrid/>
              </w:rPr>
              <mc:AlternateContent>
                <mc:Choice Requires="wps">
                  <w:drawing>
                    <wp:anchor distT="0" distB="0" distL="114300" distR="114300" simplePos="0" relativeHeight="251665408" behindDoc="0" locked="0" layoutInCell="1" allowOverlap="1">
                      <wp:simplePos x="0" y="0"/>
                      <wp:positionH relativeFrom="column">
                        <wp:posOffset>4659630</wp:posOffset>
                      </wp:positionH>
                      <wp:positionV relativeFrom="paragraph">
                        <wp:posOffset>328295</wp:posOffset>
                      </wp:positionV>
                      <wp:extent cx="1050290" cy="1111885"/>
                      <wp:effectExtent l="1905" t="4445"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1111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lang w:val="en-GB"/>
                                    </w:rPr>
                                  </w:pPr>
                                  <w:r>
                                    <w:rPr>
                                      <w:noProof/>
                                      <w:lang w:val="en-US"/>
                                    </w:rPr>
                                    <w:drawing>
                                      <wp:inline distT="0" distB="0" distL="0" distR="0">
                                        <wp:extent cx="866775" cy="1019175"/>
                                        <wp:effectExtent l="0" t="0" r="9525" b="9525"/>
                                        <wp:docPr id="49" name="Picture 49" descr="\\s-eacea-fs03-p\EACEA.A7\Youth\04_Reports\a_EU_Youth_Reports\2018\03_graph\5_I_organisations_local_community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acea-fs03-p\EACEA.A7\Youth\04_Reports\a_EU_Youth_Reports\2018\03_graph\5_I_organisations_local_community_gender.jp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866775" cy="10191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366.9pt;margin-top:25.85pt;width:82.7pt;height:87.55pt;z-index:25166540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" stroked="f">
                      <v:textbox>
                        <w:txbxContent>
                          <w:p>
                            <w:pPr>
                              <w:rPr>
                                <w:lang w:val="en-GB"/>
                              </w:rPr>
                            </w:pPr>
                            <w:r>
                              <w:rPr>
                                <w:noProof/>
                                <w:lang w:val="en-US"/>
                              </w:rPr>
                              <w:drawing>
                                <wp:inline distT="0" distB="0" distL="0" distR="0">
                                  <wp:extent cx="866775" cy="1019175"/>
                                  <wp:effectExtent l="0" t="0" r="9525" b="9525"/>
                                  <wp:docPr id="49" name="Picture 49" descr="\\s-eacea-fs03-p\EACEA.A7\Youth\04_Reports\a_EU_Youth_Reports\2018\03_graph\5_I_organisations_local_community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acea-fs03-p\EACEA.A7\Youth\04_Reports\a_EU_Youth_Reports\2018\03_graph\5_I_organisations_local_community_gender.jp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866775" cy="1019175"/>
                                          </a:xfrm>
                                          <a:prstGeom prst="rect">
                                            <a:avLst/>
                                          </a:prstGeom>
                                          <a:noFill/>
                                          <a:ln>
                                            <a:noFill/>
                                          </a:ln>
                                        </pic:spPr>
                                      </pic:pic>
                                    </a:graphicData>
                                  </a:graphic>
                                </wp:inline>
                              </w:drawing>
                            </w:r>
                          </w:p>
                        </w:txbxContent>
                      </v:textbox>
                    </v:shape>
                  </w:pict>
                </mc:Fallback>
              </mc:AlternateContent>
            </w:r>
            <w:r>
              <w:rPr>
                <w:noProof/>
                <w:snapToGrid/>
              </w:rPr>
              <w:drawing>
                <wp:inline distT="0" distB="0" distL="0" distR="0">
                  <wp:extent cx="6124575" cy="2114550"/>
                  <wp:effectExtent l="0" t="0" r="9525" b="0"/>
                  <wp:docPr id="16" name="Picture 16" descr="\\s-eacea-fs03-p\EACEA.A7\Youth\04_Reports\a_EU_Youth_Reports\2018\03_graph\7_I_organisations_local_commu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cea-fs03-p\EACEA.A7\Youth\04_Reports\a_EU_Youth_Reports\2018\03_graph\7_I_organisations_local_community.jpg"/>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6124575" cy="2114550"/>
                          </a:xfrm>
                          <a:prstGeom prst="rect">
                            <a:avLst/>
                          </a:prstGeom>
                          <a:noFill/>
                          <a:ln>
                            <a:noFill/>
                          </a:ln>
                        </pic:spPr>
                      </pic:pic>
                    </a:graphicData>
                  </a:graphic>
                </wp:inline>
              </w:drawing>
            </w:r>
          </w:p>
        </w:tc>
      </w:tr>
    </w:tbl>
    <w:p>
      <w:pPr>
        <w:pStyle w:val="Yo5TextNotes"/>
        <w:rPr>
          <w:noProof/>
        </w:rPr>
      </w:pPr>
    </w:p>
    <w:p>
      <w:pPr>
        <w:pStyle w:val="Yo5TextNotesafter"/>
        <w:rPr>
          <w:noProof/>
          <w:lang w:eastAsia="en-GB"/>
        </w:rPr>
      </w:pPr>
      <w:r>
        <w:rPr>
          <w:i/>
          <w:noProof/>
          <w:lang w:eastAsia="en-GB"/>
        </w:rPr>
        <w:t>Notes</w:t>
      </w:r>
      <w:r>
        <w:rPr>
          <w:noProof/>
          <w:lang w:eastAsia="en-GB"/>
        </w:rPr>
        <w:t xml:space="preserve">: The question was ‘In the last 12 months, have you participated in any [of the] activities of the following organisations: a local organisation aimed at improving the local community?’. Base: All respondents. </w:t>
      </w:r>
      <w:r>
        <w:rPr>
          <w:noProof/>
          <w:lang w:val="en-GB" w:eastAsia="en-GB"/>
        </w:rPr>
        <w:t>EU-27 (2011) and EU-28 (2017).</w:t>
      </w:r>
    </w:p>
    <w:p>
      <w:pPr>
        <w:pStyle w:val="Yo5TextNotesafter"/>
        <w:rPr>
          <w:b/>
          <w:noProof/>
        </w:rPr>
      </w:pPr>
      <w:r>
        <w:rPr>
          <w:i/>
          <w:noProof/>
          <w:lang w:eastAsia="en-GB"/>
        </w:rPr>
        <w:t>Source</w:t>
      </w:r>
      <w:r>
        <w:rPr>
          <w:noProof/>
          <w:lang w:eastAsia="en-GB"/>
        </w:rPr>
        <w:t>: 2011 Flash Eurobarometer319a ‘Youth on the Move’, 2015 Flash Eurobarometer 408 ‘European Youth’.</w:t>
      </w:r>
    </w:p>
    <w:p>
      <w:pPr>
        <w:pStyle w:val="Yo1Textpara"/>
        <w:rPr>
          <w:noProof/>
        </w:rPr>
      </w:pPr>
      <w:r>
        <w:rPr>
          <w:noProof/>
        </w:rPr>
        <w:t>Overall in the EU, the rates of participation in activities to improve the local community slightly increased between 2011 and 2017. The rise in participation has been significant in Italy where the rate doubled, and in France and Spain where it increased by over 50 %. On the other hand, participation rates halved in Cyprus, Malta and in some Eastern European countries (Estonia, Lithuania and Romania). As with the forms of participation discussed earlier, young men tend to be involved to a greater extent than women.</w:t>
      </w:r>
    </w:p>
    <w:p>
      <w:pPr>
        <w:pStyle w:val="Yo1Textpara"/>
        <w:rPr>
          <w:rFonts w:ascii="Verdana" w:eastAsia="Cambria" w:hAnsi="Verdana" w:cs="Calibri"/>
          <w:b/>
          <w:bCs/>
          <w:noProof/>
          <w:color w:val="7F7F7F"/>
          <w:w w:val="80"/>
          <w:szCs w:val="22"/>
          <w:lang w:eastAsia="en-US"/>
        </w:rPr>
      </w:pPr>
      <w:r>
        <w:rPr>
          <w:noProof/>
        </w:rPr>
        <w:t>Frustration with traditional and institutionalised forms of political participation can also result in people choosing to show their interest in politics or express their concerns without any (or with little) mediation by organised bodies, be they political parties or non-governmental organisations. To this end, as mentioned in the first section of the chapter, a wide array of opportunities for political communication is offered by the internet and its applications, which young people have been in the forefront of using. The virtual spaces frequented by young people such as online forums, chat rooms, social networks and blogs, may serve the same basic function as the physical ones they sometimes replace: establishing collective interaction around common interests (</w:t>
      </w:r>
      <w:r>
        <w:rPr>
          <w:rStyle w:val="FootnoteReference"/>
          <w:noProof/>
        </w:rPr>
        <w:footnoteReference w:id="20"/>
      </w:r>
      <w:r>
        <w:rPr>
          <w:noProof/>
        </w:rPr>
        <w:t>). In this sense, they constitute a great resource for political and social engagement, which young people have been the quickest to recognise and use. For example, as shown in Figure 5-J, the internet plays a significant role in facilitating interactions between young citizens' and public authorities</w:t>
      </w:r>
      <w:r>
        <w:rPr>
          <w:bCs/>
          <w:noProof/>
        </w:rPr>
        <w:t>.</w:t>
      </w:r>
    </w:p>
    <w:p>
      <w:pPr>
        <w:pStyle w:val="Yo1Textpara"/>
        <w:rPr>
          <w:rFonts w:ascii="Verdana" w:eastAsia="Cambria" w:hAnsi="Verdana" w:cs="Calibri"/>
          <w:bCs/>
          <w:noProof/>
          <w:color w:val="7F7F7F"/>
          <w:w w:val="80"/>
          <w:szCs w:val="22"/>
          <w:lang w:eastAsia="en-US"/>
        </w:rPr>
      </w:pPr>
      <w:r>
        <w:rPr>
          <w:rFonts w:ascii="Verdana" w:eastAsia="Cambria" w:hAnsi="Verdana" w:cs="Calibri"/>
          <w:b/>
          <w:bCs/>
          <w:noProof/>
          <w:color w:val="7F7F7F"/>
          <w:w w:val="80"/>
          <w:szCs w:val="22"/>
          <w:lang w:eastAsia="en-US"/>
        </w:rPr>
        <w:br w:type="page"/>
        <w:t>Figure 5-J</w:t>
      </w:r>
      <w:r>
        <w:rPr>
          <w:rFonts w:ascii="Verdana" w:eastAsia="Cambria" w:hAnsi="Verdana" w:cs="Calibri"/>
          <w:bCs/>
          <w:noProof/>
          <w:color w:val="7F7F7F"/>
          <w:w w:val="80"/>
          <w:szCs w:val="22"/>
          <w:lang w:eastAsia="en-US"/>
        </w:rPr>
        <w:t>: Proportion of young people (aged 16-24) who used the internet to interact with public authorities in the twelve months before the survey, by country, 2010 and 2017</w:t>
      </w:r>
    </w:p>
    <w:p>
      <w:pPr>
        <w:pStyle w:val="Yo5TextNotes"/>
        <w:rPr>
          <w:noProof/>
          <w:lang w:val="en-GB"/>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532"/>
        <w:gridCol w:w="1885"/>
        <w:gridCol w:w="7721"/>
      </w:tblGrid>
      <w:tr>
        <w:trPr>
          <w:trHeight w:val="2667"/>
        </w:trPr>
        <w:tc>
          <w:tcPr>
            <w:tcW w:w="299" w:type="pct"/>
            <w:vMerge w:val="restart"/>
            <w:tcBorders>
              <w:right w:val="nil"/>
            </w:tcBorders>
            <w:shd w:val="clear" w:color="auto" w:fill="FB5F5F"/>
            <w:textDirection w:val="btLr"/>
            <w:vAlign w:val="bottom"/>
          </w:tcPr>
          <w:p>
            <w:pPr>
              <w:pStyle w:val="Yo13YouthIndicator"/>
              <w:jc w:val="center"/>
              <w:rPr>
                <w:noProof/>
                <w:lang w:eastAsia="fr-BE"/>
              </w:rPr>
            </w:pPr>
            <w:r>
              <w:rPr>
                <w:noProof/>
              </w:rPr>
              <w:t>EU youth indicator</w:t>
            </w:r>
          </w:p>
        </w:tc>
        <w:tc>
          <w:tcPr>
            <w:tcW w:w="4701" w:type="pct"/>
            <w:gridSpan w:val="2"/>
            <w:tcBorders>
              <w:top w:val="single" w:sz="4" w:space="0" w:color="auto"/>
              <w:left w:val="nil"/>
              <w:bottom w:val="nil"/>
              <w:right w:val="single" w:sz="4" w:space="0" w:color="auto"/>
            </w:tcBorders>
            <w:shd w:val="clear" w:color="auto" w:fill="auto"/>
          </w:tcPr>
          <w:p>
            <w:pPr>
              <w:pStyle w:val="Yo5TextNotes"/>
              <w:tabs>
                <w:tab w:val="clear" w:pos="1985"/>
                <w:tab w:val="left" w:pos="9248"/>
              </w:tabs>
              <w:rPr>
                <w:noProof/>
                <w:lang w:eastAsia="en-GB"/>
              </w:rPr>
            </w:pPr>
            <w:r>
              <w:rPr>
                <w:noProof/>
                <w:lang w:eastAsia="en-GB"/>
              </w:rPr>
              <w:t>%                                                                                                                                                                                       %</w:t>
            </w:r>
          </w:p>
          <w:p>
            <w:pPr>
              <w:pStyle w:val="Yo5TextNotesafter"/>
              <w:rPr>
                <w:noProof/>
                <w:sz w:val="16"/>
              </w:rPr>
            </w:pPr>
            <w:r>
              <w:rPr>
                <w:noProof/>
                <w:snapToGrid/>
                <w:sz w:val="16"/>
              </w:rPr>
              <w:drawing>
                <wp:inline distT="0" distB="0" distL="0" distR="0">
                  <wp:extent cx="5953125" cy="2171700"/>
                  <wp:effectExtent l="0" t="0" r="9525" b="0"/>
                  <wp:docPr id="17" name="Picture 17" descr="\\s-eacea-fs03-p\EACEA.A7\Youth\04_Reports\a_EU_Youth_Reports\2018\03_graph\5_J_internet_intera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acea-fs03-p\EACEA.A7\Youth\04_Reports\a_EU_Youth_Reports\2018\03_graph\5_J_internet_interactions.jp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5953125" cy="2171700"/>
                          </a:xfrm>
                          <a:prstGeom prst="rect">
                            <a:avLst/>
                          </a:prstGeom>
                          <a:noFill/>
                          <a:ln>
                            <a:noFill/>
                          </a:ln>
                        </pic:spPr>
                      </pic:pic>
                    </a:graphicData>
                  </a:graphic>
                </wp:inline>
              </w:drawing>
            </w:r>
          </w:p>
        </w:tc>
      </w:tr>
      <w:tr>
        <w:trPr>
          <w:trHeight w:val="1839"/>
        </w:trPr>
        <w:tc>
          <w:tcPr>
            <w:tcW w:w="299" w:type="pct"/>
            <w:vMerge/>
            <w:tcBorders>
              <w:right w:val="nil"/>
            </w:tcBorders>
            <w:shd w:val="clear" w:color="auto" w:fill="FB5F5F"/>
            <w:textDirection w:val="btLr"/>
            <w:vAlign w:val="bottom"/>
          </w:tcPr>
          <w:p>
            <w:pPr>
              <w:pStyle w:val="Yo13YouthIndicator"/>
              <w:rPr>
                <w:noProof/>
              </w:rPr>
            </w:pPr>
          </w:p>
        </w:tc>
        <w:tc>
          <w:tcPr>
            <w:tcW w:w="922" w:type="pct"/>
            <w:tcBorders>
              <w:top w:val="nil"/>
              <w:left w:val="nil"/>
              <w:bottom w:val="single" w:sz="4" w:space="0" w:color="auto"/>
              <w:right w:val="nil"/>
            </w:tcBorders>
            <w:shd w:val="clear" w:color="auto" w:fill="auto"/>
          </w:tcPr>
          <w:p>
            <w:pPr>
              <w:pStyle w:val="Yo5TextNotes"/>
              <w:tabs>
                <w:tab w:val="clear" w:pos="1985"/>
                <w:tab w:val="left" w:pos="9248"/>
              </w:tabs>
              <w:rPr>
                <w:noProof/>
                <w:sz w:val="12"/>
                <w:lang w:eastAsia="en-GB"/>
              </w:rPr>
            </w:pPr>
            <w:r>
              <w:rPr>
                <w:noProof/>
                <w:sz w:val="12"/>
                <w:lang w:eastAsia="en-GB"/>
              </w:rPr>
              <w:t>%                           %</w:t>
            </w:r>
          </w:p>
          <w:p>
            <w:pPr>
              <w:pStyle w:val="Yo5TextNotes"/>
              <w:tabs>
                <w:tab w:val="clear" w:pos="1985"/>
                <w:tab w:val="left" w:pos="9248"/>
              </w:tabs>
              <w:rPr>
                <w:noProof/>
                <w:lang w:eastAsia="en-GB"/>
              </w:rPr>
            </w:pPr>
            <w:r>
              <w:rPr>
                <w:noProof/>
                <w:snapToGrid/>
                <w:lang w:val="en-US"/>
              </w:rPr>
              <w:drawing>
                <wp:inline distT="0" distB="0" distL="0" distR="0">
                  <wp:extent cx="1038225" cy="1057275"/>
                  <wp:effectExtent l="0" t="0" r="9525" b="9525"/>
                  <wp:docPr id="18" name="Picture 18" descr="\\s-eacea-fs03-p\EACEA.A7\Youth\04_Reports\a_EU_Youth_Reports\2018\03_graph\5_J_internet_interactions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acea-fs03-p\EACEA.A7\Youth\04_Reports\a_EU_Youth_Reports\2018\03_graph\5_J_internet_interactions_gender.jpg"/>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038225" cy="1057275"/>
                          </a:xfrm>
                          <a:prstGeom prst="rect">
                            <a:avLst/>
                          </a:prstGeom>
                          <a:noFill/>
                          <a:ln>
                            <a:noFill/>
                          </a:ln>
                        </pic:spPr>
                      </pic:pic>
                    </a:graphicData>
                  </a:graphic>
                </wp:inline>
              </w:drawing>
            </w:r>
          </w:p>
        </w:tc>
        <w:tc>
          <w:tcPr>
            <w:tcW w:w="3779" w:type="pct"/>
            <w:tcBorders>
              <w:top w:val="nil"/>
              <w:left w:val="nil"/>
            </w:tcBorders>
            <w:shd w:val="clear" w:color="auto" w:fill="auto"/>
          </w:tcPr>
          <w:p>
            <w:pPr>
              <w:pStyle w:val="Yo5TextNotesbeforeafter"/>
              <w:rPr>
                <w:noProof/>
                <w:lang w:val="en-US" w:eastAsia="en-GB"/>
              </w:rPr>
            </w:pPr>
            <w:r>
              <w:rPr>
                <w:i/>
                <w:noProof/>
                <w:lang w:val="en-GB" w:eastAsia="en-GB"/>
              </w:rPr>
              <w:t>Notes</w:t>
            </w:r>
            <w:r>
              <w:rPr>
                <w:noProof/>
                <w:lang w:val="en-GB" w:eastAsia="en-GB"/>
              </w:rPr>
              <w:t>: Czech Republic</w:t>
            </w:r>
            <w:r>
              <w:rPr>
                <w:noProof/>
                <w:lang w:val="en-US" w:eastAsia="en-GB"/>
              </w:rPr>
              <w:t xml:space="preserve"> and Sweden: break in time series in 2017.</w:t>
            </w:r>
          </w:p>
          <w:p>
            <w:pPr>
              <w:pStyle w:val="Yo5TextNotes"/>
              <w:tabs>
                <w:tab w:val="clear" w:pos="1985"/>
                <w:tab w:val="left" w:pos="9248"/>
              </w:tabs>
              <w:rPr>
                <w:noProof/>
                <w:lang w:eastAsia="en-GB"/>
              </w:rPr>
            </w:pPr>
            <w:r>
              <w:rPr>
                <w:i/>
                <w:noProof/>
                <w:lang w:val="en-GB" w:eastAsia="en-GB"/>
              </w:rPr>
              <w:t>Source</w:t>
            </w:r>
            <w:r>
              <w:rPr>
                <w:noProof/>
                <w:lang w:val="en-GB" w:eastAsia="en-GB"/>
              </w:rPr>
              <w:t>: Eurostat [isoc_ciegi_ac]</w:t>
            </w:r>
          </w:p>
        </w:tc>
      </w:tr>
    </w:tbl>
    <w:p>
      <w:pPr>
        <w:pStyle w:val="Yo5TextNotesbeforeafter"/>
        <w:rPr>
          <w:noProof/>
          <w:lang w:val="en-US"/>
        </w:rPr>
      </w:pPr>
    </w:p>
    <w:p>
      <w:pPr>
        <w:pStyle w:val="Yo1Textpara"/>
        <w:rPr>
          <w:noProof/>
        </w:rPr>
      </w:pPr>
      <w:r>
        <w:rPr>
          <w:noProof/>
        </w:rPr>
        <w:t>Data collected by Eurostat show that, on average, 46 % of young Europeans used the internet to contact or interact with public authorities in 2017, and this figure has increased over the last seven years, in particular in Estonia, Greece and Turkey. In the Scandinavian and Baltic countries, this percentage is extremely high, indicating a widespread use of online applications to obtain information from public authorities. On the other hand, young people in some European countries, in particular in Southern and Eastern Europe, seem less familiar with this form of interaction with public authorities. It is to be kept in mind that the propensity to use the internet to interact with public authorities is strongly influenced by the level of digitalisation reached in a country (i.e. where public administrations have established online procedures to communicate and interact with citizens, using to the internet is obviously more common amongst younger as well as older individuals). In addition, cross-country differences in the use of media to reach out to public authorities clearly reflect differences in the availability of internet connections and computers in households, and the overall frequency of internet use by individuals. Countries with low scores in these areas are also those where young people have had less contact with public authorities via online channels (</w:t>
      </w:r>
      <w:r>
        <w:rPr>
          <w:rStyle w:val="FootnoteReference"/>
          <w:noProof/>
        </w:rPr>
        <w:footnoteReference w:id="21"/>
      </w:r>
      <w:r>
        <w:rPr>
          <w:noProof/>
        </w:rPr>
        <w:t>). Reversing the general trend in participation levels by gender as discussed so far, the use of internet for reaching out to public authorities is more common amongst young women than men.</w:t>
      </w:r>
    </w:p>
    <w:tbl>
      <w:tblPr>
        <w:tblpPr w:leftFromText="181" w:rightFromText="181" w:vertAnchor="text" w:horzAnchor="margin" w:tblpXSpec="right" w:tblpY="-2783"/>
        <w:tblOverlap w:val="never"/>
        <w:tblW w:w="0" w:type="auto"/>
        <w:shd w:val="clear" w:color="auto" w:fill="E5B8B7"/>
        <w:tblCellMar>
          <w:top w:w="28" w:type="dxa"/>
          <w:left w:w="142" w:type="dxa"/>
          <w:bottom w:w="28" w:type="dxa"/>
          <w:right w:w="142" w:type="dxa"/>
        </w:tblCellMar>
        <w:tblLook w:val="04A0" w:firstRow="1" w:lastRow="0" w:firstColumn="1" w:lastColumn="0" w:noHBand="0" w:noVBand="1"/>
      </w:tblPr>
      <w:tblGrid>
        <w:gridCol w:w="2977"/>
      </w:tblGrid>
      <w:tr>
        <w:tc>
          <w:tcPr>
            <w:tcW w:w="2977" w:type="dxa"/>
            <w:shd w:val="clear" w:color="auto" w:fill="FFA3A4"/>
          </w:tcPr>
          <w:p>
            <w:pPr>
              <w:pStyle w:val="Yo12Encart"/>
              <w:rPr>
                <w:rFonts w:ascii="Arial Narrow" w:hAnsi="Arial Narrow"/>
                <w:i w:val="0"/>
                <w:noProof/>
                <w:sz w:val="22"/>
                <w:szCs w:val="22"/>
              </w:rPr>
            </w:pPr>
            <w:r>
              <w:rPr>
                <w:rFonts w:ascii="Arial Narrow" w:hAnsi="Arial Narrow"/>
                <w:i w:val="0"/>
                <w:noProof/>
                <w:sz w:val="22"/>
                <w:szCs w:val="22"/>
              </w:rPr>
              <w:t>On average, one in two young Europeans uses the internet and its social media to interact with public authorities.</w:t>
            </w:r>
          </w:p>
        </w:tc>
      </w:tr>
    </w:tbl>
    <w:p>
      <w:pPr>
        <w:pStyle w:val="Yo1Textpara"/>
        <w:rPr>
          <w:rFonts w:ascii="Verdana" w:eastAsia="Cambria" w:hAnsi="Verdana" w:cs="Calibri"/>
          <w:bCs/>
          <w:noProof/>
          <w:color w:val="7F7F7F"/>
          <w:w w:val="80"/>
          <w:szCs w:val="22"/>
          <w:lang w:eastAsia="en-US"/>
        </w:rPr>
      </w:pPr>
      <w:r>
        <w:rPr>
          <w:noProof/>
        </w:rPr>
        <w:t>The new media also serve as a vehicle for individuals to express their opinions on civic and political issues. On average, 16 % of young Europeans posted their views and ideas on online websites in 2017 (Figure 5-K).</w:t>
      </w:r>
      <w:r>
        <w:rPr>
          <w:noProof/>
        </w:rPr>
        <w:br w:type="page"/>
      </w:r>
      <w:r>
        <w:rPr>
          <w:rFonts w:ascii="Verdana" w:eastAsia="Cambria" w:hAnsi="Verdana" w:cs="Calibri"/>
          <w:b/>
          <w:bCs/>
          <w:noProof/>
          <w:color w:val="7F7F7F"/>
          <w:w w:val="80"/>
          <w:szCs w:val="22"/>
          <w:lang w:eastAsia="en-US"/>
        </w:rPr>
        <w:t>Figure 5-K:</w:t>
      </w:r>
      <w:r>
        <w:rPr>
          <w:rFonts w:ascii="Verdana" w:eastAsia="Cambria" w:hAnsi="Verdana" w:cs="Calibri"/>
          <w:bCs/>
          <w:noProof/>
          <w:color w:val="7F7F7F"/>
          <w:w w:val="80"/>
          <w:szCs w:val="22"/>
          <w:lang w:eastAsia="en-US"/>
        </w:rPr>
        <w:t xml:space="preserve"> Proportion of young people (aged 16-24) who have used the internet in the three months before the survey and who have posted opinions on civic or political issues via websites (e.g. blogs, social networks, etc.), by country, 2017</w:t>
      </w:r>
    </w:p>
    <w:tbl>
      <w:tblPr>
        <w:tblW w:w="1040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533"/>
        <w:gridCol w:w="1984"/>
        <w:gridCol w:w="7885"/>
      </w:tblGrid>
      <w:tr>
        <w:trPr>
          <w:trHeight w:val="2667"/>
        </w:trPr>
        <w:tc>
          <w:tcPr>
            <w:tcW w:w="533" w:type="dxa"/>
            <w:vMerge w:val="restart"/>
            <w:tcBorders>
              <w:right w:val="single" w:sz="4" w:space="0" w:color="auto"/>
            </w:tcBorders>
            <w:shd w:val="clear" w:color="auto" w:fill="FB5F5F"/>
            <w:textDirection w:val="btLr"/>
            <w:vAlign w:val="bottom"/>
          </w:tcPr>
          <w:p>
            <w:pPr>
              <w:pStyle w:val="Yo13YouthIndicator"/>
              <w:jc w:val="center"/>
              <w:rPr>
                <w:noProof/>
                <w:lang w:eastAsia="fr-BE"/>
              </w:rPr>
            </w:pPr>
            <w:r>
              <w:rPr>
                <w:noProof/>
              </w:rPr>
              <w:t>EU youth indicator</w:t>
            </w:r>
          </w:p>
        </w:tc>
        <w:tc>
          <w:tcPr>
            <w:tcW w:w="9869" w:type="dxa"/>
            <w:gridSpan w:val="2"/>
            <w:tcBorders>
              <w:top w:val="single" w:sz="4" w:space="0" w:color="auto"/>
              <w:left w:val="single" w:sz="4" w:space="0" w:color="auto"/>
              <w:bottom w:val="nil"/>
              <w:right w:val="single" w:sz="4" w:space="0" w:color="auto"/>
            </w:tcBorders>
            <w:shd w:val="clear" w:color="auto" w:fill="auto"/>
          </w:tcPr>
          <w:p>
            <w:pPr>
              <w:pStyle w:val="Yo5TextNotes"/>
              <w:tabs>
                <w:tab w:val="clear" w:pos="1985"/>
                <w:tab w:val="left" w:pos="9248"/>
              </w:tabs>
              <w:ind w:left="176"/>
              <w:rPr>
                <w:noProof/>
                <w:lang w:eastAsia="en-GB"/>
              </w:rPr>
            </w:pPr>
            <w:r>
              <w:rPr>
                <w:noProof/>
                <w:lang w:eastAsia="en-GB"/>
              </w:rPr>
              <w:t>%</w:t>
            </w:r>
            <w:r>
              <w:rPr>
                <w:noProof/>
                <w:lang w:eastAsia="en-GB"/>
              </w:rPr>
              <w:tab/>
              <w:t>%</w:t>
            </w:r>
          </w:p>
          <w:p>
            <w:pPr>
              <w:pStyle w:val="Yo5TextNotesafter"/>
              <w:rPr>
                <w:noProof/>
                <w:sz w:val="16"/>
              </w:rPr>
            </w:pPr>
            <w:r>
              <w:rPr>
                <w:noProof/>
                <w:snapToGrid/>
              </w:rPr>
              <w:drawing>
                <wp:inline distT="0" distB="0" distL="0" distR="0">
                  <wp:extent cx="6124575" cy="2114550"/>
                  <wp:effectExtent l="0" t="0" r="9525" b="0"/>
                  <wp:docPr id="19" name="Picture 19" descr="\\s-eacea-fs03-p\EACEA.A7\Youth\04_Reports\a_EU_Youth_Reports\2018\03_graph\5_K_posting_opin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acea-fs03-p\EACEA.A7\Youth\04_Reports\a_EU_Youth_Reports\2018\03_graph\5_K_posting_opinions.jpg"/>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6124575" cy="2114550"/>
                          </a:xfrm>
                          <a:prstGeom prst="rect">
                            <a:avLst/>
                          </a:prstGeom>
                          <a:noFill/>
                          <a:ln>
                            <a:noFill/>
                          </a:ln>
                        </pic:spPr>
                      </pic:pic>
                    </a:graphicData>
                  </a:graphic>
                </wp:inline>
              </w:drawing>
            </w:r>
          </w:p>
        </w:tc>
      </w:tr>
      <w:tr>
        <w:trPr>
          <w:trHeight w:val="1969"/>
        </w:trPr>
        <w:tc>
          <w:tcPr>
            <w:tcW w:w="533" w:type="dxa"/>
            <w:vMerge/>
            <w:shd w:val="clear" w:color="auto" w:fill="FB5F5F"/>
            <w:textDirection w:val="btLr"/>
            <w:vAlign w:val="bottom"/>
          </w:tcPr>
          <w:p>
            <w:pPr>
              <w:pStyle w:val="Yo13YouthIndicator"/>
              <w:jc w:val="center"/>
              <w:rPr>
                <w:noProof/>
              </w:rPr>
            </w:pPr>
          </w:p>
        </w:tc>
        <w:tc>
          <w:tcPr>
            <w:tcW w:w="1984" w:type="dxa"/>
            <w:tcBorders>
              <w:top w:val="nil"/>
              <w:right w:val="nil"/>
            </w:tcBorders>
            <w:shd w:val="clear" w:color="auto" w:fill="auto"/>
          </w:tcPr>
          <w:p>
            <w:pPr>
              <w:pStyle w:val="Yo5TextNotes"/>
              <w:tabs>
                <w:tab w:val="clear" w:pos="1985"/>
                <w:tab w:val="left" w:pos="9248"/>
              </w:tabs>
              <w:ind w:left="176"/>
              <w:rPr>
                <w:noProof/>
                <w:sz w:val="12"/>
                <w:lang w:eastAsia="en-GB"/>
              </w:rPr>
            </w:pPr>
            <w:r>
              <w:rPr>
                <w:noProof/>
                <w:sz w:val="12"/>
                <w:lang w:eastAsia="en-GB"/>
              </w:rPr>
              <w:t>%                            %</w:t>
            </w:r>
          </w:p>
          <w:p>
            <w:pPr>
              <w:pStyle w:val="Yo5TextNotes"/>
              <w:tabs>
                <w:tab w:val="clear" w:pos="1985"/>
                <w:tab w:val="left" w:pos="9248"/>
              </w:tabs>
              <w:ind w:left="176"/>
              <w:jc w:val="left"/>
              <w:rPr>
                <w:noProof/>
                <w:lang w:eastAsia="en-GB"/>
              </w:rPr>
            </w:pPr>
            <w:r>
              <w:rPr>
                <w:noProof/>
                <w:snapToGrid/>
                <w:lang w:val="en-US"/>
              </w:rPr>
              <w:drawing>
                <wp:inline distT="0" distB="0" distL="0" distR="0">
                  <wp:extent cx="1000125" cy="1181100"/>
                  <wp:effectExtent l="0" t="0" r="9525" b="0"/>
                  <wp:docPr id="20" name="Picture 20" descr="\\s-eacea-fs03-p\EACEA.A7\Youth\04_Reports\a_EU_Youth_Reports\2018\03_graph\5_K_posting_opinions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cea-fs03-p\EACEA.A7\Youth\04_Reports\a_EU_Youth_Reports\2018\03_graph\5_K_posting_opinions_gender.jpg"/>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1000125" cy="1181100"/>
                          </a:xfrm>
                          <a:prstGeom prst="rect">
                            <a:avLst/>
                          </a:prstGeom>
                          <a:noFill/>
                          <a:ln>
                            <a:noFill/>
                          </a:ln>
                        </pic:spPr>
                      </pic:pic>
                    </a:graphicData>
                  </a:graphic>
                </wp:inline>
              </w:drawing>
            </w:r>
          </w:p>
        </w:tc>
        <w:tc>
          <w:tcPr>
            <w:tcW w:w="7885" w:type="dxa"/>
            <w:tcBorders>
              <w:top w:val="nil"/>
              <w:left w:val="nil"/>
              <w:bottom w:val="single" w:sz="4" w:space="0" w:color="auto"/>
              <w:right w:val="single" w:sz="4" w:space="0" w:color="auto"/>
            </w:tcBorders>
            <w:shd w:val="clear" w:color="auto" w:fill="auto"/>
          </w:tcPr>
          <w:p>
            <w:pPr>
              <w:pStyle w:val="Yo5TextNotesbeforeafter"/>
              <w:rPr>
                <w:noProof/>
                <w:lang w:val="en-GB" w:eastAsia="en-GB"/>
              </w:rPr>
            </w:pPr>
            <w:r>
              <w:rPr>
                <w:i/>
                <w:noProof/>
                <w:lang w:val="en-GB" w:eastAsia="en-GB"/>
              </w:rPr>
              <w:t>Source</w:t>
            </w:r>
            <w:r>
              <w:rPr>
                <w:noProof/>
                <w:lang w:val="en-GB" w:eastAsia="en-GB"/>
              </w:rPr>
              <w:t>: Eurostat [isoc_ci_ac_i]. Data for 2010 are not available.</w:t>
            </w:r>
          </w:p>
          <w:p>
            <w:pPr>
              <w:pStyle w:val="Yo5TextNotesbeforeafter"/>
              <w:rPr>
                <w:noProof/>
                <w:lang w:val="en-GB" w:eastAsia="en-GB"/>
              </w:rPr>
            </w:pPr>
          </w:p>
        </w:tc>
      </w:tr>
    </w:tbl>
    <w:p>
      <w:pPr>
        <w:pStyle w:val="Yo1Textpara"/>
        <w:rPr>
          <w:noProof/>
        </w:rPr>
      </w:pPr>
      <w:r>
        <w:rPr>
          <w:noProof/>
        </w:rPr>
        <w:t xml:space="preserve">Higher percentages (over 20 %) are recorded in Denmark, Spain, Italy, Sweden, the United Kingdom and Iceland, while levels well below the EU average are found in Belgium, Czech Republic, Austria and Finland. Comparing these data with those on interactions with public authorities (Figure 5-J), no relationship can be established between the two types of activity, despite both being based on the use of the internet: the willingness of young people to interact with public authorities online does not therefore appear to be linked to their willingness to express opinions in virtual spaces.  </w:t>
      </w:r>
    </w:p>
    <w:p>
      <w:pPr>
        <w:pStyle w:val="Yo1Textpara"/>
        <w:rPr>
          <w:noProof/>
        </w:rPr>
      </w:pPr>
      <w:r>
        <w:rPr>
          <w:noProof/>
        </w:rPr>
        <w:t>It might be expected that the level of education, particularly in the area of digital competences, would influence the opportunities young people have to take full advantage of the new technologies for engaging in political interaction. Research has, indeed, documented a 'digital divide', i.e. a level of inequality in the skills acquired and type of activities performed even amongst individuals who have equal access to the internet (</w:t>
      </w:r>
      <w:r>
        <w:rPr>
          <w:rStyle w:val="FootnoteReference"/>
          <w:noProof/>
        </w:rPr>
        <w:footnoteReference w:id="22"/>
      </w:r>
      <w:r>
        <w:rPr>
          <w:noProof/>
        </w:rPr>
        <w:t>). Despite this, the new media are considered to lower the threshold for young people’s participation and this fact therefore needs to be taken into account in order to fully appreciate the civic and political involvement of today’s youth (</w:t>
      </w:r>
      <w:r>
        <w:rPr>
          <w:rStyle w:val="FootnoteReference"/>
          <w:noProof/>
        </w:rPr>
        <w:footnoteReference w:id="23"/>
      </w:r>
      <w:r>
        <w:rPr>
          <w:noProof/>
        </w:rPr>
        <w:t>).</w:t>
      </w:r>
    </w:p>
    <w:p>
      <w:pPr>
        <w:pStyle w:val="Yo1Textpara"/>
        <w:rPr>
          <w:rFonts w:ascii="Arial Narrow" w:hAnsi="Arial Narrow" w:cs="Arial"/>
          <w:bCs/>
          <w:caps/>
          <w:noProof/>
          <w:color w:val="DA1E48"/>
          <w:spacing w:val="10"/>
          <w:sz w:val="28"/>
          <w:szCs w:val="28"/>
          <w:lang w:val="en-US" w:eastAsia="x-none"/>
        </w:rPr>
      </w:pPr>
    </w:p>
    <w:p>
      <w:pPr>
        <w:pStyle w:val="Yo1Textpara"/>
        <w:rPr>
          <w:rFonts w:ascii="Arial Narrow" w:hAnsi="Arial Narrow" w:cs="Arial"/>
          <w:bCs/>
          <w:caps/>
          <w:noProof/>
          <w:color w:val="DA1E48"/>
          <w:spacing w:val="10"/>
          <w:sz w:val="28"/>
          <w:szCs w:val="28"/>
          <w:lang w:val="en-US" w:eastAsia="x-none"/>
        </w:rPr>
      </w:pPr>
      <w:r>
        <w:rPr>
          <w:rFonts w:ascii="Arial Narrow" w:hAnsi="Arial Narrow" w:cs="Arial"/>
          <w:bCs/>
          <w:caps/>
          <w:noProof/>
          <w:color w:val="DA1E48"/>
          <w:spacing w:val="10"/>
          <w:sz w:val="28"/>
          <w:szCs w:val="28"/>
          <w:lang w:val="en-US" w:eastAsia="x-none"/>
        </w:rPr>
        <w:br w:type="page"/>
        <w:t>Conclusion</w:t>
      </w:r>
    </w:p>
    <w:p>
      <w:pPr>
        <w:pStyle w:val="Yo1Textpara"/>
        <w:rPr>
          <w:noProof/>
        </w:rPr>
      </w:pPr>
      <w:r>
        <w:rPr>
          <w:noProof/>
        </w:rPr>
        <w:t xml:space="preserve">Young people have shown increasing interest in politics since 2010, and are those who feel the most European in the general population. Yet, electoral turnout continues to decrease amongst young Europeans, especially on occasion of EU elections. Feeling unrepresented by the options available at elections appears as the most frequent reason reported for not taking part, rather than a lack of interest in democratic participation. </w:t>
      </w:r>
    </w:p>
    <w:p>
      <w:pPr>
        <w:pStyle w:val="Yo1Textpara"/>
        <w:rPr>
          <w:noProof/>
        </w:rPr>
      </w:pPr>
      <w:r>
        <w:rPr>
          <w:noProof/>
        </w:rPr>
        <w:t xml:space="preserve">However, new modes of political engagement and communication have attracted young Europeans' interest. Frustration with traditional and institutionalised forms of political participation has motivated young people to use the internet and its applications (such as social media, podcasts, wikis, blogs and online networks) as a vehicle for expressing their opinions, establishing communities of likeminded citizens and initiate organised actions. </w:t>
      </w:r>
    </w:p>
    <w:p>
      <w:pPr>
        <w:pStyle w:val="Yo1Textpara"/>
        <w:rPr>
          <w:noProof/>
        </w:rPr>
        <w:sectPr>
          <w:headerReference w:type="even" r:id="rId55"/>
          <w:headerReference w:type="default" r:id="rId56"/>
          <w:footerReference w:type="even" r:id="rId57"/>
          <w:footerReference w:type="default" r:id="rId58"/>
          <w:headerReference w:type="first" r:id="rId59"/>
          <w:footerReference w:type="first" r:id="rId60"/>
          <w:type w:val="oddPage"/>
          <w:pgSz w:w="11906" w:h="16838" w:code="9"/>
          <w:pgMar w:top="1985" w:right="992" w:bottom="851" w:left="992" w:header="709" w:footer="397" w:gutter="0"/>
          <w:pgNumType w:start="75"/>
          <w:cols w:space="720"/>
          <w:docGrid w:linePitch="360"/>
        </w:sectPr>
      </w:pPr>
    </w:p>
    <w:p>
      <w:pPr>
        <w:pStyle w:val="Yo0H1"/>
        <w:rPr>
          <w:noProof/>
          <w:lang w:val="en-GB"/>
        </w:rPr>
      </w:pPr>
      <w:bookmarkStart w:id="6" w:name="_Toc508378829"/>
      <w:bookmarkStart w:id="7" w:name="_Toc508378854"/>
      <w:bookmarkEnd w:id="4"/>
      <w:bookmarkEnd w:id="5"/>
      <w:r>
        <w:rPr>
          <w:noProof/>
          <w:lang w:val="en-GB"/>
        </w:rPr>
        <w:t>6. Voluntary</w:t>
      </w:r>
      <w:r>
        <w:rPr>
          <w:rFonts w:cs="Calibri"/>
          <w:noProof/>
          <w:lang w:val="en-GB"/>
        </w:rPr>
        <w:t xml:space="preserve"> A</w:t>
      </w:r>
      <w:r>
        <w:rPr>
          <w:noProof/>
          <w:lang w:val="en-GB"/>
        </w:rPr>
        <w:t>ctivities</w:t>
      </w:r>
      <w:bookmarkEnd w:id="6"/>
      <w:bookmarkEnd w:id="7"/>
    </w:p>
    <w:tbl>
      <w:tblPr>
        <w:tblW w:w="5000" w:type="pct"/>
        <w:shd w:val="clear" w:color="auto" w:fill="FBD4B4"/>
        <w:tblLayout w:type="fixed"/>
        <w:tblCellMar>
          <w:top w:w="113" w:type="dxa"/>
          <w:bottom w:w="113" w:type="dxa"/>
        </w:tblCellMar>
        <w:tblLook w:val="04A0" w:firstRow="1" w:lastRow="0" w:firstColumn="1" w:lastColumn="0" w:noHBand="0" w:noVBand="1"/>
      </w:tblPr>
      <w:tblGrid>
        <w:gridCol w:w="8848"/>
        <w:gridCol w:w="1290"/>
      </w:tblGrid>
      <w:tr>
        <w:tc>
          <w:tcPr>
            <w:tcW w:w="4364" w:type="pct"/>
            <w:shd w:val="clear" w:color="auto" w:fill="FBD4B4"/>
            <w:vAlign w:val="center"/>
          </w:tcPr>
          <w:p>
            <w:pPr>
              <w:pStyle w:val="Yo5TextEUYouth"/>
              <w:framePr w:hSpace="0" w:wrap="auto" w:vAnchor="margin" w:hAnchor="text" w:xAlign="left" w:yAlign="inline"/>
              <w:rPr>
                <w:noProof/>
                <w:lang w:val="en-GB"/>
              </w:rPr>
            </w:pPr>
            <w:r>
              <w:rPr>
                <w:noProof/>
                <w:lang w:val="en-GB"/>
              </w:rPr>
              <w:t>EU youth indicators</w:t>
            </w:r>
          </w:p>
        </w:tc>
        <w:tc>
          <w:tcPr>
            <w:tcW w:w="636" w:type="pct"/>
            <w:shd w:val="clear" w:color="auto" w:fill="FBD4B4"/>
            <w:vAlign w:val="center"/>
          </w:tcPr>
          <w:p>
            <w:pPr>
              <w:pStyle w:val="p90H2"/>
              <w:spacing w:before="0" w:after="0"/>
              <w:ind w:left="0" w:firstLine="0"/>
              <w:rPr>
                <w:noProof/>
                <w:sz w:val="20"/>
              </w:rPr>
            </w:pPr>
          </w:p>
        </w:tc>
      </w:tr>
      <w:tr>
        <w:trPr>
          <w:trHeight w:val="400"/>
        </w:trPr>
        <w:tc>
          <w:tcPr>
            <w:tcW w:w="4364" w:type="pct"/>
            <w:shd w:val="clear" w:color="auto" w:fill="FBD4B4"/>
            <w:vAlign w:val="center"/>
          </w:tcPr>
          <w:p>
            <w:pPr>
              <w:pStyle w:val="Yo5TextEUYouthTOC"/>
              <w:framePr w:hSpace="0" w:wrap="auto" w:vAnchor="margin" w:hAnchor="text" w:xAlign="left" w:yAlign="inline"/>
            </w:pPr>
            <w:r>
              <w:t>Participation of young people in organised voluntary activities</w:t>
            </w:r>
          </w:p>
        </w:tc>
        <w:tc>
          <w:tcPr>
            <w:tcW w:w="636" w:type="pct"/>
            <w:shd w:val="clear" w:color="auto" w:fill="FBD4B4"/>
            <w:vAlign w:val="center"/>
          </w:tcPr>
          <w:p>
            <w:pPr>
              <w:pStyle w:val="Yo5TextEUYouthTOC"/>
              <w:framePr w:hSpace="0" w:wrap="auto" w:vAnchor="margin" w:hAnchor="text" w:xAlign="left" w:yAlign="inline"/>
            </w:pPr>
            <w:r>
              <w:t>Figure 6-A</w:t>
            </w:r>
          </w:p>
        </w:tc>
      </w:tr>
      <w:tr>
        <w:trPr>
          <w:trHeight w:val="398"/>
        </w:trPr>
        <w:tc>
          <w:tcPr>
            <w:tcW w:w="4364" w:type="pct"/>
            <w:shd w:val="clear" w:color="auto" w:fill="FBD4B4"/>
            <w:vAlign w:val="center"/>
          </w:tcPr>
          <w:p>
            <w:pPr>
              <w:pStyle w:val="Yo5TextEUYouthTOC"/>
              <w:framePr w:hSpace="0" w:wrap="auto" w:vAnchor="margin" w:hAnchor="text" w:xAlign="left" w:yAlign="inline"/>
            </w:pPr>
            <w:r>
              <w:t>Voluntary activities aimed at changing young people’s local communities</w:t>
            </w:r>
          </w:p>
        </w:tc>
        <w:tc>
          <w:tcPr>
            <w:tcW w:w="636" w:type="pct"/>
            <w:shd w:val="clear" w:color="auto" w:fill="FBD4B4"/>
            <w:vAlign w:val="center"/>
          </w:tcPr>
          <w:p>
            <w:pPr>
              <w:pStyle w:val="Yo5TextEUYouthTOC"/>
              <w:framePr w:hSpace="0" w:wrap="auto" w:vAnchor="margin" w:hAnchor="text" w:xAlign="left" w:yAlign="inline"/>
            </w:pPr>
            <w:r>
              <w:t>Figure 6-D</w:t>
            </w:r>
          </w:p>
        </w:tc>
      </w:tr>
      <w:tr>
        <w:trPr>
          <w:trHeight w:val="398"/>
        </w:trPr>
        <w:tc>
          <w:tcPr>
            <w:tcW w:w="4364" w:type="pct"/>
            <w:shd w:val="clear" w:color="auto" w:fill="FBD4B4"/>
            <w:vAlign w:val="center"/>
          </w:tcPr>
          <w:p>
            <w:pPr>
              <w:pStyle w:val="Yo5TextEUYouthTOC"/>
              <w:framePr w:hSpace="0" w:wrap="auto" w:vAnchor="margin" w:hAnchor="text" w:xAlign="left" w:yAlign="inline"/>
            </w:pPr>
            <w:r>
              <w:t xml:space="preserve">Young people volunteering abroad </w:t>
            </w:r>
          </w:p>
        </w:tc>
        <w:tc>
          <w:tcPr>
            <w:tcW w:w="636" w:type="pct"/>
            <w:shd w:val="clear" w:color="auto" w:fill="FBD4B4"/>
            <w:vAlign w:val="center"/>
          </w:tcPr>
          <w:p>
            <w:pPr>
              <w:pStyle w:val="Yo5TextEUYouthTOC"/>
              <w:framePr w:hSpace="0" w:wrap="auto" w:vAnchor="margin" w:hAnchor="text" w:xAlign="left" w:yAlign="inline"/>
            </w:pPr>
            <w:r>
              <w:t>Figure 6-F</w:t>
            </w:r>
          </w:p>
        </w:tc>
      </w:tr>
      <w:tr>
        <w:trPr>
          <w:trHeight w:val="398"/>
        </w:trPr>
        <w:tc>
          <w:tcPr>
            <w:tcW w:w="4364" w:type="pct"/>
            <w:shd w:val="clear" w:color="auto" w:fill="FBD4B4"/>
            <w:vAlign w:val="center"/>
          </w:tcPr>
          <w:p>
            <w:pPr>
              <w:pStyle w:val="Yo5TextEUYouthTOC"/>
              <w:framePr w:hSpace="0" w:wrap="auto" w:vAnchor="margin" w:hAnchor="text" w:xAlign="left" w:yAlign="inline"/>
            </w:pPr>
            <w:r>
              <w:t>Young people receiving a certificate or diploma for voluntary activities</w:t>
            </w:r>
          </w:p>
        </w:tc>
        <w:tc>
          <w:tcPr>
            <w:tcW w:w="636" w:type="pct"/>
            <w:shd w:val="clear" w:color="auto" w:fill="FBD4B4"/>
            <w:vAlign w:val="center"/>
          </w:tcPr>
          <w:p>
            <w:pPr>
              <w:pStyle w:val="Yo5TextEUYouthTOC"/>
              <w:framePr w:hSpace="0" w:wrap="auto" w:vAnchor="margin" w:hAnchor="text" w:xAlign="left" w:yAlign="inline"/>
            </w:pPr>
            <w:r>
              <w:t>Figure 6-G</w:t>
            </w:r>
          </w:p>
        </w:tc>
      </w:tr>
    </w:tbl>
    <w:p>
      <w:pPr>
        <w:pStyle w:val="Yo5TextNotes"/>
        <w:rPr>
          <w:noProof/>
          <w:lang w:val="en-GB"/>
        </w:rPr>
        <w:sectPr>
          <w:headerReference w:type="even" r:id="rId61"/>
          <w:headerReference w:type="default" r:id="rId62"/>
          <w:footerReference w:type="even" r:id="rId63"/>
          <w:footerReference w:type="default" r:id="rId64"/>
          <w:headerReference w:type="first" r:id="rId65"/>
          <w:footerReference w:type="first" r:id="rId66"/>
          <w:pgSz w:w="11906" w:h="16838" w:code="9"/>
          <w:pgMar w:top="1985" w:right="992" w:bottom="851" w:left="992" w:header="709" w:footer="397" w:gutter="0"/>
          <w:cols w:space="720"/>
          <w:docGrid w:linePitch="360"/>
        </w:sectPr>
      </w:pPr>
    </w:p>
    <w:p>
      <w:pPr>
        <w:pStyle w:val="Yo0H2"/>
        <w:rPr>
          <w:b w:val="0"/>
          <w:noProof/>
          <w:sz w:val="28"/>
          <w:szCs w:val="28"/>
          <w:lang w:val="en-GB"/>
        </w:rPr>
      </w:pPr>
      <w:bookmarkStart w:id="8" w:name="_Toc508378830"/>
      <w:bookmarkStart w:id="9" w:name="_Toc508378855"/>
      <w:r>
        <w:rPr>
          <w:b w:val="0"/>
          <w:noProof/>
          <w:sz w:val="28"/>
          <w:szCs w:val="28"/>
          <w:lang w:val="en-GB"/>
        </w:rPr>
        <w:t>6.1. Introduction</w:t>
      </w:r>
    </w:p>
    <w:p>
      <w:pPr>
        <w:pStyle w:val="Yo1Textpara"/>
        <w:rPr>
          <w:noProof/>
        </w:rPr>
      </w:pPr>
      <w:r>
        <w:rPr>
          <w:noProof/>
        </w:rPr>
        <w:t xml:space="preserve">Volunteering represents an important contribution to the promotion of social and economic cohesion. By engaging in projects to tackle current social problems, young volunteers become key agents of social reform and develop a sense of belonging in and ownership of their community. </w:t>
      </w:r>
    </w:p>
    <w:p>
      <w:pPr>
        <w:pStyle w:val="Yo1Textpara"/>
        <w:rPr>
          <w:noProof/>
        </w:rPr>
      </w:pPr>
      <w:r>
        <w:rPr>
          <w:noProof/>
        </w:rPr>
        <w:t>In addition, participating in voluntary activities greatly contributes to a young person's human capital and personal development. The personal benefits that volunteering brings are numerous. Research has shown how it helps to discourage young people from leaving school prematurely and improves their self-confidence, sense of social responsibility, and level of psychological wellbeing (</w:t>
      </w:r>
      <w:r>
        <w:rPr>
          <w:rStyle w:val="FootnoteReference"/>
          <w:noProof/>
        </w:rPr>
        <w:footnoteReference w:id="24"/>
      </w:r>
      <w:r>
        <w:rPr>
          <w:noProof/>
        </w:rPr>
        <w:t>). More specifically, peer-mentoring (voluntary mentoring by a young person who has lived through similar experiences) has been shown to be effective in helping young people at risk of exclusion (</w:t>
      </w:r>
      <w:r>
        <w:rPr>
          <w:rStyle w:val="FootnoteReference"/>
          <w:noProof/>
        </w:rPr>
        <w:footnoteReference w:id="25"/>
      </w:r>
      <w:r>
        <w:rPr>
          <w:noProof/>
        </w:rPr>
        <w:t>). In terms of the development of human capital, volunteering provides young individuals with effective opportunities for non-formal learning which enhance their personal and professional skills and can greatly contribute to their employability. Improvements in knowledge and understanding, interpersonal and communication skills, organisational and managerial skills, fundraising, and technical and office skills are examples of the practical gains reported by young volunteers (</w:t>
      </w:r>
      <w:r>
        <w:rPr>
          <w:rStyle w:val="FootnoteReference"/>
          <w:noProof/>
        </w:rPr>
        <w:footnoteReference w:id="26"/>
      </w:r>
      <w:r>
        <w:rPr>
          <w:noProof/>
        </w:rPr>
        <w:t>).</w:t>
      </w:r>
    </w:p>
    <w:p>
      <w:pPr>
        <w:pStyle w:val="Yo1Textpara"/>
        <w:rPr>
          <w:noProof/>
        </w:rPr>
      </w:pPr>
      <w:r>
        <w:rPr>
          <w:noProof/>
        </w:rPr>
        <w:t>This chapter provides an overview of young people's participation in voluntary activities. The first section examines recent trends in terms of participation rates, areas of activity and the tendency for young people to undertake voluntary work abroad. The second part of the chapter discusses the importance of the formal recognition of the competences acquired through volunteering.</w:t>
      </w:r>
    </w:p>
    <w:p>
      <w:pPr>
        <w:pStyle w:val="Yo0H2"/>
        <w:rPr>
          <w:b w:val="0"/>
          <w:noProof/>
          <w:sz w:val="28"/>
          <w:szCs w:val="28"/>
          <w:lang w:val="en-GB"/>
        </w:rPr>
      </w:pPr>
      <w:r>
        <w:rPr>
          <w:b w:val="0"/>
          <w:noProof/>
          <w:sz w:val="28"/>
          <w:szCs w:val="28"/>
          <w:lang w:val="en-GB"/>
        </w:rPr>
        <w:t>6.2. Youth</w:t>
      </w:r>
      <w:r>
        <w:rPr>
          <w:rFonts w:cs="Calibri"/>
          <w:b w:val="0"/>
          <w:noProof/>
          <w:sz w:val="28"/>
          <w:szCs w:val="28"/>
          <w:lang w:val="en-GB"/>
        </w:rPr>
        <w:t xml:space="preserve"> </w:t>
      </w:r>
      <w:r>
        <w:rPr>
          <w:b w:val="0"/>
          <w:noProof/>
          <w:sz w:val="28"/>
          <w:szCs w:val="28"/>
          <w:lang w:val="en-GB"/>
        </w:rPr>
        <w:t>participation</w:t>
      </w:r>
      <w:r>
        <w:rPr>
          <w:rFonts w:cs="Calibri"/>
          <w:b w:val="0"/>
          <w:noProof/>
          <w:sz w:val="28"/>
          <w:szCs w:val="28"/>
          <w:lang w:val="en-GB"/>
        </w:rPr>
        <w:t xml:space="preserve"> </w:t>
      </w:r>
      <w:r>
        <w:rPr>
          <w:b w:val="0"/>
          <w:noProof/>
          <w:sz w:val="28"/>
          <w:szCs w:val="28"/>
          <w:lang w:val="en-GB"/>
        </w:rPr>
        <w:t>in</w:t>
      </w:r>
      <w:r>
        <w:rPr>
          <w:rFonts w:cs="Calibri"/>
          <w:b w:val="0"/>
          <w:noProof/>
          <w:sz w:val="28"/>
          <w:szCs w:val="28"/>
          <w:lang w:val="en-GB"/>
        </w:rPr>
        <w:t xml:space="preserve"> </w:t>
      </w:r>
      <w:r>
        <w:rPr>
          <w:b w:val="0"/>
          <w:noProof/>
          <w:sz w:val="28"/>
          <w:szCs w:val="28"/>
          <w:lang w:val="en-GB"/>
        </w:rPr>
        <w:t>voluntary</w:t>
      </w:r>
      <w:r>
        <w:rPr>
          <w:rFonts w:cs="Calibri"/>
          <w:b w:val="0"/>
          <w:noProof/>
          <w:sz w:val="28"/>
          <w:szCs w:val="28"/>
          <w:lang w:val="en-GB"/>
        </w:rPr>
        <w:t xml:space="preserve"> </w:t>
      </w:r>
      <w:r>
        <w:rPr>
          <w:b w:val="0"/>
          <w:noProof/>
          <w:sz w:val="28"/>
          <w:szCs w:val="28"/>
          <w:lang w:val="en-GB"/>
        </w:rPr>
        <w:t>activities</w:t>
      </w:r>
    </w:p>
    <w:tbl>
      <w:tblPr>
        <w:tblpPr w:leftFromText="181" w:rightFromText="181" w:vertAnchor="text" w:horzAnchor="margin" w:tblpXSpec="right" w:tblpY="1525"/>
        <w:tblOverlap w:val="never"/>
        <w:tblW w:w="0" w:type="auto"/>
        <w:shd w:val="clear" w:color="auto" w:fill="FFA3A4"/>
        <w:tblCellMar>
          <w:top w:w="28" w:type="dxa"/>
          <w:left w:w="142" w:type="dxa"/>
          <w:bottom w:w="28" w:type="dxa"/>
          <w:right w:w="142" w:type="dxa"/>
        </w:tblCellMar>
        <w:tblLook w:val="04A0" w:firstRow="1" w:lastRow="0" w:firstColumn="1" w:lastColumn="0" w:noHBand="0" w:noVBand="1"/>
      </w:tblPr>
      <w:tblGrid>
        <w:gridCol w:w="2977"/>
      </w:tblGrid>
      <w:tr>
        <w:tc>
          <w:tcPr>
            <w:tcW w:w="2977" w:type="dxa"/>
            <w:shd w:val="clear" w:color="auto" w:fill="FFA3A4"/>
          </w:tcPr>
          <w:p>
            <w:pPr>
              <w:pStyle w:val="Yo12Encart"/>
              <w:rPr>
                <w:rFonts w:ascii="Arial Narrow" w:hAnsi="Arial Narrow"/>
                <w:i w:val="0"/>
                <w:noProof/>
                <w:sz w:val="22"/>
                <w:szCs w:val="22"/>
                <w:highlight w:val="lightGray"/>
              </w:rPr>
            </w:pPr>
            <w:r>
              <w:rPr>
                <w:rFonts w:ascii="Arial Narrow" w:hAnsi="Arial Narrow"/>
                <w:i w:val="0"/>
                <w:noProof/>
                <w:sz w:val="22"/>
                <w:szCs w:val="22"/>
              </w:rPr>
              <w:t>About 30</w:t>
            </w:r>
            <w:r>
              <w:rPr>
                <w:noProof/>
              </w:rPr>
              <w:t> </w:t>
            </w:r>
            <w:r>
              <w:rPr>
                <w:rFonts w:ascii="Arial Narrow" w:hAnsi="Arial Narrow"/>
                <w:i w:val="0"/>
                <w:noProof/>
                <w:sz w:val="22"/>
                <w:szCs w:val="22"/>
              </w:rPr>
              <w:t>% of young people between 15 and 30 years of age participate in voluntary activities. This figure has increased by over 25</w:t>
            </w:r>
            <w:r>
              <w:rPr>
                <w:noProof/>
              </w:rPr>
              <w:t> </w:t>
            </w:r>
            <w:r>
              <w:rPr>
                <w:rFonts w:ascii="Arial Narrow" w:hAnsi="Arial Narrow"/>
                <w:i w:val="0"/>
                <w:noProof/>
                <w:sz w:val="22"/>
                <w:szCs w:val="22"/>
              </w:rPr>
              <w:t>% since 2011.</w:t>
            </w:r>
          </w:p>
        </w:tc>
      </w:tr>
    </w:tbl>
    <w:p>
      <w:pPr>
        <w:pStyle w:val="Yo1Textpara"/>
        <w:rPr>
          <w:noProof/>
        </w:rPr>
      </w:pPr>
      <w:r>
        <w:rPr>
          <w:noProof/>
        </w:rPr>
        <w:t>Around 30 % of young people between 15 and 30 years of age participate in voluntary activities in Europe (Figure 6-A). Cross-country variations are noticeable, with a few countries presenting rates close to 40 % (Germany, Denmark, Ireland and the Netherlands) and others registering levels of participation below 20 % (Hungary, Finland and Sweden). The differing levels of youth involvement in volunteering in countries tends to reflect the more general trends in the levels of engagement in non-profit-making activities in the wider population: strong traditions of participation in voluntary networks and associations tend to be associated with higher rates of youth contribution (</w:t>
      </w:r>
      <w:r>
        <w:rPr>
          <w:rStyle w:val="FootnoteReference"/>
          <w:noProof/>
        </w:rPr>
        <w:footnoteReference w:id="27"/>
      </w:r>
      <w:r>
        <w:rPr>
          <w:noProof/>
        </w:rPr>
        <w:t xml:space="preserve">). Since 2011, the participation of young people in voluntary activities has increased by over 25 %, on average. The most remarkable increases have occurred in Greece and in Poland (71 % and 83 % respectively) and in Italy, where the share of young volunteers has more than doubled. </w:t>
      </w:r>
    </w:p>
    <w:p>
      <w:pPr>
        <w:pStyle w:val="Yo5TitleFigure"/>
      </w:pPr>
      <w:r>
        <w:rPr>
          <w:b/>
        </w:rPr>
        <w:t>Figure 6-A:</w:t>
      </w:r>
      <w:r>
        <w:t xml:space="preserve"> Participation of young people (aged 15-30) in organised voluntary activities, by country, 2011 and 2017, and by sex, EU-28 average, 2017</w:t>
      </w:r>
    </w:p>
    <w:tbl>
      <w:tblPr>
        <w:tblpPr w:leftFromText="181" w:rightFromText="181" w:vertAnchor="text" w:tblpX="-424"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492"/>
        <w:gridCol w:w="9964"/>
      </w:tblGrid>
      <w:tr>
        <w:trPr>
          <w:trHeight w:val="520"/>
        </w:trPr>
        <w:tc>
          <w:tcPr>
            <w:tcW w:w="492" w:type="dxa"/>
            <w:shd w:val="clear" w:color="auto" w:fill="FB5F5F"/>
            <w:textDirection w:val="btLr"/>
            <w:vAlign w:val="bottom"/>
          </w:tcPr>
          <w:p>
            <w:pPr>
              <w:pStyle w:val="Yo13YouthIndicator"/>
              <w:jc w:val="center"/>
              <w:rPr>
                <w:noProof/>
                <w:lang w:eastAsia="fr-BE"/>
              </w:rPr>
            </w:pPr>
            <w:r>
              <w:rPr>
                <w:noProof/>
              </w:rPr>
              <w:t>EU youth indicator</w:t>
            </w:r>
          </w:p>
        </w:tc>
        <w:tc>
          <w:tcPr>
            <w:tcW w:w="9964" w:type="dxa"/>
            <w:shd w:val="clear" w:color="auto" w:fill="auto"/>
          </w:tcPr>
          <w:p>
            <w:pPr>
              <w:pStyle w:val="Yo5TextNotes"/>
              <w:tabs>
                <w:tab w:val="clear" w:pos="1985"/>
                <w:tab w:val="left" w:pos="9289"/>
              </w:tabs>
              <w:rPr>
                <w:noProof/>
                <w:lang w:val="en-GB"/>
              </w:rPr>
            </w:pPr>
            <w:r>
              <w:rPr>
                <w:noProof/>
                <w:lang w:val="en-GB"/>
              </w:rPr>
              <w:t xml:space="preserve">  %</w:t>
            </w:r>
            <w:r>
              <w:rPr>
                <w:noProof/>
                <w:lang w:val="en-GB"/>
              </w:rPr>
              <w:tab/>
              <w:t xml:space="preserve">    %</w:t>
            </w:r>
          </w:p>
          <w:p>
            <w:pPr>
              <w:pStyle w:val="Yo5TextNotes"/>
              <w:spacing w:after="60"/>
              <w:jc w:val="center"/>
              <w:rPr>
                <w:noProof/>
                <w:lang w:val="en-GB"/>
              </w:rPr>
            </w:pPr>
            <w:r>
              <w:rPr>
                <w:noProof/>
                <w:snapToGrid/>
                <w:lang w:val="en-US"/>
              </w:rPr>
              <mc:AlternateContent>
                <mc:Choice Requires="wps">
                  <w:drawing>
                    <wp:anchor distT="0" distB="0" distL="114300" distR="114300" simplePos="0" relativeHeight="251692032" behindDoc="0" locked="0" layoutInCell="1" allowOverlap="1">
                      <wp:simplePos x="0" y="0"/>
                      <wp:positionH relativeFrom="column">
                        <wp:posOffset>4693285</wp:posOffset>
                      </wp:positionH>
                      <wp:positionV relativeFrom="paragraph">
                        <wp:posOffset>210820</wp:posOffset>
                      </wp:positionV>
                      <wp:extent cx="1092835" cy="1063625"/>
                      <wp:effectExtent l="6985" t="10795" r="5080" b="1143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1063625"/>
                              </a:xfrm>
                              <a:prstGeom prst="rect">
                                <a:avLst/>
                              </a:prstGeom>
                              <a:solidFill>
                                <a:srgbClr val="FFFFFF"/>
                              </a:solidFill>
                              <a:ln w="9525">
                                <a:solidFill>
                                  <a:srgbClr val="FFFFFF"/>
                                </a:solidFill>
                                <a:miter lim="800000"/>
                                <a:headEnd/>
                                <a:tailEnd/>
                              </a:ln>
                            </wps:spPr>
                            <wps:txbx>
                              <w:txbxContent>
                                <w:p>
                                  <w:r>
                                    <w:rPr>
                                      <w:noProof/>
                                      <w:lang w:val="en-US"/>
                                    </w:rPr>
                                    <w:drawing>
                                      <wp:inline distT="0" distB="0" distL="0" distR="0">
                                        <wp:extent cx="904875" cy="952500"/>
                                        <wp:effectExtent l="0" t="0" r="9525" b="0"/>
                                        <wp:docPr id="31" name="Picture 31" descr="\\s-eacea-fs03-p\EACEA.A7\Youth\04_Reports\a_EU_Youth_Reports\2018\03_graph\6_A_participation_voluntary_gender_EU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acea-fs03-p\EACEA.A7\Youth\04_Reports\a_EU_Youth_Reports\2018\03_graph\6_A_participation_voluntary_gender_EU28.jpg"/>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904875" cy="9525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left:0;text-align:left;margin-left:369.55pt;margin-top:16.6pt;width:86.05pt;height:83.75pt;z-index:25169203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" strokecolor="white">
                      <v:textbox>
                        <w:txbxContent>
                          <w:p>
                            <w:r>
                              <w:rPr>
                                <w:noProof/>
                                <w:lang w:val="en-US"/>
                              </w:rPr>
                              <w:drawing>
                                <wp:inline distT="0" distB="0" distL="0" distR="0">
                                  <wp:extent cx="904875" cy="952500"/>
                                  <wp:effectExtent l="0" t="0" r="9525" b="0"/>
                                  <wp:docPr id="31" name="Picture 31" descr="\\s-eacea-fs03-p\EACEA.A7\Youth\04_Reports\a_EU_Youth_Reports\2018\03_graph\6_A_participation_voluntary_gender_EU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acea-fs03-p\EACEA.A7\Youth\04_Reports\a_EU_Youth_Reports\2018\03_graph\6_A_participation_voluntary_gender_EU28.jpg"/>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904875" cy="952500"/>
                                          </a:xfrm>
                                          <a:prstGeom prst="rect">
                                            <a:avLst/>
                                          </a:prstGeom>
                                          <a:noFill/>
                                          <a:ln>
                                            <a:noFill/>
                                          </a:ln>
                                        </pic:spPr>
                                      </pic:pic>
                                    </a:graphicData>
                                  </a:graphic>
                                </wp:inline>
                              </w:drawing>
                            </w:r>
                          </w:p>
                        </w:txbxContent>
                      </v:textbox>
                    </v:shape>
                  </w:pict>
                </mc:Fallback>
              </mc:AlternateContent>
            </w:r>
            <w:r>
              <w:rPr>
                <w:noProof/>
                <w:snapToGrid/>
                <w:lang w:val="en-US"/>
              </w:rPr>
              <w:drawing>
                <wp:inline distT="0" distB="0" distL="0" distR="0">
                  <wp:extent cx="6181725" cy="2124075"/>
                  <wp:effectExtent l="0" t="0" r="9525" b="9525"/>
                  <wp:docPr id="21" name="Picture 21" descr="\\s-eacea-fs03-p\EACEA.A7\Youth\04_Reports\a_EU_Youth_Reports\2018\03_graph\6_A_participation_voluntary_activ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acea-fs03-p\EACEA.A7\Youth\04_Reports\a_EU_Youth_Reports\2018\03_graph\6_A_participation_voluntary_activities.jpg"/>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6181725" cy="2124075"/>
                          </a:xfrm>
                          <a:prstGeom prst="rect">
                            <a:avLst/>
                          </a:prstGeom>
                          <a:noFill/>
                          <a:ln>
                            <a:noFill/>
                          </a:ln>
                        </pic:spPr>
                      </pic:pic>
                    </a:graphicData>
                  </a:graphic>
                </wp:inline>
              </w:drawing>
            </w:r>
          </w:p>
        </w:tc>
      </w:tr>
    </w:tbl>
    <w:p>
      <w:pPr>
        <w:pStyle w:val="Yo5TextNotesbeforeafter"/>
        <w:rPr>
          <w:noProof/>
          <w:lang w:val="en-GB"/>
        </w:rPr>
      </w:pPr>
      <w:r>
        <w:rPr>
          <w:i/>
          <w:noProof/>
          <w:lang w:val="en-GB"/>
        </w:rPr>
        <w:t>Note</w:t>
      </w:r>
      <w:r>
        <w:rPr>
          <w:noProof/>
          <w:lang w:val="en-GB"/>
        </w:rPr>
        <w:t xml:space="preserve">: The question was: ‘In the last 12 months, have you been involved in any organised voluntary activities?’. </w:t>
      </w:r>
    </w:p>
    <w:p>
      <w:pPr>
        <w:pStyle w:val="Yo5TextNotesbeforeafter"/>
        <w:rPr>
          <w:noProof/>
          <w:lang w:val="en-GB"/>
        </w:rPr>
      </w:pPr>
      <w:r>
        <w:rPr>
          <w:noProof/>
          <w:lang w:val="en-GB"/>
        </w:rPr>
        <w:t>Base: All respondents. EU-27 (2011) and EU-28 (2017).</w:t>
      </w:r>
    </w:p>
    <w:p>
      <w:pPr>
        <w:pStyle w:val="Yo5TextNotesafter"/>
        <w:rPr>
          <w:noProof/>
          <w:lang w:val="en-GB"/>
        </w:rPr>
      </w:pPr>
      <w:r>
        <w:rPr>
          <w:i/>
          <w:noProof/>
          <w:lang w:val="en-GB"/>
        </w:rPr>
        <w:t>Source</w:t>
      </w:r>
      <w:r>
        <w:rPr>
          <w:noProof/>
          <w:lang w:val="en-GB"/>
        </w:rPr>
        <w:t>: Flash Eurobarometer 319, ‘Youth on the Move’, 2011 and Flash Eurobarometer 455, ‘European Youth’, 2017.</w:t>
      </w:r>
    </w:p>
    <w:p>
      <w:pPr>
        <w:pStyle w:val="Yo5TextNotesafter"/>
        <w:rPr>
          <w:noProof/>
          <w:lang w:val="en-GB"/>
        </w:rPr>
      </w:pPr>
    </w:p>
    <w:p>
      <w:pPr>
        <w:pStyle w:val="Yo1Textpara"/>
        <w:rPr>
          <w:noProof/>
        </w:rPr>
      </w:pPr>
      <w:r>
        <w:rPr>
          <w:noProof/>
        </w:rPr>
        <w:t xml:space="preserve">The general increase in participation rates in Europe can be at least partly explained by the progressive increase in the number of young people in education (as illustrated in the first section of Chapter 2). </w:t>
      </w:r>
    </w:p>
    <w:p>
      <w:pPr>
        <w:pStyle w:val="Yo1Textpara"/>
        <w:rPr>
          <w:noProof/>
        </w:rPr>
      </w:pPr>
      <w:r>
        <w:rPr>
          <w:noProof/>
        </w:rPr>
        <w:t>Research has long since detected a positive relationship between the levels of participation in education (in particular in full-time formal education) and the propensity towards volunteering (</w:t>
      </w:r>
      <w:r>
        <w:rPr>
          <w:rStyle w:val="FootnoteReference"/>
          <w:noProof/>
        </w:rPr>
        <w:footnoteReference w:id="28"/>
      </w:r>
      <w:r>
        <w:rPr>
          <w:noProof/>
        </w:rPr>
        <w:t>). The rise in the numbers of young people enrolled in upper secondary and tertiary education over the past decade is therefore likely to have contributed to the positive trend in involvement in voluntary activities. In addition – and possibly more relevant for some of the countries where participation rates have spiked – a deterioration in labour market opportunities at times of economic crisis are recognised as powerful factors in prompting more young people to get involved in volunteering in order to acquire skills, experience and job contacts (</w:t>
      </w:r>
      <w:r>
        <w:rPr>
          <w:rStyle w:val="FootnoteReference"/>
          <w:noProof/>
        </w:rPr>
        <w:footnoteReference w:id="29"/>
      </w:r>
      <w:r>
        <w:rPr>
          <w:noProof/>
        </w:rPr>
        <w:t xml:space="preserve">). </w:t>
      </w:r>
    </w:p>
    <w:p>
      <w:pPr>
        <w:pStyle w:val="Yo1Textpara"/>
        <w:rPr>
          <w:noProof/>
        </w:rPr>
      </w:pPr>
      <w:r>
        <w:rPr>
          <w:noProof/>
        </w:rPr>
        <w:t>While gender does not appear to influence the propensity to volunteer, age has an impact. Indeed, 15-19 year-olds tend to be more active in voluntary activities (Figure 6-B). Moreover, the younger the cohort, the higher has been the increase in the rates of participation since 2011. This finding is probably linked to the stronger tendency demonstrated by students in full-time education to engage in volunteering mentioned above. Once young people start to combine studying with working, and even more so when they are in full-time employment, the time they have available to join non-profit initiatives tend to diminish (</w:t>
      </w:r>
      <w:r>
        <w:rPr>
          <w:rStyle w:val="FootnoteReference"/>
          <w:noProof/>
        </w:rPr>
        <w:footnoteReference w:id="30"/>
      </w:r>
      <w:r>
        <w:rPr>
          <w:noProof/>
        </w:rPr>
        <w:t>).</w:t>
      </w:r>
    </w:p>
    <w:p>
      <w:pPr>
        <w:pStyle w:val="Yo1Textpara"/>
        <w:rPr>
          <w:noProof/>
        </w:rPr>
      </w:pPr>
      <w:r>
        <w:rPr>
          <w:noProof/>
        </w:rPr>
        <w:br w:type="page"/>
      </w:r>
    </w:p>
    <w:tbl>
      <w:tblPr>
        <w:tblpPr w:leftFromText="180" w:rightFromText="180" w:vertAnchor="text" w:horzAnchor="margin" w:tblpY="82"/>
        <w:tblOverlap w:val="never"/>
        <w:tblW w:w="0" w:type="auto"/>
        <w:tblLook w:val="04A0" w:firstRow="1" w:lastRow="0" w:firstColumn="1" w:lastColumn="0" w:noHBand="0" w:noVBand="1"/>
      </w:tblPr>
      <w:tblGrid>
        <w:gridCol w:w="490"/>
        <w:gridCol w:w="503"/>
        <w:gridCol w:w="1134"/>
        <w:gridCol w:w="1134"/>
        <w:gridCol w:w="1275"/>
        <w:gridCol w:w="426"/>
      </w:tblGrid>
      <w:tr>
        <w:tc>
          <w:tcPr>
            <w:tcW w:w="4962" w:type="dxa"/>
            <w:gridSpan w:val="6"/>
            <w:shd w:val="clear" w:color="auto" w:fill="auto"/>
          </w:tcPr>
          <w:p>
            <w:pPr>
              <w:pStyle w:val="Yo5TextNotes"/>
              <w:tabs>
                <w:tab w:val="clear" w:pos="1985"/>
                <w:tab w:val="right" w:pos="4568"/>
              </w:tabs>
              <w:jc w:val="left"/>
              <w:rPr>
                <w:noProof/>
                <w:sz w:val="22"/>
                <w:szCs w:val="22"/>
                <w:lang w:val="en-GB"/>
              </w:rPr>
            </w:pPr>
            <w:r>
              <w:rPr>
                <w:rFonts w:eastAsia="Cambria" w:cs="Calibri"/>
                <w:b/>
                <w:bCs/>
                <w:noProof/>
                <w:color w:val="7F7F7F"/>
                <w:w w:val="80"/>
                <w:sz w:val="22"/>
                <w:szCs w:val="22"/>
                <w:lang w:val="en-GB"/>
              </w:rPr>
              <w:t>Figure 6-B</w:t>
            </w:r>
            <w:r>
              <w:rPr>
                <w:rFonts w:eastAsia="Cambria" w:cs="Calibri"/>
                <w:bCs/>
                <w:noProof/>
                <w:color w:val="7F7F7F"/>
                <w:w w:val="80"/>
                <w:sz w:val="22"/>
                <w:szCs w:val="22"/>
                <w:lang w:val="en-GB"/>
              </w:rPr>
              <w:t>: Participation of young people (aged 15-30) in organised voluntary activities, EU-28 average, by age group, 2017</w:t>
            </w:r>
          </w:p>
        </w:tc>
      </w:tr>
      <w:tr>
        <w:tc>
          <w:tcPr>
            <w:tcW w:w="4962" w:type="dxa"/>
            <w:gridSpan w:val="6"/>
            <w:shd w:val="clear" w:color="auto" w:fill="auto"/>
          </w:tcPr>
          <w:p>
            <w:pPr>
              <w:pStyle w:val="Yo5TextNotes"/>
              <w:tabs>
                <w:tab w:val="clear" w:pos="1985"/>
                <w:tab w:val="right" w:pos="4568"/>
              </w:tabs>
              <w:ind w:left="284"/>
              <w:rPr>
                <w:noProof/>
                <w:lang w:val="en-GB"/>
              </w:rPr>
            </w:pPr>
            <w:r>
              <w:rPr>
                <w:noProof/>
                <w:lang w:val="en-GB"/>
              </w:rPr>
              <w:t>%</w:t>
            </w:r>
          </w:p>
          <w:p>
            <w:pPr>
              <w:pStyle w:val="Yo5TextNotes"/>
              <w:tabs>
                <w:tab w:val="clear" w:pos="1985"/>
              </w:tabs>
              <w:rPr>
                <w:noProof/>
                <w:lang w:val="en-GB"/>
              </w:rPr>
            </w:pPr>
            <w:r>
              <w:rPr>
                <w:noProof/>
                <w:snapToGrid/>
                <w:lang w:val="en-US"/>
              </w:rPr>
              <w:drawing>
                <wp:inline distT="0" distB="0" distL="0" distR="0">
                  <wp:extent cx="2924175" cy="2114550"/>
                  <wp:effectExtent l="0" t="0" r="9525" b="0"/>
                  <wp:docPr id="22" name="Picture 22" descr="\\s-eacea-fs03-p\EACEA.A7\Youth\04_Reports\a_EU_Youth_Reports\2018\03_graph\6_B_participation_voluntary_age_gro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acea-fs03-p\EACEA.A7\Youth\04_Reports\a_EU_Youth_Reports\2018\03_graph\6_B_participation_voluntary_age_groups.jpg"/>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r="19429"/>
                          <a:stretch>
                            <a:fillRect/>
                          </a:stretch>
                        </pic:blipFill>
                        <pic:spPr bwMode="auto">
                          <a:xfrm>
                            <a:off x="0" y="0"/>
                            <a:ext cx="2924175" cy="2114550"/>
                          </a:xfrm>
                          <a:prstGeom prst="rect">
                            <a:avLst/>
                          </a:prstGeom>
                          <a:noFill/>
                          <a:ln>
                            <a:noFill/>
                          </a:ln>
                        </pic:spPr>
                      </pic:pic>
                    </a:graphicData>
                  </a:graphic>
                </wp:inline>
              </w:drawing>
            </w:r>
          </w:p>
        </w:tc>
      </w:tr>
      <w:tr>
        <w:trPr>
          <w:trHeight w:val="139"/>
        </w:trPr>
        <w:tc>
          <w:tcPr>
            <w:tcW w:w="490" w:type="dxa"/>
            <w:shd w:val="clear" w:color="auto" w:fill="auto"/>
            <w:vAlign w:val="center"/>
          </w:tcPr>
          <w:p>
            <w:pPr>
              <w:pStyle w:val="Yo5TextNotes"/>
              <w:jc w:val="left"/>
              <w:rPr>
                <w:noProof/>
                <w:color w:val="000000"/>
                <w:lang w:val="en-GB"/>
              </w:rPr>
            </w:pPr>
          </w:p>
        </w:tc>
        <w:tc>
          <w:tcPr>
            <w:tcW w:w="503" w:type="dxa"/>
            <w:shd w:val="clear" w:color="auto" w:fill="auto"/>
            <w:vAlign w:val="center"/>
          </w:tcPr>
          <w:p>
            <w:pPr>
              <w:pStyle w:val="Yo5TextNotes"/>
              <w:jc w:val="left"/>
              <w:rPr>
                <w:noProof/>
                <w:color w:val="000000"/>
                <w:lang w:val="en-GB"/>
              </w:rPr>
            </w:pPr>
          </w:p>
        </w:tc>
        <w:tc>
          <w:tcPr>
            <w:tcW w:w="1134" w:type="dxa"/>
            <w:shd w:val="clear" w:color="auto" w:fill="auto"/>
          </w:tcPr>
          <w:p>
            <w:pPr>
              <w:pStyle w:val="Yo5TextbaseTable"/>
              <w:rPr>
                <w:b/>
                <w:noProof/>
                <w:color w:val="000000"/>
                <w:lang w:val="en-GB"/>
              </w:rPr>
            </w:pPr>
            <w:r>
              <w:rPr>
                <w:b/>
                <w:noProof/>
                <w:color w:val="000000"/>
                <w:lang w:val="en-GB"/>
              </w:rPr>
              <w:t xml:space="preserve">  15-19</w:t>
            </w:r>
          </w:p>
        </w:tc>
        <w:tc>
          <w:tcPr>
            <w:tcW w:w="1134" w:type="dxa"/>
            <w:shd w:val="clear" w:color="auto" w:fill="auto"/>
          </w:tcPr>
          <w:p>
            <w:pPr>
              <w:pStyle w:val="Yo5TextbaseTable"/>
              <w:rPr>
                <w:b/>
                <w:noProof/>
                <w:color w:val="000000"/>
                <w:lang w:val="en-GB"/>
              </w:rPr>
            </w:pPr>
            <w:r>
              <w:rPr>
                <w:b/>
                <w:noProof/>
                <w:color w:val="000000"/>
                <w:lang w:val="en-GB"/>
              </w:rPr>
              <w:t xml:space="preserve"> 20-24</w:t>
            </w:r>
          </w:p>
        </w:tc>
        <w:tc>
          <w:tcPr>
            <w:tcW w:w="1275" w:type="dxa"/>
            <w:shd w:val="clear" w:color="auto" w:fill="auto"/>
          </w:tcPr>
          <w:p>
            <w:pPr>
              <w:pStyle w:val="Yo5TextbaseTable"/>
              <w:rPr>
                <w:b/>
                <w:noProof/>
                <w:color w:val="000000"/>
                <w:lang w:val="en-GB"/>
              </w:rPr>
            </w:pPr>
            <w:r>
              <w:rPr>
                <w:b/>
                <w:noProof/>
                <w:color w:val="000000"/>
                <w:lang w:val="en-GB"/>
              </w:rPr>
              <w:t xml:space="preserve"> 25-30</w:t>
            </w:r>
          </w:p>
        </w:tc>
        <w:tc>
          <w:tcPr>
            <w:tcW w:w="426" w:type="dxa"/>
            <w:shd w:val="clear" w:color="auto" w:fill="auto"/>
            <w:vAlign w:val="center"/>
          </w:tcPr>
          <w:p>
            <w:pPr>
              <w:pStyle w:val="Yo5TextbaseTable"/>
              <w:jc w:val="center"/>
              <w:rPr>
                <w:b/>
                <w:noProof/>
                <w:color w:val="000000"/>
                <w:lang w:val="en-GB"/>
              </w:rPr>
            </w:pPr>
          </w:p>
        </w:tc>
      </w:tr>
      <w:tr>
        <w:trPr>
          <w:trHeight w:val="256"/>
        </w:trPr>
        <w:tc>
          <w:tcPr>
            <w:tcW w:w="4962" w:type="dxa"/>
            <w:gridSpan w:val="6"/>
            <w:shd w:val="clear" w:color="auto" w:fill="auto"/>
            <w:vAlign w:val="center"/>
          </w:tcPr>
          <w:p>
            <w:pPr>
              <w:pStyle w:val="Yo5TextNotesbeforeafter"/>
              <w:rPr>
                <w:noProof/>
                <w:lang w:val="en-GB"/>
              </w:rPr>
            </w:pPr>
            <w:r>
              <w:rPr>
                <w:i/>
                <w:noProof/>
                <w:lang w:val="en-GB"/>
              </w:rPr>
              <w:t>Note</w:t>
            </w:r>
            <w:r>
              <w:rPr>
                <w:noProof/>
                <w:lang w:val="en-GB"/>
              </w:rPr>
              <w:t xml:space="preserve">: The question was: ‘In the last 12 months, have you been involved in any organised voluntary activities?’. </w:t>
            </w:r>
          </w:p>
          <w:p>
            <w:pPr>
              <w:pStyle w:val="Yo5TextNotesbeforeafter"/>
              <w:rPr>
                <w:noProof/>
                <w:lang w:val="en-GB"/>
              </w:rPr>
            </w:pPr>
            <w:r>
              <w:rPr>
                <w:noProof/>
                <w:lang w:val="en-GB"/>
              </w:rPr>
              <w:t>Base: All respondents.</w:t>
            </w:r>
          </w:p>
          <w:p>
            <w:pPr>
              <w:pStyle w:val="Yo5TextbaseTable"/>
              <w:widowControl w:val="0"/>
              <w:spacing w:before="60" w:after="60"/>
              <w:jc w:val="both"/>
              <w:rPr>
                <w:b/>
                <w:noProof/>
                <w:color w:val="000000"/>
                <w:lang w:val="en-GB"/>
              </w:rPr>
            </w:pPr>
            <w:r>
              <w:rPr>
                <w:rFonts w:ascii="Verdana" w:hAnsi="Verdana"/>
                <w:noProof/>
                <w:color w:val="auto"/>
                <w:sz w:val="14"/>
                <w:lang w:val="en-GB"/>
              </w:rPr>
              <w:t>Source: Flash Eurobarometer 455, ‘European Youth’, 2017</w:t>
            </w:r>
          </w:p>
        </w:tc>
      </w:tr>
    </w:tbl>
    <w:p>
      <w:pPr>
        <w:pStyle w:val="Yo1Textpara"/>
        <w:rPr>
          <w:rFonts w:ascii="Verdana" w:eastAsia="Cambria" w:hAnsi="Verdana" w:cs="Calibri"/>
          <w:b/>
          <w:bCs/>
          <w:noProof/>
          <w:color w:val="7F7F7F"/>
          <w:w w:val="80"/>
          <w:szCs w:val="22"/>
          <w:lang w:eastAsia="en-US"/>
        </w:rPr>
      </w:pPr>
      <w:r>
        <w:rPr>
          <w:noProof/>
        </w:rPr>
        <w:t xml:space="preserve">The potential for youth participation in volunteering can be furthered by identifying young people’s priority areas of voluntary activity. To this end, the 2017 Flash Eurobarometer asked young Europeans to identify the areas in which they would like the EU to take stronger action to promote voluntary initiatives (Figure 6-C). Education and employment came top of the list with social assistance and the integration of immigrants and refugees also appearing as high priorities. It is worth noting that these preferences are in line with those expressed in the same survey concerning the policy priorities for the European Union, discussed in Chapter 5 (Figure 5-D). For these topics, political relevance seems to go hand in hand with young people's eagerness to directly contribute through volunteering. </w:t>
      </w:r>
    </w:p>
    <w:p>
      <w:pPr>
        <w:pStyle w:val="Yo1Textpara"/>
        <w:rPr>
          <w:rFonts w:ascii="Verdana" w:eastAsia="Cambria" w:hAnsi="Verdana" w:cs="Calibri"/>
          <w:b/>
          <w:bCs/>
          <w:noProof/>
          <w:color w:val="7F7F7F"/>
          <w:w w:val="80"/>
          <w:szCs w:val="22"/>
          <w:lang w:eastAsia="en-US"/>
        </w:rPr>
      </w:pPr>
    </w:p>
    <w:p>
      <w:pPr>
        <w:pStyle w:val="Yo1Textpara"/>
        <w:rPr>
          <w:rFonts w:ascii="Verdana" w:eastAsia="Cambria" w:hAnsi="Verdana" w:cs="Calibri"/>
          <w:bCs/>
          <w:noProof/>
          <w:color w:val="7F7F7F"/>
          <w:w w:val="80"/>
          <w:szCs w:val="22"/>
          <w:lang w:eastAsia="en-US"/>
        </w:rPr>
      </w:pPr>
      <w:r>
        <w:rPr>
          <w:rFonts w:ascii="Verdana" w:eastAsia="Cambria" w:hAnsi="Verdana" w:cs="Calibri"/>
          <w:b/>
          <w:bCs/>
          <w:noProof/>
          <w:color w:val="7F7F7F"/>
          <w:w w:val="80"/>
          <w:szCs w:val="22"/>
          <w:lang w:eastAsia="en-US"/>
        </w:rPr>
        <w:t>Figure 6-C</w:t>
      </w:r>
      <w:r>
        <w:rPr>
          <w:rFonts w:ascii="Verdana" w:eastAsia="Cambria" w:hAnsi="Verdana" w:cs="Calibri"/>
          <w:bCs/>
          <w:noProof/>
          <w:color w:val="7F7F7F"/>
          <w:w w:val="80"/>
          <w:szCs w:val="22"/>
          <w:lang w:eastAsia="en-US"/>
        </w:rPr>
        <w:t>: Areas in which the EU should take action to encourage young people to express solidarity through  voluntary activities, EU-28 average, 2017</w:t>
      </w:r>
    </w:p>
    <w:tbl>
      <w:tblPr>
        <w:tblW w:w="0" w:type="auto"/>
        <w:tblLayout w:type="fixed"/>
        <w:tblCellMar>
          <w:left w:w="0" w:type="dxa"/>
        </w:tblCellMar>
        <w:tblLook w:val="04A0" w:firstRow="1" w:lastRow="0" w:firstColumn="1" w:lastColumn="0" w:noHBand="0" w:noVBand="1"/>
      </w:tblPr>
      <w:tblGrid>
        <w:gridCol w:w="4395"/>
        <w:gridCol w:w="5376"/>
        <w:gridCol w:w="259"/>
      </w:tblGrid>
      <w:tr>
        <w:trPr>
          <w:trHeight w:val="348"/>
        </w:trPr>
        <w:tc>
          <w:tcPr>
            <w:tcW w:w="4395" w:type="dxa"/>
            <w:shd w:val="clear" w:color="auto" w:fill="auto"/>
          </w:tcPr>
          <w:p>
            <w:pPr>
              <w:pStyle w:val="Yo5TextNotes"/>
              <w:rPr>
                <w:noProof/>
                <w:lang w:val="en-GB"/>
              </w:rPr>
            </w:pPr>
          </w:p>
        </w:tc>
        <w:tc>
          <w:tcPr>
            <w:tcW w:w="5376" w:type="dxa"/>
            <w:vMerge w:val="restart"/>
            <w:shd w:val="clear" w:color="auto" w:fill="auto"/>
          </w:tcPr>
          <w:p>
            <w:pPr>
              <w:pStyle w:val="Yo5TextNotes"/>
              <w:rPr>
                <w:noProof/>
                <w:lang w:val="en-GB"/>
              </w:rPr>
            </w:pPr>
            <w:r>
              <w:rPr>
                <w:noProof/>
                <w:snapToGrid/>
                <w:lang w:val="en-US"/>
              </w:rPr>
              <w:drawing>
                <wp:inline distT="0" distB="0" distL="0" distR="0">
                  <wp:extent cx="3352800" cy="2647950"/>
                  <wp:effectExtent l="0" t="0" r="0" b="0"/>
                  <wp:docPr id="23" name="Picture 23" descr="\\s-eacea-fs03-p\EACEA.A7\Youth\04_Reports\a_EU_Youth_Reports\2018\03_graph\6_C_solid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acea-fs03-p\EACEA.A7\Youth\04_Reports\a_EU_Youth_Reports\2018\03_graph\6_C_solidarity.jpg"/>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3352800" cy="2647950"/>
                          </a:xfrm>
                          <a:prstGeom prst="rect">
                            <a:avLst/>
                          </a:prstGeom>
                          <a:noFill/>
                          <a:ln>
                            <a:noFill/>
                          </a:ln>
                        </pic:spPr>
                      </pic:pic>
                    </a:graphicData>
                  </a:graphic>
                </wp:inline>
              </w:drawing>
            </w:r>
          </w:p>
        </w:tc>
        <w:tc>
          <w:tcPr>
            <w:tcW w:w="259" w:type="dxa"/>
            <w:shd w:val="clear" w:color="auto" w:fill="auto"/>
          </w:tcPr>
          <w:p>
            <w:pPr>
              <w:pStyle w:val="Yo5TextNotes"/>
              <w:rPr>
                <w:noProof/>
                <w:lang w:val="en-GB"/>
              </w:rPr>
            </w:pPr>
            <w:r>
              <w:rPr>
                <w:noProof/>
                <w:lang w:val="en-GB"/>
              </w:rPr>
              <w:t>%</w:t>
            </w:r>
          </w:p>
        </w:tc>
      </w:tr>
      <w:tr>
        <w:trPr>
          <w:trHeight w:val="586"/>
        </w:trPr>
        <w:tc>
          <w:tcPr>
            <w:tcW w:w="4395" w:type="dxa"/>
            <w:shd w:val="clear" w:color="auto" w:fill="auto"/>
            <w:vAlign w:val="center"/>
          </w:tcPr>
          <w:p>
            <w:pPr>
              <w:pStyle w:val="Yo5TextNotes"/>
              <w:jc w:val="right"/>
              <w:rPr>
                <w:b/>
                <w:noProof/>
                <w:lang w:val="en-GB"/>
              </w:rPr>
            </w:pPr>
            <w:r>
              <w:rPr>
                <w:b/>
                <w:noProof/>
                <w:lang w:val="en-GB"/>
              </w:rPr>
              <w:t>Education and training</w:t>
            </w:r>
          </w:p>
        </w:tc>
        <w:tc>
          <w:tcPr>
            <w:tcW w:w="5376" w:type="dxa"/>
            <w:vMerge/>
            <w:shd w:val="clear" w:color="auto" w:fill="auto"/>
          </w:tcPr>
          <w:p>
            <w:pPr>
              <w:pStyle w:val="Yo5TextNotes"/>
              <w:rPr>
                <w:noProof/>
                <w:lang w:val="en-GB"/>
              </w:rPr>
            </w:pPr>
          </w:p>
        </w:tc>
        <w:tc>
          <w:tcPr>
            <w:tcW w:w="259" w:type="dxa"/>
            <w:shd w:val="clear" w:color="auto" w:fill="auto"/>
          </w:tcPr>
          <w:p>
            <w:pPr>
              <w:pStyle w:val="Yo5TextNotes"/>
              <w:rPr>
                <w:noProof/>
                <w:lang w:val="en-GB"/>
              </w:rPr>
            </w:pPr>
          </w:p>
        </w:tc>
      </w:tr>
      <w:tr>
        <w:trPr>
          <w:trHeight w:val="447"/>
        </w:trPr>
        <w:tc>
          <w:tcPr>
            <w:tcW w:w="4395" w:type="dxa"/>
            <w:shd w:val="clear" w:color="auto" w:fill="auto"/>
            <w:vAlign w:val="center"/>
          </w:tcPr>
          <w:p>
            <w:pPr>
              <w:pStyle w:val="Yo5TextNotes"/>
              <w:jc w:val="right"/>
              <w:rPr>
                <w:b/>
                <w:noProof/>
                <w:lang w:val="en-GB"/>
              </w:rPr>
            </w:pPr>
            <w:r>
              <w:rPr>
                <w:b/>
                <w:noProof/>
                <w:lang w:val="en-GB"/>
              </w:rPr>
              <w:t>Employment</w:t>
            </w:r>
          </w:p>
        </w:tc>
        <w:tc>
          <w:tcPr>
            <w:tcW w:w="5376" w:type="dxa"/>
            <w:vMerge/>
            <w:shd w:val="clear" w:color="auto" w:fill="auto"/>
          </w:tcPr>
          <w:p>
            <w:pPr>
              <w:pStyle w:val="Yo5TextNotes"/>
              <w:rPr>
                <w:noProof/>
                <w:lang w:val="en-GB"/>
              </w:rPr>
            </w:pPr>
          </w:p>
        </w:tc>
        <w:tc>
          <w:tcPr>
            <w:tcW w:w="259" w:type="dxa"/>
            <w:shd w:val="clear" w:color="auto" w:fill="auto"/>
          </w:tcPr>
          <w:p>
            <w:pPr>
              <w:pStyle w:val="Yo5TextNotes"/>
              <w:rPr>
                <w:noProof/>
                <w:lang w:val="en-GB"/>
              </w:rPr>
            </w:pPr>
          </w:p>
        </w:tc>
      </w:tr>
      <w:tr>
        <w:trPr>
          <w:trHeight w:val="475"/>
        </w:trPr>
        <w:tc>
          <w:tcPr>
            <w:tcW w:w="4395" w:type="dxa"/>
            <w:shd w:val="clear" w:color="auto" w:fill="auto"/>
            <w:vAlign w:val="center"/>
          </w:tcPr>
          <w:p>
            <w:pPr>
              <w:pStyle w:val="Yo5TextNotes"/>
              <w:jc w:val="right"/>
              <w:rPr>
                <w:b/>
                <w:noProof/>
                <w:lang w:val="en-GB"/>
              </w:rPr>
            </w:pPr>
            <w:r>
              <w:rPr>
                <w:b/>
                <w:noProof/>
                <w:lang w:val="en-GB"/>
              </w:rPr>
              <w:t>Welfare and social assistance</w:t>
            </w:r>
          </w:p>
        </w:tc>
        <w:tc>
          <w:tcPr>
            <w:tcW w:w="5376" w:type="dxa"/>
            <w:vMerge/>
            <w:shd w:val="clear" w:color="auto" w:fill="auto"/>
          </w:tcPr>
          <w:p>
            <w:pPr>
              <w:pStyle w:val="Yo5TextNotes"/>
              <w:rPr>
                <w:noProof/>
                <w:lang w:val="en-GB"/>
              </w:rPr>
            </w:pPr>
          </w:p>
        </w:tc>
        <w:tc>
          <w:tcPr>
            <w:tcW w:w="259" w:type="dxa"/>
            <w:shd w:val="clear" w:color="auto" w:fill="auto"/>
          </w:tcPr>
          <w:p>
            <w:pPr>
              <w:pStyle w:val="Yo5TextNotes"/>
              <w:rPr>
                <w:noProof/>
                <w:lang w:val="en-GB"/>
              </w:rPr>
            </w:pPr>
          </w:p>
        </w:tc>
      </w:tr>
      <w:tr>
        <w:trPr>
          <w:trHeight w:val="339"/>
        </w:trPr>
        <w:tc>
          <w:tcPr>
            <w:tcW w:w="4395" w:type="dxa"/>
            <w:vMerge w:val="restart"/>
            <w:shd w:val="clear" w:color="auto" w:fill="auto"/>
            <w:vAlign w:val="center"/>
          </w:tcPr>
          <w:p>
            <w:pPr>
              <w:pStyle w:val="Yo5TextNotes"/>
              <w:jc w:val="right"/>
              <w:rPr>
                <w:b/>
                <w:noProof/>
                <w:lang w:val="en-GB"/>
              </w:rPr>
            </w:pPr>
            <w:r>
              <w:rPr>
                <w:b/>
                <w:noProof/>
                <w:lang w:val="en-GB"/>
              </w:rPr>
              <w:t>Reception and integration of third-country nationals</w:t>
            </w:r>
          </w:p>
        </w:tc>
        <w:tc>
          <w:tcPr>
            <w:tcW w:w="5376" w:type="dxa"/>
            <w:vMerge/>
            <w:shd w:val="clear" w:color="auto" w:fill="auto"/>
          </w:tcPr>
          <w:p>
            <w:pPr>
              <w:pStyle w:val="Yo5TextNotes"/>
              <w:rPr>
                <w:noProof/>
                <w:lang w:val="en-GB"/>
              </w:rPr>
            </w:pPr>
          </w:p>
        </w:tc>
        <w:tc>
          <w:tcPr>
            <w:tcW w:w="259" w:type="dxa"/>
            <w:shd w:val="clear" w:color="auto" w:fill="auto"/>
          </w:tcPr>
          <w:p>
            <w:pPr>
              <w:pStyle w:val="Yo5TextNotes"/>
              <w:rPr>
                <w:noProof/>
                <w:lang w:val="en-GB"/>
              </w:rPr>
            </w:pPr>
          </w:p>
        </w:tc>
      </w:tr>
      <w:tr>
        <w:trPr>
          <w:trHeight w:val="92"/>
        </w:trPr>
        <w:tc>
          <w:tcPr>
            <w:tcW w:w="4395" w:type="dxa"/>
            <w:vMerge/>
            <w:shd w:val="clear" w:color="auto" w:fill="auto"/>
            <w:vAlign w:val="center"/>
          </w:tcPr>
          <w:p>
            <w:pPr>
              <w:pStyle w:val="Yo5TextNotes"/>
              <w:jc w:val="right"/>
              <w:rPr>
                <w:b/>
                <w:noProof/>
                <w:lang w:val="en-GB"/>
              </w:rPr>
            </w:pPr>
          </w:p>
        </w:tc>
        <w:tc>
          <w:tcPr>
            <w:tcW w:w="5376" w:type="dxa"/>
            <w:vMerge/>
            <w:shd w:val="clear" w:color="auto" w:fill="auto"/>
          </w:tcPr>
          <w:p>
            <w:pPr>
              <w:pStyle w:val="Yo5TextNotes"/>
              <w:rPr>
                <w:noProof/>
                <w:lang w:val="en-GB"/>
              </w:rPr>
            </w:pPr>
          </w:p>
        </w:tc>
        <w:tc>
          <w:tcPr>
            <w:tcW w:w="259" w:type="dxa"/>
            <w:shd w:val="clear" w:color="auto" w:fill="auto"/>
          </w:tcPr>
          <w:p>
            <w:pPr>
              <w:pStyle w:val="Yo5TextNotes"/>
              <w:rPr>
                <w:noProof/>
                <w:lang w:val="en-GB"/>
              </w:rPr>
            </w:pPr>
          </w:p>
        </w:tc>
      </w:tr>
      <w:tr>
        <w:tc>
          <w:tcPr>
            <w:tcW w:w="4395" w:type="dxa"/>
            <w:vMerge w:val="restart"/>
            <w:shd w:val="clear" w:color="auto" w:fill="auto"/>
            <w:vAlign w:val="center"/>
          </w:tcPr>
          <w:p>
            <w:pPr>
              <w:pStyle w:val="Yo5TextNotes"/>
              <w:jc w:val="right"/>
              <w:rPr>
                <w:b/>
                <w:noProof/>
                <w:lang w:val="en-GB"/>
              </w:rPr>
            </w:pPr>
            <w:r>
              <w:rPr>
                <w:b/>
                <w:noProof/>
                <w:lang w:val="en-GB"/>
              </w:rPr>
              <w:t>Entrepreneurship</w:t>
            </w:r>
          </w:p>
        </w:tc>
        <w:tc>
          <w:tcPr>
            <w:tcW w:w="5376" w:type="dxa"/>
            <w:vMerge/>
            <w:shd w:val="clear" w:color="auto" w:fill="auto"/>
          </w:tcPr>
          <w:p>
            <w:pPr>
              <w:pStyle w:val="Yo5TextNotes"/>
              <w:rPr>
                <w:noProof/>
                <w:lang w:val="en-GB"/>
              </w:rPr>
            </w:pPr>
          </w:p>
        </w:tc>
        <w:tc>
          <w:tcPr>
            <w:tcW w:w="259" w:type="dxa"/>
            <w:shd w:val="clear" w:color="auto" w:fill="auto"/>
          </w:tcPr>
          <w:p>
            <w:pPr>
              <w:pStyle w:val="Yo5TextNotes"/>
              <w:rPr>
                <w:noProof/>
                <w:lang w:val="en-GB"/>
              </w:rPr>
            </w:pPr>
          </w:p>
        </w:tc>
      </w:tr>
      <w:tr>
        <w:trPr>
          <w:trHeight w:val="323"/>
        </w:trPr>
        <w:tc>
          <w:tcPr>
            <w:tcW w:w="4395" w:type="dxa"/>
            <w:vMerge/>
            <w:shd w:val="clear" w:color="auto" w:fill="auto"/>
            <w:vAlign w:val="center"/>
          </w:tcPr>
          <w:p>
            <w:pPr>
              <w:pStyle w:val="Yo5TextNotes"/>
              <w:jc w:val="right"/>
              <w:rPr>
                <w:noProof/>
                <w:lang w:val="en-GB"/>
              </w:rPr>
            </w:pPr>
          </w:p>
        </w:tc>
        <w:tc>
          <w:tcPr>
            <w:tcW w:w="5376" w:type="dxa"/>
            <w:vMerge/>
            <w:shd w:val="clear" w:color="auto" w:fill="auto"/>
          </w:tcPr>
          <w:p>
            <w:pPr>
              <w:pStyle w:val="Yo5TextNotes"/>
              <w:rPr>
                <w:noProof/>
                <w:lang w:val="en-GB"/>
              </w:rPr>
            </w:pPr>
          </w:p>
        </w:tc>
        <w:tc>
          <w:tcPr>
            <w:tcW w:w="259" w:type="dxa"/>
            <w:shd w:val="clear" w:color="auto" w:fill="auto"/>
          </w:tcPr>
          <w:p>
            <w:pPr>
              <w:pStyle w:val="Yo5TextNotes"/>
              <w:rPr>
                <w:noProof/>
                <w:lang w:val="en-GB"/>
              </w:rPr>
            </w:pPr>
          </w:p>
        </w:tc>
      </w:tr>
      <w:tr>
        <w:trPr>
          <w:trHeight w:val="387"/>
        </w:trPr>
        <w:tc>
          <w:tcPr>
            <w:tcW w:w="4395" w:type="dxa"/>
            <w:shd w:val="clear" w:color="auto" w:fill="auto"/>
            <w:vAlign w:val="center"/>
          </w:tcPr>
          <w:p>
            <w:pPr>
              <w:pStyle w:val="Yo5TextNotes"/>
              <w:jc w:val="right"/>
              <w:rPr>
                <w:b/>
                <w:noProof/>
                <w:lang w:val="en-GB"/>
              </w:rPr>
            </w:pPr>
            <w:r>
              <w:rPr>
                <w:b/>
                <w:noProof/>
                <w:lang w:val="en-GB"/>
              </w:rPr>
              <w:t>Citizenship and democratic participation</w:t>
            </w:r>
          </w:p>
        </w:tc>
        <w:tc>
          <w:tcPr>
            <w:tcW w:w="5376" w:type="dxa"/>
            <w:vMerge/>
            <w:shd w:val="clear" w:color="auto" w:fill="auto"/>
          </w:tcPr>
          <w:p>
            <w:pPr>
              <w:pStyle w:val="Yo5TextNotes"/>
              <w:rPr>
                <w:noProof/>
                <w:lang w:val="en-GB"/>
              </w:rPr>
            </w:pPr>
          </w:p>
        </w:tc>
        <w:tc>
          <w:tcPr>
            <w:tcW w:w="259" w:type="dxa"/>
            <w:vMerge w:val="restart"/>
            <w:shd w:val="clear" w:color="auto" w:fill="auto"/>
          </w:tcPr>
          <w:p>
            <w:pPr>
              <w:pStyle w:val="Yo5TextNotes"/>
              <w:rPr>
                <w:noProof/>
                <w:lang w:val="en-GB"/>
              </w:rPr>
            </w:pPr>
          </w:p>
          <w:p>
            <w:pPr>
              <w:pStyle w:val="Yo5TextNotes"/>
              <w:rPr>
                <w:noProof/>
                <w:lang w:val="en-GB"/>
              </w:rPr>
            </w:pPr>
          </w:p>
          <w:p>
            <w:pPr>
              <w:pStyle w:val="Yo5TextNotes"/>
              <w:rPr>
                <w:noProof/>
                <w:lang w:val="en-GB"/>
              </w:rPr>
            </w:pPr>
          </w:p>
          <w:p>
            <w:pPr>
              <w:pStyle w:val="Yo5TextNotes"/>
              <w:rPr>
                <w:noProof/>
                <w:lang w:val="en-GB"/>
              </w:rPr>
            </w:pPr>
          </w:p>
          <w:p>
            <w:pPr>
              <w:pStyle w:val="Yo5TextNotes"/>
              <w:rPr>
                <w:noProof/>
                <w:lang w:val="en-GB"/>
              </w:rPr>
            </w:pPr>
          </w:p>
          <w:p>
            <w:pPr>
              <w:pStyle w:val="Yo5TextNotes"/>
              <w:rPr>
                <w:noProof/>
                <w:lang w:val="en-GB"/>
              </w:rPr>
            </w:pPr>
          </w:p>
          <w:p>
            <w:pPr>
              <w:pStyle w:val="Yo5TextNotes"/>
              <w:rPr>
                <w:noProof/>
                <w:lang w:val="en-GB"/>
              </w:rPr>
            </w:pPr>
          </w:p>
          <w:p>
            <w:pPr>
              <w:pStyle w:val="Yo5TextNotes"/>
              <w:rPr>
                <w:noProof/>
                <w:lang w:val="en-GB"/>
              </w:rPr>
            </w:pPr>
            <w:r>
              <w:rPr>
                <w:noProof/>
                <w:lang w:val="en-GB"/>
              </w:rPr>
              <w:t>%</w:t>
            </w:r>
          </w:p>
        </w:tc>
      </w:tr>
      <w:tr>
        <w:trPr>
          <w:trHeight w:val="446"/>
        </w:trPr>
        <w:tc>
          <w:tcPr>
            <w:tcW w:w="4395" w:type="dxa"/>
            <w:shd w:val="clear" w:color="auto" w:fill="auto"/>
            <w:vAlign w:val="center"/>
          </w:tcPr>
          <w:p>
            <w:pPr>
              <w:pStyle w:val="Yo5TextNotes"/>
              <w:jc w:val="right"/>
              <w:rPr>
                <w:b/>
                <w:noProof/>
                <w:lang w:val="en-GB"/>
              </w:rPr>
            </w:pPr>
            <w:r>
              <w:rPr>
                <w:b/>
                <w:noProof/>
                <w:lang w:val="en-GB"/>
              </w:rPr>
              <w:t>Territorial cooperation and cohesion</w:t>
            </w:r>
          </w:p>
        </w:tc>
        <w:tc>
          <w:tcPr>
            <w:tcW w:w="5376" w:type="dxa"/>
            <w:vMerge/>
            <w:shd w:val="clear" w:color="auto" w:fill="auto"/>
          </w:tcPr>
          <w:p>
            <w:pPr>
              <w:pStyle w:val="Yo5TextNotes"/>
              <w:rPr>
                <w:noProof/>
                <w:lang w:val="en-GB"/>
              </w:rPr>
            </w:pPr>
          </w:p>
        </w:tc>
        <w:tc>
          <w:tcPr>
            <w:tcW w:w="259" w:type="dxa"/>
            <w:vMerge/>
            <w:shd w:val="clear" w:color="auto" w:fill="auto"/>
          </w:tcPr>
          <w:p>
            <w:pPr>
              <w:pStyle w:val="Yo5TextNotes"/>
              <w:rPr>
                <w:noProof/>
                <w:lang w:val="en-GB"/>
              </w:rPr>
            </w:pPr>
          </w:p>
        </w:tc>
      </w:tr>
      <w:tr>
        <w:trPr>
          <w:trHeight w:val="276"/>
        </w:trPr>
        <w:tc>
          <w:tcPr>
            <w:tcW w:w="4395" w:type="dxa"/>
            <w:shd w:val="clear" w:color="auto" w:fill="auto"/>
          </w:tcPr>
          <w:p>
            <w:pPr>
              <w:pStyle w:val="Yo5TextNotes"/>
              <w:rPr>
                <w:noProof/>
                <w:lang w:val="en-GB"/>
              </w:rPr>
            </w:pPr>
          </w:p>
        </w:tc>
        <w:tc>
          <w:tcPr>
            <w:tcW w:w="5376" w:type="dxa"/>
            <w:vMerge/>
            <w:shd w:val="clear" w:color="auto" w:fill="auto"/>
          </w:tcPr>
          <w:p>
            <w:pPr>
              <w:pStyle w:val="Yo5TextNotes"/>
              <w:rPr>
                <w:noProof/>
                <w:lang w:val="en-GB"/>
              </w:rPr>
            </w:pPr>
          </w:p>
        </w:tc>
        <w:tc>
          <w:tcPr>
            <w:tcW w:w="259" w:type="dxa"/>
            <w:vMerge/>
            <w:shd w:val="clear" w:color="auto" w:fill="auto"/>
          </w:tcPr>
          <w:p>
            <w:pPr>
              <w:pStyle w:val="Yo5TextNotes"/>
              <w:rPr>
                <w:noProof/>
                <w:lang w:val="en-GB"/>
              </w:rPr>
            </w:pPr>
          </w:p>
        </w:tc>
      </w:tr>
    </w:tbl>
    <w:p>
      <w:pPr>
        <w:pStyle w:val="Yo5TextNotesbeforeafter"/>
        <w:rPr>
          <w:noProof/>
          <w:lang w:val="en-GB"/>
        </w:rPr>
      </w:pPr>
      <w:r>
        <w:rPr>
          <w:i/>
          <w:noProof/>
          <w:lang w:val="en-GB"/>
        </w:rPr>
        <w:t>Note</w:t>
      </w:r>
      <w:r>
        <w:rPr>
          <w:noProof/>
          <w:lang w:val="en-GB"/>
        </w:rPr>
        <w:t xml:space="preserve">: The question was: 'The European Solidarity Corps is a new initiative from the European Commission which creates opportunities for young people to volunteer or work in projects in their own country or abroad that benefit communities and people around Europe. In which of the following areas do you think that the EU should take action to encourage young people to express solidarity? (MAX. 3 ANSWERS). </w:t>
      </w:r>
    </w:p>
    <w:p>
      <w:pPr>
        <w:pStyle w:val="Yo5TextNotesbeforeafter"/>
        <w:rPr>
          <w:noProof/>
          <w:lang w:val="en-GB"/>
        </w:rPr>
      </w:pPr>
      <w:r>
        <w:rPr>
          <w:noProof/>
          <w:lang w:val="en-GB"/>
        </w:rPr>
        <w:t>Base: All respondents.</w:t>
      </w:r>
    </w:p>
    <w:p>
      <w:pPr>
        <w:pStyle w:val="Yo5TextNotesbeforeafter"/>
        <w:rPr>
          <w:noProof/>
          <w:lang w:val="en-GB"/>
        </w:rPr>
      </w:pPr>
      <w:r>
        <w:rPr>
          <w:i/>
          <w:noProof/>
          <w:lang w:val="en-GB"/>
        </w:rPr>
        <w:t>Source</w:t>
      </w:r>
      <w:r>
        <w:rPr>
          <w:noProof/>
          <w:lang w:val="en-GB"/>
        </w:rPr>
        <w:t>: Flash Eurobarometer 455, ‘European Youth’, 2017.</w:t>
      </w:r>
    </w:p>
    <w:p>
      <w:pPr>
        <w:pStyle w:val="Yo1Textpara"/>
        <w:rPr>
          <w:noProof/>
        </w:rPr>
      </w:pPr>
    </w:p>
    <w:p>
      <w:pPr>
        <w:pStyle w:val="Yo1Textpara"/>
        <w:rPr>
          <w:noProof/>
        </w:rPr>
      </w:pPr>
    </w:p>
    <w:p>
      <w:pPr>
        <w:pStyle w:val="Yo1Textpara"/>
        <w:rPr>
          <w:noProof/>
        </w:rPr>
      </w:pPr>
    </w:p>
    <w:p>
      <w:pPr>
        <w:pStyle w:val="Yo1Textpara"/>
        <w:rPr>
          <w:b/>
          <w:noProof/>
        </w:rPr>
      </w:pPr>
      <w:r>
        <w:rPr>
          <w:noProof/>
        </w:rPr>
        <w:t xml:space="preserve">When it comes to the scope of personal engagement, the majority of young volunteers choose projects and services aimed at bringing benefits to their local community (Figure 6-D). This is particularly true for Bulgaria, Spain and Croatia, where almost 80 % of young volunteers are active locally. On the other hand, less than half of volunteers stay in their local community in Luxembourg and in the Netherlands. The proportion of young Europeans who have undertaken these types of activity have registered an increase since 2011, especially in France, Denmark, Finland, Spain and Poland. </w:t>
      </w:r>
    </w:p>
    <w:p>
      <w:pPr>
        <w:pStyle w:val="Yo5TitleFigure"/>
        <w:spacing w:after="0"/>
        <w:jc w:val="both"/>
      </w:pPr>
      <w:r>
        <w:rPr>
          <w:b/>
        </w:rPr>
        <w:t>Figure 6-D:</w:t>
      </w:r>
      <w:r>
        <w:t xml:space="preserve"> Share of young people (aged 15-30) who undertook voluntary activities aimed at changing their local communities, by country, 2011 and 2017, and by sex, EU-28 average, 2017</w:t>
      </w:r>
    </w:p>
    <w:tbl>
      <w:tblPr>
        <w:tblpPr w:leftFromText="181" w:rightFromText="181" w:vertAnchor="text" w:tblpX="-424"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492"/>
        <w:gridCol w:w="9964"/>
      </w:tblGrid>
      <w:tr>
        <w:trPr>
          <w:trHeight w:val="520"/>
        </w:trPr>
        <w:tc>
          <w:tcPr>
            <w:tcW w:w="492" w:type="dxa"/>
            <w:shd w:val="clear" w:color="auto" w:fill="FB5F5F"/>
            <w:textDirection w:val="btLr"/>
            <w:vAlign w:val="bottom"/>
          </w:tcPr>
          <w:p>
            <w:pPr>
              <w:pStyle w:val="Yo13YouthIndicator"/>
              <w:jc w:val="center"/>
              <w:rPr>
                <w:noProof/>
                <w:lang w:eastAsia="fr-BE"/>
              </w:rPr>
            </w:pPr>
            <w:r>
              <w:rPr>
                <w:noProof/>
              </w:rPr>
              <w:t>EU youth indicator</w:t>
            </w:r>
          </w:p>
        </w:tc>
        <w:tc>
          <w:tcPr>
            <w:tcW w:w="9964" w:type="dxa"/>
            <w:shd w:val="clear" w:color="auto" w:fill="auto"/>
          </w:tcPr>
          <w:p>
            <w:pPr>
              <w:pStyle w:val="Yo5TextNotes"/>
              <w:tabs>
                <w:tab w:val="clear" w:pos="1985"/>
                <w:tab w:val="left" w:pos="9289"/>
              </w:tabs>
              <w:ind w:left="217"/>
              <w:rPr>
                <w:noProof/>
                <w:lang w:val="en-GB"/>
              </w:rPr>
            </w:pPr>
            <w:r>
              <w:rPr>
                <w:noProof/>
                <w:lang w:val="en-GB"/>
              </w:rPr>
              <w:t>%</w:t>
            </w:r>
            <w:r>
              <w:rPr>
                <w:noProof/>
                <w:lang w:val="en-GB"/>
              </w:rPr>
              <w:tab/>
              <w:t>%</w:t>
            </w:r>
          </w:p>
          <w:p>
            <w:pPr>
              <w:pStyle w:val="Yo5TextNotes"/>
              <w:spacing w:after="60"/>
              <w:jc w:val="center"/>
              <w:rPr>
                <w:noProof/>
                <w:lang w:val="en-GB"/>
              </w:rPr>
            </w:pPr>
            <w:r>
              <w:rPr>
                <w:noProof/>
                <w:snapToGrid/>
                <w:lang w:val="en-US"/>
              </w:rPr>
              <mc:AlternateContent>
                <mc:Choice Requires="wps">
                  <w:drawing>
                    <wp:anchor distT="0" distB="0" distL="114300" distR="114300" simplePos="0" relativeHeight="251694080" behindDoc="0" locked="0" layoutInCell="1" allowOverlap="1">
                      <wp:simplePos x="0" y="0"/>
                      <wp:positionH relativeFrom="column">
                        <wp:posOffset>4645660</wp:posOffset>
                      </wp:positionH>
                      <wp:positionV relativeFrom="paragraph">
                        <wp:posOffset>207645</wp:posOffset>
                      </wp:positionV>
                      <wp:extent cx="1159510" cy="1122045"/>
                      <wp:effectExtent l="6985" t="7620" r="5080" b="1333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1122045"/>
                              </a:xfrm>
                              <a:prstGeom prst="rect">
                                <a:avLst/>
                              </a:prstGeom>
                              <a:solidFill>
                                <a:srgbClr val="FFFFFF"/>
                              </a:solidFill>
                              <a:ln w="9525">
                                <a:solidFill>
                                  <a:srgbClr val="FFFFFF"/>
                                </a:solidFill>
                                <a:miter lim="800000"/>
                                <a:headEnd/>
                                <a:tailEnd/>
                              </a:ln>
                            </wps:spPr>
                            <wps:txbx>
                              <w:txbxContent>
                                <w:p>
                                  <w:r>
                                    <w:rPr>
                                      <w:noProof/>
                                      <w:lang w:val="en-US"/>
                                    </w:rPr>
                                    <w:drawing>
                                      <wp:inline distT="0" distB="0" distL="0" distR="0">
                                        <wp:extent cx="962025" cy="1019175"/>
                                        <wp:effectExtent l="0" t="0" r="9525" b="9525"/>
                                        <wp:docPr id="32" name="Picture 32" descr="\\s-eacea-fs03-p\EACEA.A7\Youth\04_Reports\a_EU_Youth_Reports\2018\03_graph\6_C_local_community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acea-fs03-p\EACEA.A7\Youth\04_Reports\a_EU_Youth_Reports\2018\03_graph\6_C_local_community_gender.jpg"/>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962025" cy="10191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left:0;text-align:left;margin-left:365.8pt;margin-top:16.35pt;width:91.3pt;height:88.35pt;z-index:25169408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" strokecolor="white">
                      <v:textbox>
                        <w:txbxContent>
                          <w:p>
                            <w:r>
                              <w:rPr>
                                <w:noProof/>
                                <w:lang w:val="en-US"/>
                              </w:rPr>
                              <w:drawing>
                                <wp:inline distT="0" distB="0" distL="0" distR="0">
                                  <wp:extent cx="962025" cy="1019175"/>
                                  <wp:effectExtent l="0" t="0" r="9525" b="9525"/>
                                  <wp:docPr id="32" name="Picture 32" descr="\\s-eacea-fs03-p\EACEA.A7\Youth\04_Reports\a_EU_Youth_Reports\2018\03_graph\6_C_local_community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acea-fs03-p\EACEA.A7\Youth\04_Reports\a_EU_Youth_Reports\2018\03_graph\6_C_local_community_gender.jpg"/>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962025" cy="1019175"/>
                                          </a:xfrm>
                                          <a:prstGeom prst="rect">
                                            <a:avLst/>
                                          </a:prstGeom>
                                          <a:noFill/>
                                          <a:ln>
                                            <a:noFill/>
                                          </a:ln>
                                        </pic:spPr>
                                      </pic:pic>
                                    </a:graphicData>
                                  </a:graphic>
                                </wp:inline>
                              </w:drawing>
                            </w:r>
                          </w:p>
                        </w:txbxContent>
                      </v:textbox>
                    </v:shape>
                  </w:pict>
                </mc:Fallback>
              </mc:AlternateContent>
            </w:r>
            <w:r>
              <w:rPr>
                <w:noProof/>
                <w:snapToGrid/>
                <w:lang w:val="en-US"/>
              </w:rPr>
              <w:drawing>
                <wp:inline distT="0" distB="0" distL="0" distR="0">
                  <wp:extent cx="6181725" cy="2124075"/>
                  <wp:effectExtent l="0" t="0" r="9525" b="9525"/>
                  <wp:docPr id="24" name="Picture 24" descr="\\s-eacea-fs03-p\EACEA.A7\Youth\04_Reports\a_EU_Youth_Reports\2018\03_graph\6_D_local_commu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cea-fs03-p\EACEA.A7\Youth\04_Reports\a_EU_Youth_Reports\2018\03_graph\6_D_local_community.jpg"/>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6181725" cy="2124075"/>
                          </a:xfrm>
                          <a:prstGeom prst="rect">
                            <a:avLst/>
                          </a:prstGeom>
                          <a:noFill/>
                          <a:ln>
                            <a:noFill/>
                          </a:ln>
                        </pic:spPr>
                      </pic:pic>
                    </a:graphicData>
                  </a:graphic>
                </wp:inline>
              </w:drawing>
            </w:r>
          </w:p>
        </w:tc>
      </w:tr>
    </w:tbl>
    <w:p>
      <w:pPr>
        <w:pStyle w:val="Yo5TextNotesbeforeafter"/>
        <w:rPr>
          <w:noProof/>
          <w:lang w:val="en-GB"/>
        </w:rPr>
      </w:pPr>
      <w:r>
        <w:rPr>
          <w:i/>
          <w:noProof/>
          <w:lang w:val="en-GB"/>
        </w:rPr>
        <w:t>Note</w:t>
      </w:r>
      <w:r>
        <w:rPr>
          <w:noProof/>
          <w:lang w:val="en-GB"/>
        </w:rPr>
        <w:t xml:space="preserve">: The question was: ‘Were these voluntary activities aimed at changing something in your local community?’. </w:t>
      </w:r>
    </w:p>
    <w:p>
      <w:pPr>
        <w:pStyle w:val="Yo5TextNotesbeforeafter"/>
        <w:rPr>
          <w:noProof/>
          <w:lang w:val="en-GB"/>
        </w:rPr>
      </w:pPr>
      <w:r>
        <w:rPr>
          <w:noProof/>
          <w:lang w:val="en-GB"/>
        </w:rPr>
        <w:t>Base: All respondents. EU-27 (2011) and EU-28 (2017).</w:t>
      </w:r>
    </w:p>
    <w:p>
      <w:pPr>
        <w:pStyle w:val="Yo5TextNotesbeforeafter"/>
        <w:rPr>
          <w:noProof/>
          <w:lang w:val="en-GB"/>
        </w:rPr>
      </w:pPr>
      <w:r>
        <w:rPr>
          <w:i/>
          <w:noProof/>
          <w:lang w:val="en-GB"/>
        </w:rPr>
        <w:t>Source</w:t>
      </w:r>
      <w:r>
        <w:rPr>
          <w:noProof/>
          <w:lang w:val="en-GB"/>
        </w:rPr>
        <w:t>: Flash Eurobarometer 319, ‘Youth on the Move’, 2011 and Flash Eurobarometer 455, ‘European Youth’, 2017.</w:t>
      </w:r>
    </w:p>
    <w:p>
      <w:pPr>
        <w:pStyle w:val="Yo1Textpara"/>
        <w:rPr>
          <w:noProof/>
        </w:rPr>
      </w:pPr>
      <w:r>
        <w:rPr>
          <w:noProof/>
        </w:rPr>
        <w:t xml:space="preserve">Correspondingly, few young volunteers participate in activities with an international focus. As Figure 6-E illustrates, only about 10 % of participants report having contributed to projects aimed at changing something in other European countries or in other parts of the world. </w:t>
      </w:r>
    </w:p>
    <w:p>
      <w:pPr>
        <w:pStyle w:val="Yo1Textpara"/>
        <w:rPr>
          <w:rFonts w:ascii="Verdana" w:eastAsia="Cambria" w:hAnsi="Verdana" w:cs="Calibri"/>
          <w:bCs/>
          <w:noProof/>
          <w:color w:val="7F7F7F"/>
          <w:w w:val="80"/>
          <w:szCs w:val="22"/>
          <w:lang w:eastAsia="en-US"/>
        </w:rPr>
      </w:pPr>
      <w:r>
        <w:rPr>
          <w:rFonts w:ascii="Verdana" w:eastAsia="Cambria" w:hAnsi="Verdana" w:cs="Calibri"/>
          <w:b/>
          <w:bCs/>
          <w:noProof/>
          <w:color w:val="7F7F7F"/>
          <w:w w:val="80"/>
          <w:szCs w:val="22"/>
          <w:lang w:eastAsia="en-US"/>
        </w:rPr>
        <w:t>Figure 6-E</w:t>
      </w:r>
      <w:r>
        <w:rPr>
          <w:rFonts w:ascii="Verdana" w:eastAsia="Cambria" w:hAnsi="Verdana" w:cs="Calibri"/>
          <w:bCs/>
          <w:noProof/>
          <w:color w:val="7F7F7F"/>
          <w:w w:val="80"/>
          <w:szCs w:val="22"/>
          <w:lang w:eastAsia="en-US"/>
        </w:rPr>
        <w:t>: Aim of voluntary activities carried out by young people (aged 15-30), EU-28 average, 2017</w:t>
      </w:r>
    </w:p>
    <w:tbl>
      <w:tblPr>
        <w:tblW w:w="0" w:type="auto"/>
        <w:tblCellMar>
          <w:left w:w="0" w:type="dxa"/>
        </w:tblCellMar>
        <w:tblLook w:val="04A0" w:firstRow="1" w:lastRow="0" w:firstColumn="1" w:lastColumn="0" w:noHBand="0" w:noVBand="1"/>
      </w:tblPr>
      <w:tblGrid>
        <w:gridCol w:w="2210"/>
        <w:gridCol w:w="5808"/>
        <w:gridCol w:w="283"/>
      </w:tblGrid>
      <w:tr>
        <w:trPr>
          <w:trHeight w:val="279"/>
        </w:trPr>
        <w:tc>
          <w:tcPr>
            <w:tcW w:w="2210" w:type="dxa"/>
            <w:shd w:val="clear" w:color="auto" w:fill="auto"/>
          </w:tcPr>
          <w:p>
            <w:pPr>
              <w:pStyle w:val="Yo5TextNotes"/>
              <w:rPr>
                <w:noProof/>
                <w:lang w:val="en-GB"/>
              </w:rPr>
            </w:pPr>
          </w:p>
        </w:tc>
        <w:tc>
          <w:tcPr>
            <w:tcW w:w="5805" w:type="dxa"/>
            <w:vMerge w:val="restart"/>
            <w:shd w:val="clear" w:color="auto" w:fill="auto"/>
          </w:tcPr>
          <w:p>
            <w:pPr>
              <w:pStyle w:val="Yo5TextNotes"/>
              <w:rPr>
                <w:noProof/>
                <w:lang w:val="en-GB"/>
              </w:rPr>
            </w:pPr>
            <w:r>
              <w:rPr>
                <w:noProof/>
                <w:snapToGrid/>
                <w:lang w:val="en-US"/>
              </w:rPr>
              <w:drawing>
                <wp:inline distT="0" distB="0" distL="0" distR="0">
                  <wp:extent cx="3619500" cy="2085975"/>
                  <wp:effectExtent l="0" t="0" r="0" b="9525"/>
                  <wp:docPr id="25" name="Picture 25" descr="\\s-eacea-fs03-p\EACEA.A7\Youth\04_Reports\a_EU_Youth_Reports\2018\03_graph\6_E_aim_voluntary_a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acea-fs03-p\EACEA.A7\Youth\04_Reports\a_EU_Youth_Reports\2018\03_graph\6_E_aim_voluntary_activity.jpg"/>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3619500" cy="2085975"/>
                          </a:xfrm>
                          <a:prstGeom prst="rect">
                            <a:avLst/>
                          </a:prstGeom>
                          <a:noFill/>
                          <a:ln>
                            <a:noFill/>
                          </a:ln>
                        </pic:spPr>
                      </pic:pic>
                    </a:graphicData>
                  </a:graphic>
                </wp:inline>
              </w:drawing>
            </w:r>
          </w:p>
        </w:tc>
        <w:tc>
          <w:tcPr>
            <w:tcW w:w="283" w:type="dxa"/>
            <w:shd w:val="clear" w:color="auto" w:fill="auto"/>
          </w:tcPr>
          <w:p>
            <w:pPr>
              <w:pStyle w:val="Yo5TextNotes"/>
              <w:rPr>
                <w:noProof/>
                <w:lang w:val="en-GB"/>
              </w:rPr>
            </w:pPr>
            <w:r>
              <w:rPr>
                <w:noProof/>
                <w:lang w:val="en-GB"/>
              </w:rPr>
              <w:t>%</w:t>
            </w:r>
          </w:p>
        </w:tc>
      </w:tr>
      <w:tr>
        <w:trPr>
          <w:trHeight w:val="754"/>
        </w:trPr>
        <w:tc>
          <w:tcPr>
            <w:tcW w:w="2210" w:type="dxa"/>
            <w:shd w:val="clear" w:color="auto" w:fill="auto"/>
            <w:vAlign w:val="center"/>
          </w:tcPr>
          <w:p>
            <w:pPr>
              <w:pStyle w:val="Yo5TextNotes"/>
              <w:jc w:val="right"/>
              <w:rPr>
                <w:b/>
                <w:noProof/>
                <w:lang w:val="en-GB"/>
              </w:rPr>
            </w:pPr>
            <w:r>
              <w:rPr>
                <w:b/>
                <w:noProof/>
                <w:lang w:val="en-GB"/>
              </w:rPr>
              <w:t>Local community</w:t>
            </w:r>
          </w:p>
        </w:tc>
        <w:tc>
          <w:tcPr>
            <w:tcW w:w="5805" w:type="dxa"/>
            <w:vMerge/>
            <w:shd w:val="clear" w:color="auto" w:fill="auto"/>
          </w:tcPr>
          <w:p>
            <w:pPr>
              <w:pStyle w:val="Yo5TextNotes"/>
              <w:rPr>
                <w:noProof/>
                <w:lang w:val="en-GB"/>
              </w:rPr>
            </w:pPr>
          </w:p>
        </w:tc>
        <w:tc>
          <w:tcPr>
            <w:tcW w:w="283" w:type="dxa"/>
            <w:shd w:val="clear" w:color="auto" w:fill="auto"/>
          </w:tcPr>
          <w:p>
            <w:pPr>
              <w:pStyle w:val="Yo5TextNotes"/>
              <w:rPr>
                <w:noProof/>
                <w:lang w:val="en-GB"/>
              </w:rPr>
            </w:pPr>
          </w:p>
        </w:tc>
      </w:tr>
      <w:tr>
        <w:trPr>
          <w:trHeight w:val="632"/>
        </w:trPr>
        <w:tc>
          <w:tcPr>
            <w:tcW w:w="2210" w:type="dxa"/>
            <w:shd w:val="clear" w:color="auto" w:fill="auto"/>
            <w:vAlign w:val="center"/>
          </w:tcPr>
          <w:p>
            <w:pPr>
              <w:pStyle w:val="Yo5TextNotes"/>
              <w:jc w:val="right"/>
              <w:rPr>
                <w:b/>
                <w:noProof/>
                <w:lang w:val="en-GB"/>
              </w:rPr>
            </w:pPr>
            <w:r>
              <w:rPr>
                <w:b/>
                <w:noProof/>
                <w:lang w:val="en-GB"/>
              </w:rPr>
              <w:t>Country</w:t>
            </w:r>
          </w:p>
        </w:tc>
        <w:tc>
          <w:tcPr>
            <w:tcW w:w="5805" w:type="dxa"/>
            <w:vMerge/>
            <w:shd w:val="clear" w:color="auto" w:fill="auto"/>
          </w:tcPr>
          <w:p>
            <w:pPr>
              <w:pStyle w:val="Yo5TextNotes"/>
              <w:rPr>
                <w:noProof/>
                <w:lang w:val="en-GB"/>
              </w:rPr>
            </w:pPr>
          </w:p>
        </w:tc>
        <w:tc>
          <w:tcPr>
            <w:tcW w:w="283" w:type="dxa"/>
            <w:shd w:val="clear" w:color="auto" w:fill="auto"/>
          </w:tcPr>
          <w:p>
            <w:pPr>
              <w:pStyle w:val="Yo5TextNotes"/>
              <w:rPr>
                <w:noProof/>
                <w:lang w:val="en-GB"/>
              </w:rPr>
            </w:pPr>
          </w:p>
        </w:tc>
      </w:tr>
      <w:tr>
        <w:trPr>
          <w:trHeight w:val="586"/>
        </w:trPr>
        <w:tc>
          <w:tcPr>
            <w:tcW w:w="2210" w:type="dxa"/>
            <w:shd w:val="clear" w:color="auto" w:fill="auto"/>
            <w:vAlign w:val="center"/>
          </w:tcPr>
          <w:p>
            <w:pPr>
              <w:pStyle w:val="Yo5TextNotes"/>
              <w:jc w:val="right"/>
              <w:rPr>
                <w:b/>
                <w:noProof/>
                <w:lang w:val="en-GB"/>
              </w:rPr>
            </w:pPr>
            <w:r>
              <w:rPr>
                <w:b/>
                <w:noProof/>
                <w:lang w:val="en-GB"/>
              </w:rPr>
              <w:t>Other European countries</w:t>
            </w:r>
          </w:p>
        </w:tc>
        <w:tc>
          <w:tcPr>
            <w:tcW w:w="5805" w:type="dxa"/>
            <w:vMerge/>
            <w:shd w:val="clear" w:color="auto" w:fill="auto"/>
          </w:tcPr>
          <w:p>
            <w:pPr>
              <w:pStyle w:val="Yo5TextNotes"/>
              <w:rPr>
                <w:noProof/>
                <w:lang w:val="en-GB"/>
              </w:rPr>
            </w:pPr>
          </w:p>
        </w:tc>
        <w:tc>
          <w:tcPr>
            <w:tcW w:w="283" w:type="dxa"/>
            <w:shd w:val="clear" w:color="auto" w:fill="auto"/>
          </w:tcPr>
          <w:p>
            <w:pPr>
              <w:pStyle w:val="Yo5TextNotes"/>
              <w:rPr>
                <w:noProof/>
                <w:lang w:val="en-GB"/>
              </w:rPr>
            </w:pPr>
          </w:p>
        </w:tc>
      </w:tr>
      <w:tr>
        <w:trPr>
          <w:trHeight w:val="656"/>
        </w:trPr>
        <w:tc>
          <w:tcPr>
            <w:tcW w:w="2210" w:type="dxa"/>
            <w:shd w:val="clear" w:color="auto" w:fill="auto"/>
            <w:vAlign w:val="center"/>
          </w:tcPr>
          <w:p>
            <w:pPr>
              <w:pStyle w:val="Yo5TextNotes"/>
              <w:jc w:val="right"/>
              <w:rPr>
                <w:b/>
                <w:noProof/>
                <w:lang w:val="en-GB"/>
              </w:rPr>
            </w:pPr>
            <w:r>
              <w:rPr>
                <w:b/>
                <w:noProof/>
                <w:lang w:val="en-GB"/>
              </w:rPr>
              <w:t>Another part of the world</w:t>
            </w:r>
          </w:p>
        </w:tc>
        <w:tc>
          <w:tcPr>
            <w:tcW w:w="5805" w:type="dxa"/>
            <w:vMerge/>
            <w:shd w:val="clear" w:color="auto" w:fill="auto"/>
          </w:tcPr>
          <w:p>
            <w:pPr>
              <w:pStyle w:val="Yo5TextNotes"/>
              <w:rPr>
                <w:noProof/>
                <w:lang w:val="en-GB"/>
              </w:rPr>
            </w:pPr>
          </w:p>
        </w:tc>
        <w:tc>
          <w:tcPr>
            <w:tcW w:w="283" w:type="dxa"/>
            <w:shd w:val="clear" w:color="auto" w:fill="auto"/>
          </w:tcPr>
          <w:p>
            <w:pPr>
              <w:pStyle w:val="Yo5TextNotes"/>
              <w:rPr>
                <w:noProof/>
                <w:lang w:val="en-GB"/>
              </w:rPr>
            </w:pPr>
          </w:p>
        </w:tc>
      </w:tr>
      <w:tr>
        <w:tc>
          <w:tcPr>
            <w:tcW w:w="2210" w:type="dxa"/>
            <w:shd w:val="clear" w:color="auto" w:fill="auto"/>
          </w:tcPr>
          <w:p>
            <w:pPr>
              <w:pStyle w:val="Yo5TextNotes"/>
              <w:rPr>
                <w:noProof/>
                <w:lang w:val="en-GB"/>
              </w:rPr>
            </w:pPr>
          </w:p>
        </w:tc>
        <w:tc>
          <w:tcPr>
            <w:tcW w:w="5805" w:type="dxa"/>
            <w:vMerge/>
            <w:shd w:val="clear" w:color="auto" w:fill="auto"/>
          </w:tcPr>
          <w:p>
            <w:pPr>
              <w:pStyle w:val="Yo5TextNotes"/>
              <w:rPr>
                <w:noProof/>
                <w:lang w:val="en-GB"/>
              </w:rPr>
            </w:pPr>
          </w:p>
        </w:tc>
        <w:tc>
          <w:tcPr>
            <w:tcW w:w="283" w:type="dxa"/>
            <w:shd w:val="clear" w:color="auto" w:fill="auto"/>
          </w:tcPr>
          <w:p>
            <w:pPr>
              <w:pStyle w:val="Yo5TextNotes"/>
              <w:rPr>
                <w:noProof/>
                <w:lang w:val="en-GB"/>
              </w:rPr>
            </w:pPr>
            <w:r>
              <w:rPr>
                <w:noProof/>
                <w:lang w:val="en-GB"/>
              </w:rPr>
              <w:t>%</w:t>
            </w:r>
          </w:p>
        </w:tc>
      </w:tr>
    </w:tbl>
    <w:p>
      <w:pPr>
        <w:pStyle w:val="Yo5TextNotesbeforeafter"/>
        <w:rPr>
          <w:noProof/>
          <w:lang w:val="en-GB"/>
        </w:rPr>
      </w:pPr>
      <w:r>
        <w:rPr>
          <w:i/>
          <w:noProof/>
          <w:lang w:val="en-GB"/>
        </w:rPr>
        <w:t>Note</w:t>
      </w:r>
      <w:r>
        <w:rPr>
          <w:noProof/>
          <w:lang w:val="en-GB"/>
        </w:rPr>
        <w:t xml:space="preserve">: The question was: ‘Were these voluntary activities aimed at changing something in …..? (Multiple answers possible)’. </w:t>
      </w:r>
    </w:p>
    <w:p>
      <w:pPr>
        <w:pStyle w:val="Yo5TextNotesbeforeafter"/>
        <w:rPr>
          <w:noProof/>
          <w:lang w:val="en-GB"/>
        </w:rPr>
      </w:pPr>
      <w:r>
        <w:rPr>
          <w:noProof/>
          <w:lang w:val="en-GB"/>
        </w:rPr>
        <w:t>Base: All respondents.</w:t>
      </w:r>
    </w:p>
    <w:p>
      <w:pPr>
        <w:pStyle w:val="Yo5TextNotesbeforeafter"/>
        <w:rPr>
          <w:noProof/>
          <w:lang w:val="en-GB"/>
        </w:rPr>
      </w:pPr>
      <w:r>
        <w:rPr>
          <w:i/>
          <w:noProof/>
          <w:lang w:val="en-GB"/>
        </w:rPr>
        <w:t>Source</w:t>
      </w:r>
      <w:r>
        <w:rPr>
          <w:noProof/>
          <w:lang w:val="en-GB"/>
        </w:rPr>
        <w:t>: Flash Eurobarometer 455, ‘European Youth’, 2017.</w:t>
      </w:r>
    </w:p>
    <w:p>
      <w:pPr>
        <w:pStyle w:val="Yo1Textpara"/>
        <w:rPr>
          <w:noProof/>
        </w:rPr>
      </w:pPr>
      <w:r>
        <w:rPr>
          <w:noProof/>
        </w:rPr>
        <w:t xml:space="preserve">In accordance with these results, few young Europeans leave their own country to carry out voluntary work: only around 8 % of young individuals in the European Union report having volunteered abroad (Figure 6-F). </w:t>
      </w:r>
    </w:p>
    <w:p>
      <w:pPr>
        <w:pStyle w:val="Yo5TitleFigure"/>
        <w:jc w:val="both"/>
      </w:pPr>
      <w:r>
        <w:rPr>
          <w:b/>
        </w:rPr>
        <w:t>Figure 6-F:</w:t>
      </w:r>
      <w:r>
        <w:t xml:space="preserve"> Share of young people (aged 15-30) going abroad to do voluntary work, by country, 2011 and 2017 and by sex, EU-28 average, 2017</w:t>
      </w:r>
    </w:p>
    <w:tbl>
      <w:tblPr>
        <w:tblpPr w:leftFromText="181" w:rightFromText="181" w:vertAnchor="text" w:tblpX="-424"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492"/>
        <w:gridCol w:w="9964"/>
      </w:tblGrid>
      <w:tr>
        <w:trPr>
          <w:trHeight w:val="520"/>
        </w:trPr>
        <w:tc>
          <w:tcPr>
            <w:tcW w:w="492" w:type="dxa"/>
            <w:shd w:val="clear" w:color="auto" w:fill="FB5F5F"/>
            <w:textDirection w:val="btLr"/>
            <w:vAlign w:val="bottom"/>
          </w:tcPr>
          <w:p>
            <w:pPr>
              <w:pStyle w:val="Yo13YouthIndicator"/>
              <w:jc w:val="center"/>
              <w:rPr>
                <w:noProof/>
                <w:lang w:eastAsia="fr-BE"/>
              </w:rPr>
            </w:pPr>
            <w:r>
              <w:rPr>
                <w:noProof/>
              </w:rPr>
              <w:t>EU youth indicator</w:t>
            </w:r>
          </w:p>
        </w:tc>
        <w:tc>
          <w:tcPr>
            <w:tcW w:w="9964" w:type="dxa"/>
            <w:shd w:val="clear" w:color="auto" w:fill="auto"/>
          </w:tcPr>
          <w:p>
            <w:pPr>
              <w:pStyle w:val="Yo5TextNotes"/>
              <w:tabs>
                <w:tab w:val="clear" w:pos="1985"/>
                <w:tab w:val="left" w:pos="9289"/>
              </w:tabs>
              <w:ind w:left="217"/>
              <w:rPr>
                <w:noProof/>
                <w:lang w:val="en-GB"/>
              </w:rPr>
            </w:pPr>
            <w:r>
              <w:rPr>
                <w:noProof/>
                <w:lang w:val="en-GB"/>
              </w:rPr>
              <w:t>%</w:t>
            </w:r>
            <w:r>
              <w:rPr>
                <w:noProof/>
                <w:lang w:val="en-GB"/>
              </w:rPr>
              <w:tab/>
              <w:t xml:space="preserve">  %</w:t>
            </w:r>
          </w:p>
          <w:p>
            <w:pPr>
              <w:pStyle w:val="Yo5TextNotes"/>
              <w:spacing w:after="60"/>
              <w:jc w:val="center"/>
              <w:rPr>
                <w:noProof/>
                <w:lang w:val="en-GB"/>
              </w:rPr>
            </w:pPr>
            <w:r>
              <w:rPr>
                <w:noProof/>
                <w:snapToGrid/>
                <w:lang w:val="en-US"/>
              </w:rPr>
              <mc:AlternateContent>
                <mc:Choice Requires="wps">
                  <w:drawing>
                    <wp:anchor distT="0" distB="0" distL="114300" distR="114300" simplePos="0" relativeHeight="251696128" behindDoc="0" locked="0" layoutInCell="1" allowOverlap="1">
                      <wp:simplePos x="0" y="0"/>
                      <wp:positionH relativeFrom="column">
                        <wp:posOffset>4728210</wp:posOffset>
                      </wp:positionH>
                      <wp:positionV relativeFrom="paragraph">
                        <wp:posOffset>283845</wp:posOffset>
                      </wp:positionV>
                      <wp:extent cx="1090295" cy="1090295"/>
                      <wp:effectExtent l="3810" t="0" r="127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1090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rFonts w:ascii="Arial Narrow" w:hAnsi="Arial Narrow"/>
                                      <w:sz w:val="14"/>
                                    </w:rPr>
                                  </w:pPr>
                                  <w:r>
                                    <w:rPr>
                                      <w:rFonts w:ascii="Arial Narrow" w:hAnsi="Arial Narrow"/>
                                      <w:noProof/>
                                      <w:sz w:val="14"/>
                                      <w:lang w:val="en-US"/>
                                    </w:rPr>
                                    <w:drawing>
                                      <wp:inline distT="0" distB="0" distL="0" distR="0">
                                        <wp:extent cx="904875" cy="962025"/>
                                        <wp:effectExtent l="0" t="0" r="9525" b="9525"/>
                                        <wp:docPr id="33" name="Picture 33" descr="\\s-eacea-fs03-p\EACEA.A7\Youth\04_Reports\a_EU_Youth_Reports\2018\03_graph\6_F_going_abroad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acea-fs03-p\EACEA.A7\Youth\04_Reports\a_EU_Youth_Reports\2018\03_graph\6_F_going_abroad_gender.jpg"/>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904875" cy="9620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left:0;text-align:left;margin-left:372.3pt;margin-top:22.35pt;width:85.85pt;height:85.85pt;z-index:25169612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" stroked="f">
                      <v:textbox>
                        <w:txbxContent>
                          <w:p>
                            <w:pPr>
                              <w:rPr>
                                <w:rFonts w:ascii="Arial Narrow" w:hAnsi="Arial Narrow"/>
                                <w:sz w:val="14"/>
                              </w:rPr>
                            </w:pPr>
                            <w:r>
                              <w:rPr>
                                <w:rFonts w:ascii="Arial Narrow" w:hAnsi="Arial Narrow"/>
                                <w:noProof/>
                                <w:sz w:val="14"/>
                                <w:lang w:val="en-US"/>
                              </w:rPr>
                              <w:drawing>
                                <wp:inline distT="0" distB="0" distL="0" distR="0">
                                  <wp:extent cx="904875" cy="962025"/>
                                  <wp:effectExtent l="0" t="0" r="9525" b="9525"/>
                                  <wp:docPr id="33" name="Picture 33" descr="\\s-eacea-fs03-p\EACEA.A7\Youth\04_Reports\a_EU_Youth_Reports\2018\03_graph\6_F_going_abroad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acea-fs03-p\EACEA.A7\Youth\04_Reports\a_EU_Youth_Reports\2018\03_graph\6_F_going_abroad_gender.jpg"/>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904875" cy="962025"/>
                                          </a:xfrm>
                                          <a:prstGeom prst="rect">
                                            <a:avLst/>
                                          </a:prstGeom>
                                          <a:noFill/>
                                          <a:ln>
                                            <a:noFill/>
                                          </a:ln>
                                        </pic:spPr>
                                      </pic:pic>
                                    </a:graphicData>
                                  </a:graphic>
                                </wp:inline>
                              </w:drawing>
                            </w:r>
                          </w:p>
                        </w:txbxContent>
                      </v:textbox>
                    </v:shape>
                  </w:pict>
                </mc:Fallback>
              </mc:AlternateContent>
            </w:r>
            <w:r>
              <w:rPr>
                <w:noProof/>
                <w:snapToGrid/>
                <w:lang w:val="en-US"/>
              </w:rPr>
              <w:drawing>
                <wp:inline distT="0" distB="0" distL="0" distR="0">
                  <wp:extent cx="6181725" cy="2124075"/>
                  <wp:effectExtent l="0" t="0" r="9525" b="9525"/>
                  <wp:docPr id="26" name="Picture 26" descr="\\s-eacea-fs03-p\EACEA.A7\Youth\04_Reports\a_EU_Youth_Reports\2018\03_graph\6_F_going_ab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acea-fs03-p\EACEA.A7\Youth\04_Reports\a_EU_Youth_Reports\2018\03_graph\6_F_going_abroad.jpg"/>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6181725" cy="2124075"/>
                          </a:xfrm>
                          <a:prstGeom prst="rect">
                            <a:avLst/>
                          </a:prstGeom>
                          <a:noFill/>
                          <a:ln>
                            <a:noFill/>
                          </a:ln>
                        </pic:spPr>
                      </pic:pic>
                    </a:graphicData>
                  </a:graphic>
                </wp:inline>
              </w:drawing>
            </w:r>
          </w:p>
        </w:tc>
      </w:tr>
    </w:tbl>
    <w:p>
      <w:pPr>
        <w:pStyle w:val="Yo5TextNotesbeforeafter"/>
        <w:rPr>
          <w:noProof/>
          <w:lang w:val="en-GB"/>
        </w:rPr>
      </w:pPr>
      <w:r>
        <w:rPr>
          <w:i/>
          <w:noProof/>
          <w:lang w:val="en-GB"/>
        </w:rPr>
        <w:t>Note</w:t>
      </w:r>
      <w:r>
        <w:rPr>
          <w:noProof/>
          <w:lang w:val="en-GB"/>
        </w:rPr>
        <w:t xml:space="preserve">: The question was: ‘Have you ever had the opportunity to stay abroad for the purpose of volunteering?’. </w:t>
      </w:r>
    </w:p>
    <w:p>
      <w:pPr>
        <w:pStyle w:val="Yo5TextNotesbeforeafter"/>
        <w:rPr>
          <w:noProof/>
          <w:lang w:val="en-GB"/>
        </w:rPr>
      </w:pPr>
      <w:r>
        <w:rPr>
          <w:noProof/>
          <w:lang w:val="en-GB"/>
        </w:rPr>
        <w:t>Base: All respondents. EU-27 (2011) and EU-28 (2017).</w:t>
      </w:r>
    </w:p>
    <w:p>
      <w:pPr>
        <w:pStyle w:val="Yo5TextNotesbeforeafter"/>
        <w:rPr>
          <w:noProof/>
          <w:lang w:val="en-GB"/>
        </w:rPr>
      </w:pPr>
      <w:r>
        <w:rPr>
          <w:i/>
          <w:noProof/>
          <w:lang w:val="en-GB"/>
        </w:rPr>
        <w:t>Source</w:t>
      </w:r>
      <w:r>
        <w:rPr>
          <w:noProof/>
          <w:lang w:val="en-GB"/>
        </w:rPr>
        <w:t>: Flash Eurobarometer 319, ‘Youth on the Move’, 2011 and Flash Eurobarometer 455, ‘European Youth’, 2017.</w:t>
      </w:r>
    </w:p>
    <w:p>
      <w:pPr>
        <w:pStyle w:val="Yo1Textpara"/>
        <w:rPr>
          <w:noProof/>
        </w:rPr>
      </w:pPr>
      <w:r>
        <w:rPr>
          <w:noProof/>
        </w:rPr>
        <w:t>Even in those countries with the highest percentages of young volunteers going abroad (Denmark, Estonia, Luxembourg and Austria), the figure does not exceed 15 %. The age at which most young volunteers engage in activities makes travelling abroad more difficult, as does the financial burden involved, which represents a significant limitation to cross-border volunteering (</w:t>
      </w:r>
      <w:r>
        <w:rPr>
          <w:rStyle w:val="FootnoteReference"/>
          <w:noProof/>
        </w:rPr>
        <w:footnoteReference w:id="31"/>
      </w:r>
      <w:r>
        <w:rPr>
          <w:noProof/>
        </w:rPr>
        <w:t>). Because voluntary work is by definition non-remunerated, and few programmes provide reimbursement for incurred expenses, meeting the costs of living and travelling expenses while abroad is possible only for a small minority of young Europeans (</w:t>
      </w:r>
      <w:r>
        <w:rPr>
          <w:rStyle w:val="FootnoteReference"/>
          <w:noProof/>
        </w:rPr>
        <w:footnoteReference w:id="32"/>
      </w:r>
      <w:r>
        <w:rPr>
          <w:noProof/>
        </w:rPr>
        <w:t>). Indeed, as indicated by a survey conducted in 2014, half of the young volunteers in the European Union report having incurred expenses to cover living and travel costs while doing voluntary work (</w:t>
      </w:r>
      <w:r>
        <w:rPr>
          <w:rStyle w:val="FootnoteReference"/>
          <w:noProof/>
        </w:rPr>
        <w:footnoteReference w:id="33"/>
      </w:r>
      <w:r>
        <w:rPr>
          <w:noProof/>
        </w:rPr>
        <w:t>). Yet, almost one third has not received any reimbursement of the costs linked to their participation in voluntary projects (</w:t>
      </w:r>
      <w:r>
        <w:rPr>
          <w:rStyle w:val="FootnoteReference"/>
          <w:noProof/>
        </w:rPr>
        <w:footnoteReference w:id="34"/>
      </w:r>
      <w:r>
        <w:rPr>
          <w:noProof/>
        </w:rPr>
        <w:t>).</w:t>
      </w:r>
    </w:p>
    <w:p>
      <w:pPr>
        <w:pStyle w:val="Yo1Textpara"/>
        <w:rPr>
          <w:noProof/>
        </w:rPr>
      </w:pPr>
      <w:r>
        <w:rPr>
          <w:noProof/>
        </w:rPr>
        <w:t>Nonetheless, the trend registered since 2011 is extremely positive: at EU level, the percentage of young Europeans volunteering abroad has tripled. As young people’s international mobility has increased over recent years bringing many young Europeans to live, study and work in other European countries (as discussed in the first and second chapters of this report), serving in cross-border voluntary organisations seems to have also become a reason for young people to leave their country of origin. The most significant increases have occurred in Greece, Italy, Hungary, Portugal and Poland. Interestingly, Greece, Italy and Poland also feature amongst the countries where the rate of participation in volunteering has increased the most over the last eight years (Figure 6-A).</w:t>
      </w:r>
    </w:p>
    <w:p>
      <w:pPr>
        <w:pStyle w:val="Yo1Textpara"/>
        <w:rPr>
          <w:noProof/>
        </w:rPr>
      </w:pPr>
      <w:r>
        <w:rPr>
          <w:noProof/>
        </w:rPr>
        <w:t xml:space="preserve">Overall, data show that participation in voluntary activities has grown in recent years, both at home and abroad. While these figures are encouraging, there is still greater potential for extending the opportunities for the non-formal learning and personal growth associated with voluntary work. To this end, it is interesting to shed some light on an important factor motivating young people to volunteer, namely the possibility of receiving formal recognition of their experiences. </w:t>
      </w:r>
    </w:p>
    <w:p>
      <w:pPr>
        <w:pStyle w:val="Yo0H2"/>
        <w:rPr>
          <w:b w:val="0"/>
          <w:noProof/>
          <w:sz w:val="28"/>
          <w:szCs w:val="28"/>
          <w:lang w:val="en-GB"/>
        </w:rPr>
      </w:pPr>
      <w:r>
        <w:rPr>
          <w:b w:val="0"/>
          <w:noProof/>
          <w:sz w:val="28"/>
          <w:szCs w:val="28"/>
          <w:lang w:val="en-GB"/>
        </w:rPr>
        <w:t>6.3.</w:t>
      </w:r>
      <w:r>
        <w:rPr>
          <w:rFonts w:cs="Calibri"/>
          <w:b w:val="0"/>
          <w:noProof/>
          <w:sz w:val="28"/>
          <w:szCs w:val="28"/>
          <w:lang w:val="en-GB"/>
        </w:rPr>
        <w:t xml:space="preserve"> </w:t>
      </w:r>
      <w:r>
        <w:rPr>
          <w:b w:val="0"/>
          <w:noProof/>
          <w:sz w:val="28"/>
          <w:szCs w:val="28"/>
          <w:lang w:val="en-GB"/>
        </w:rPr>
        <w:t>Recognition of</w:t>
      </w:r>
      <w:r>
        <w:rPr>
          <w:rFonts w:cs="Calibri"/>
          <w:b w:val="0"/>
          <w:noProof/>
          <w:sz w:val="28"/>
          <w:szCs w:val="28"/>
          <w:lang w:val="en-GB"/>
        </w:rPr>
        <w:t xml:space="preserve"> </w:t>
      </w:r>
      <w:r>
        <w:rPr>
          <w:b w:val="0"/>
          <w:noProof/>
          <w:sz w:val="28"/>
          <w:szCs w:val="28"/>
          <w:lang w:val="en-GB"/>
        </w:rPr>
        <w:t>voluntary</w:t>
      </w:r>
      <w:r>
        <w:rPr>
          <w:rFonts w:cs="Calibri"/>
          <w:b w:val="0"/>
          <w:noProof/>
          <w:sz w:val="28"/>
          <w:szCs w:val="28"/>
          <w:lang w:val="en-GB"/>
        </w:rPr>
        <w:t xml:space="preserve"> </w:t>
      </w:r>
      <w:r>
        <w:rPr>
          <w:b w:val="0"/>
          <w:noProof/>
          <w:sz w:val="28"/>
          <w:szCs w:val="28"/>
          <w:lang w:val="en-GB"/>
        </w:rPr>
        <w:t>activities</w:t>
      </w:r>
    </w:p>
    <w:tbl>
      <w:tblPr>
        <w:tblpPr w:leftFromText="180" w:rightFromText="180" w:vertAnchor="text" w:horzAnchor="margin" w:tblpXSpec="right" w:tblpY="1024"/>
        <w:tblW w:w="0" w:type="auto"/>
        <w:shd w:val="clear" w:color="auto" w:fill="FFA3A4"/>
        <w:tblCellMar>
          <w:top w:w="28" w:type="dxa"/>
          <w:left w:w="142" w:type="dxa"/>
          <w:bottom w:w="28" w:type="dxa"/>
          <w:right w:w="142" w:type="dxa"/>
        </w:tblCellMar>
        <w:tblLook w:val="04A0" w:firstRow="1" w:lastRow="0" w:firstColumn="1" w:lastColumn="0" w:noHBand="0" w:noVBand="1"/>
      </w:tblPr>
      <w:tblGrid>
        <w:gridCol w:w="2977"/>
      </w:tblGrid>
      <w:tr>
        <w:tc>
          <w:tcPr>
            <w:tcW w:w="2977" w:type="dxa"/>
            <w:shd w:val="clear" w:color="auto" w:fill="FFA3A4"/>
          </w:tcPr>
          <w:p>
            <w:pPr>
              <w:pStyle w:val="Yo12Encart"/>
              <w:rPr>
                <w:rFonts w:ascii="Arial Narrow" w:hAnsi="Arial Narrow"/>
                <w:i w:val="0"/>
                <w:noProof/>
                <w:sz w:val="22"/>
                <w:szCs w:val="22"/>
                <w:highlight w:val="lightGray"/>
              </w:rPr>
            </w:pPr>
            <w:r>
              <w:rPr>
                <w:rFonts w:ascii="Arial Narrow" w:hAnsi="Arial Narrow"/>
                <w:i w:val="0"/>
                <w:noProof/>
                <w:sz w:val="22"/>
                <w:szCs w:val="22"/>
              </w:rPr>
              <w:t>Less than a third of young people who have participated in voluntary activities have received a certificate or diploma formally recognising their experience and the skills they have demonstrated.</w:t>
            </w:r>
          </w:p>
        </w:tc>
      </w:tr>
    </w:tbl>
    <w:p>
      <w:pPr>
        <w:pStyle w:val="Yo1Textpara"/>
        <w:rPr>
          <w:noProof/>
        </w:rPr>
      </w:pPr>
      <w:r>
        <w:rPr>
          <w:noProof/>
        </w:rPr>
        <w:t>By participating in voluntary activities, volunteers are able to acquire skills and enhance their personal and professional capabilities through non-formal learning. Such skills can later be useful either when returning to education or when entering the labour market; this is especially true when the skills have been formally recognised through a certificate or diploma that can enhance the volunteer’s curriculum vitae (</w:t>
      </w:r>
      <w:r>
        <w:rPr>
          <w:rStyle w:val="FootnoteReference"/>
          <w:noProof/>
        </w:rPr>
        <w:footnoteReference w:id="35"/>
      </w:r>
      <w:r>
        <w:rPr>
          <w:noProof/>
        </w:rPr>
        <w:t>). The opportunity of gaining formal recognition of the personal and professional experience acquired is considered fundamental in encouraging young people to participate in voluntary activities (</w:t>
      </w:r>
      <w:r>
        <w:rPr>
          <w:rStyle w:val="FootnoteReference"/>
          <w:noProof/>
        </w:rPr>
        <w:footnoteReference w:id="36"/>
      </w:r>
      <w:r>
        <w:rPr>
          <w:noProof/>
        </w:rPr>
        <w:t xml:space="preserve">). This is particularly true for those who join voluntary projects not only because they want to make a contribution to society but also because they see it as a way to improve their employability </w:t>
      </w:r>
      <w:r>
        <w:rPr>
          <w:noProof/>
        </w:rPr>
        <w:sym w:font="Symbol" w:char="F02D"/>
      </w:r>
      <w:r>
        <w:rPr>
          <w:noProof/>
        </w:rPr>
        <w:t xml:space="preserve"> a consideration which is increasingly important in countries where unemployment is high </w:t>
      </w:r>
      <w:r>
        <w:rPr>
          <w:noProof/>
        </w:rPr>
        <w:sym w:font="Symbol" w:char="F02D"/>
      </w:r>
      <w:r>
        <w:rPr>
          <w:noProof/>
        </w:rPr>
        <w:t xml:space="preserve"> as mentioned in the first section. Consequently, obtaining a certificate attesting to the competences acquired is an increasingly important motivating factor (</w:t>
      </w:r>
      <w:r>
        <w:rPr>
          <w:rStyle w:val="FootnoteReference"/>
          <w:noProof/>
        </w:rPr>
        <w:footnoteReference w:id="37"/>
      </w:r>
      <w:r>
        <w:rPr>
          <w:noProof/>
        </w:rPr>
        <w:t>). However, on average, less than a third of young people who have participated in voluntary activities report that they have received a certificate or diploma recognising their experience and the skills they have demonstrated (Figure 6-G).</w:t>
      </w:r>
    </w:p>
    <w:p>
      <w:pPr>
        <w:pStyle w:val="Yo1Textpara"/>
        <w:rPr>
          <w:rFonts w:ascii="Verdana" w:eastAsia="Cambria" w:hAnsi="Verdana" w:cs="Calibri"/>
          <w:bCs/>
          <w:noProof/>
          <w:color w:val="7F7F7F"/>
          <w:w w:val="80"/>
          <w:szCs w:val="22"/>
          <w:lang w:eastAsia="en-US"/>
        </w:rPr>
      </w:pPr>
      <w:r>
        <w:rPr>
          <w:rFonts w:ascii="Verdana" w:eastAsia="Cambria" w:hAnsi="Verdana" w:cs="Calibri"/>
          <w:b/>
          <w:bCs/>
          <w:noProof/>
          <w:color w:val="7F7F7F"/>
          <w:w w:val="80"/>
          <w:szCs w:val="22"/>
          <w:lang w:eastAsia="en-US"/>
        </w:rPr>
        <w:t>Figure 6-G</w:t>
      </w:r>
      <w:r>
        <w:rPr>
          <w:rFonts w:ascii="Verdana" w:eastAsia="Cambria" w:hAnsi="Verdana" w:cs="Calibri"/>
          <w:bCs/>
          <w:noProof/>
          <w:color w:val="7F7F7F"/>
          <w:w w:val="80"/>
          <w:szCs w:val="22"/>
          <w:lang w:eastAsia="en-US"/>
        </w:rPr>
        <w:t>: Share of young people (aged 15-30) who received a certificate or diploma for their voluntary activities, by country, 2011 and 2017, and by sex, EU-28 average, 2017</w:t>
      </w:r>
    </w:p>
    <w:tbl>
      <w:tblPr>
        <w:tblpPr w:leftFromText="181" w:rightFromText="181" w:vertAnchor="text" w:tblpX="-424"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492"/>
        <w:gridCol w:w="9964"/>
      </w:tblGrid>
      <w:tr>
        <w:trPr>
          <w:trHeight w:val="520"/>
        </w:trPr>
        <w:tc>
          <w:tcPr>
            <w:tcW w:w="492" w:type="dxa"/>
            <w:shd w:val="clear" w:color="auto" w:fill="FB5F5F"/>
            <w:textDirection w:val="btLr"/>
            <w:vAlign w:val="bottom"/>
          </w:tcPr>
          <w:p>
            <w:pPr>
              <w:pStyle w:val="Yo13YouthIndicator"/>
              <w:jc w:val="center"/>
              <w:rPr>
                <w:noProof/>
                <w:lang w:eastAsia="fr-BE"/>
              </w:rPr>
            </w:pPr>
            <w:r>
              <w:rPr>
                <w:noProof/>
              </w:rPr>
              <w:t>EU youth indicator</w:t>
            </w:r>
          </w:p>
        </w:tc>
        <w:tc>
          <w:tcPr>
            <w:tcW w:w="9964" w:type="dxa"/>
            <w:shd w:val="clear" w:color="auto" w:fill="auto"/>
          </w:tcPr>
          <w:p>
            <w:pPr>
              <w:pStyle w:val="Yo5TextNotes"/>
              <w:tabs>
                <w:tab w:val="clear" w:pos="1985"/>
                <w:tab w:val="left" w:pos="9289"/>
              </w:tabs>
              <w:ind w:left="217"/>
              <w:rPr>
                <w:noProof/>
                <w:lang w:val="en-GB"/>
              </w:rPr>
            </w:pPr>
            <w:r>
              <w:rPr>
                <w:noProof/>
                <w:lang w:val="en-GB"/>
              </w:rPr>
              <w:t>%</w:t>
            </w:r>
            <w:r>
              <w:rPr>
                <w:noProof/>
                <w:lang w:val="en-GB"/>
              </w:rPr>
              <w:tab/>
              <w:t xml:space="preserve">  %</w:t>
            </w:r>
          </w:p>
          <w:p>
            <w:pPr>
              <w:pStyle w:val="Yo5TextNotes"/>
              <w:spacing w:after="60"/>
              <w:jc w:val="center"/>
              <w:rPr>
                <w:noProof/>
                <w:lang w:val="en-GB"/>
              </w:rPr>
            </w:pPr>
            <w:r>
              <w:rPr>
                <w:noProof/>
                <w:snapToGrid/>
                <w:lang w:val="en-US"/>
              </w:rPr>
              <mc:AlternateContent>
                <mc:Choice Requires="wps">
                  <w:drawing>
                    <wp:anchor distT="0" distB="0" distL="114300" distR="114300" simplePos="0" relativeHeight="251698176" behindDoc="0" locked="0" layoutInCell="1" allowOverlap="1">
                      <wp:simplePos x="0" y="0"/>
                      <wp:positionH relativeFrom="column">
                        <wp:posOffset>4709160</wp:posOffset>
                      </wp:positionH>
                      <wp:positionV relativeFrom="paragraph">
                        <wp:posOffset>149860</wp:posOffset>
                      </wp:positionV>
                      <wp:extent cx="1163955" cy="1129665"/>
                      <wp:effectExtent l="3810" t="0" r="381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1129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rFonts w:ascii="Arial Narrow" w:hAnsi="Arial Narrow"/>
                                      <w:sz w:val="14"/>
                                    </w:rPr>
                                  </w:pPr>
                                  <w:r>
                                    <w:rPr>
                                      <w:rFonts w:ascii="Arial Narrow" w:hAnsi="Arial Narrow"/>
                                      <w:noProof/>
                                      <w:sz w:val="14"/>
                                      <w:lang w:val="en-US"/>
                                    </w:rPr>
                                    <w:drawing>
                                      <wp:inline distT="0" distB="0" distL="0" distR="0">
                                        <wp:extent cx="981075" cy="1038225"/>
                                        <wp:effectExtent l="0" t="0" r="9525" b="9525"/>
                                        <wp:docPr id="34" name="Picture 34" descr="\\s-eacea-fs03-p\EACEA.A7\Youth\04_Reports\a_EU_Youth_Reports\2018\03_graph\6_G_certificate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acea-fs03-p\EACEA.A7\Youth\04_Reports\a_EU_Youth_Reports\2018\03_graph\6_G_certificate_gender.jpg"/>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981075" cy="10382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left:0;text-align:left;margin-left:370.8pt;margin-top:11.8pt;width:91.65pt;height:88.95pt;z-index:25169817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" stroked="f">
                      <v:textbox>
                        <w:txbxContent>
                          <w:p>
                            <w:pPr>
                              <w:rPr>
                                <w:rFonts w:ascii="Arial Narrow" w:hAnsi="Arial Narrow"/>
                                <w:sz w:val="14"/>
                              </w:rPr>
                            </w:pPr>
                            <w:r>
                              <w:rPr>
                                <w:rFonts w:ascii="Arial Narrow" w:hAnsi="Arial Narrow"/>
                                <w:noProof/>
                                <w:sz w:val="14"/>
                                <w:lang w:val="en-US"/>
                              </w:rPr>
                              <w:drawing>
                                <wp:inline distT="0" distB="0" distL="0" distR="0">
                                  <wp:extent cx="981075" cy="1038225"/>
                                  <wp:effectExtent l="0" t="0" r="9525" b="9525"/>
                                  <wp:docPr id="34" name="Picture 34" descr="\\s-eacea-fs03-p\EACEA.A7\Youth\04_Reports\a_EU_Youth_Reports\2018\03_graph\6_G_certificate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acea-fs03-p\EACEA.A7\Youth\04_Reports\a_EU_Youth_Reports\2018\03_graph\6_G_certificate_gender.jpg"/>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981075" cy="1038225"/>
                                          </a:xfrm>
                                          <a:prstGeom prst="rect">
                                            <a:avLst/>
                                          </a:prstGeom>
                                          <a:noFill/>
                                          <a:ln>
                                            <a:noFill/>
                                          </a:ln>
                                        </pic:spPr>
                                      </pic:pic>
                                    </a:graphicData>
                                  </a:graphic>
                                </wp:inline>
                              </w:drawing>
                            </w:r>
                          </w:p>
                        </w:txbxContent>
                      </v:textbox>
                    </v:shape>
                  </w:pict>
                </mc:Fallback>
              </mc:AlternateContent>
            </w:r>
            <w:r>
              <w:rPr>
                <w:noProof/>
                <w:snapToGrid/>
                <w:lang w:val="en-US"/>
              </w:rPr>
              <w:drawing>
                <wp:inline distT="0" distB="0" distL="0" distR="0">
                  <wp:extent cx="6181725" cy="2124075"/>
                  <wp:effectExtent l="0" t="0" r="9525" b="9525"/>
                  <wp:docPr id="27" name="Picture 27" descr="\\s-eacea-fs03-p\EACEA.A7\Youth\04_Reports\a_EU_Youth_Reports\2018\03_graph\6_G_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acea-fs03-p\EACEA.A7\Youth\04_Reports\a_EU_Youth_Reports\2018\03_graph\6_G_certificate.jpg"/>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6181725" cy="2124075"/>
                          </a:xfrm>
                          <a:prstGeom prst="rect">
                            <a:avLst/>
                          </a:prstGeom>
                          <a:noFill/>
                          <a:ln>
                            <a:noFill/>
                          </a:ln>
                        </pic:spPr>
                      </pic:pic>
                    </a:graphicData>
                  </a:graphic>
                </wp:inline>
              </w:drawing>
            </w:r>
          </w:p>
        </w:tc>
      </w:tr>
    </w:tbl>
    <w:p>
      <w:pPr>
        <w:pStyle w:val="Yo5TextNotesbeforeafter"/>
        <w:rPr>
          <w:noProof/>
          <w:lang w:val="en-GB"/>
        </w:rPr>
      </w:pPr>
      <w:r>
        <w:rPr>
          <w:i/>
          <w:noProof/>
          <w:lang w:val="en-GB"/>
        </w:rPr>
        <w:t>Note</w:t>
      </w:r>
      <w:r>
        <w:rPr>
          <w:noProof/>
          <w:lang w:val="en-GB"/>
        </w:rPr>
        <w:t xml:space="preserve">: The question was: ‘Did you receive a certificate, diploma or other formal recognition for your participation in these voluntary activities?’. </w:t>
      </w:r>
    </w:p>
    <w:p>
      <w:pPr>
        <w:pStyle w:val="Yo5TextNotesbeforeafter"/>
        <w:rPr>
          <w:noProof/>
          <w:lang w:val="en-GB"/>
        </w:rPr>
      </w:pPr>
      <w:r>
        <w:rPr>
          <w:noProof/>
          <w:lang w:val="en-GB"/>
        </w:rPr>
        <w:t>Base: All respondents. EU-27 (2011) and EU-28 (2017).</w:t>
      </w:r>
    </w:p>
    <w:p>
      <w:pPr>
        <w:pStyle w:val="Yo5TextNotesbeforeafter"/>
        <w:rPr>
          <w:noProof/>
          <w:lang w:val="en-GB"/>
        </w:rPr>
      </w:pPr>
      <w:r>
        <w:rPr>
          <w:i/>
          <w:noProof/>
          <w:lang w:val="en-GB"/>
        </w:rPr>
        <w:t>Source</w:t>
      </w:r>
      <w:r>
        <w:rPr>
          <w:noProof/>
          <w:lang w:val="en-GB"/>
        </w:rPr>
        <w:t>: Flash Eurobarometer 319, ‘Youth on the Move’, 2011 and Flash Eurobarometer 455, ‘European Youth’, 2017.</w:t>
      </w:r>
    </w:p>
    <w:p>
      <w:pPr>
        <w:pStyle w:val="Yo1Textpara"/>
        <w:rPr>
          <w:noProof/>
        </w:rPr>
      </w:pPr>
      <w:r>
        <w:rPr>
          <w:noProof/>
        </w:rPr>
        <w:t>The countries reporting the highest percentages of young volunteers receiving certificates or diplomas are: Greece, Croatia, Lithuania, Poland and Romania, with percentages above 40 %. In contrast, in Belgium, Denmark, France and the Netherlands, less than 20 % of young people receive any form of certification for their volunteering. Improvements have occurred in many European countries since 2011. The most remarkable are those registered in Greece and France, where the share of young people receiving recognition for their activities has more than doubled (albeit from a low base in France). For other countries the trend has been reversed, particularly in Cyprus and the United Kingdom, which have experienced a significant decline in the percentages of volunteers receiving official recognition.</w:t>
      </w:r>
    </w:p>
    <w:p>
      <w:pPr>
        <w:pStyle w:val="Yo1Textpara"/>
        <w:rPr>
          <w:noProof/>
        </w:rPr>
      </w:pPr>
      <w:r>
        <w:rPr>
          <w:noProof/>
        </w:rPr>
        <w:t>Recognition of the skills acquired through volunteering can be particularly complicated when the voluntary activity has been carried out in a country different from the one where the individual plans to either continue his/her education or seek employment. Differences in the types of competences certified, in the guidelines for assessment and, in the case of formal recognition, in national validation systems, add multiple obstacles to the transferability of skills acquired (</w:t>
      </w:r>
      <w:r>
        <w:rPr>
          <w:rStyle w:val="FootnoteReference"/>
          <w:noProof/>
        </w:rPr>
        <w:footnoteReference w:id="38"/>
      </w:r>
      <w:r>
        <w:rPr>
          <w:noProof/>
        </w:rPr>
        <w:t>). The combination of these challenges, therefore, can make volunteering abroad all the more problematic.</w:t>
      </w:r>
    </w:p>
    <w:p>
      <w:pPr>
        <w:pStyle w:val="Yo1Textpara"/>
        <w:rPr>
          <w:rFonts w:ascii="Arial Narrow" w:hAnsi="Arial Narrow" w:cs="Arial"/>
          <w:bCs/>
          <w:caps/>
          <w:noProof/>
          <w:color w:val="DA1E48"/>
          <w:spacing w:val="10"/>
          <w:sz w:val="28"/>
          <w:szCs w:val="28"/>
          <w:lang w:eastAsia="en-US"/>
        </w:rPr>
      </w:pPr>
      <w:r>
        <w:rPr>
          <w:rFonts w:ascii="Arial Narrow" w:hAnsi="Arial Narrow" w:cs="Arial"/>
          <w:bCs/>
          <w:caps/>
          <w:noProof/>
          <w:color w:val="DA1E48"/>
          <w:spacing w:val="10"/>
          <w:sz w:val="28"/>
          <w:szCs w:val="28"/>
          <w:lang w:eastAsia="en-US"/>
        </w:rPr>
        <w:t>Conclusion</w:t>
      </w:r>
    </w:p>
    <w:p>
      <w:pPr>
        <w:pStyle w:val="Yo1Textpara"/>
        <w:rPr>
          <w:noProof/>
        </w:rPr>
      </w:pPr>
      <w:r>
        <w:rPr>
          <w:noProof/>
        </w:rPr>
        <w:t xml:space="preserve">A significant increase in the level of participation of young individuals in voluntary activities has occurred since 2011. This is due in part to the progressive increase in the number of young people in education and in part to worsened labour market opportunities at times of economic crisis which prompted more young Europeans to get involved in volunteering in order to acquire skills, experience and job contacts. </w:t>
      </w:r>
    </w:p>
    <w:p>
      <w:pPr>
        <w:pStyle w:val="Yo1Textpara"/>
        <w:rPr>
          <w:noProof/>
        </w:rPr>
      </w:pPr>
      <w:r>
        <w:rPr>
          <w:noProof/>
        </w:rPr>
        <w:t>However, a minority of young volunteers see their participation recognised: less than a third have received a certificate or diploma formally recognising their experience and the skills they have demonstrated.</w:t>
      </w:r>
    </w:p>
    <w:p>
      <w:pPr>
        <w:pStyle w:val="Yo1Textpara"/>
        <w:rPr>
          <w:noProof/>
        </w:rPr>
      </w:pPr>
      <w:r>
        <w:rPr>
          <w:noProof/>
        </w:rPr>
        <w:t>Possibly also because of the additional difficulties in receiving recognition for activities conducted in another country, mobility of young volunteers in Europe is still very limited: despite a substantial increase since 2011, only around 8 % of young individuals in the European Union report having volunteered abroad.</w:t>
      </w:r>
    </w:p>
    <w:bookmarkEnd w:id="8"/>
    <w:bookmarkEnd w:id="9"/>
    <w:p>
      <w:pPr>
        <w:rPr>
          <w:rFonts w:ascii="Times New Roman" w:hAnsi="Times New Roman"/>
          <w:noProof/>
        </w:rPr>
      </w:pPr>
      <w:r>
        <w:rPr>
          <w:rFonts w:ascii="Times New Roman" w:hAnsi="Times New Roman"/>
          <w:noProof/>
        </w:rPr>
        <w:t>Europe.</w:t>
      </w:r>
    </w:p>
    <w:sectPr>
      <w:headerReference w:type="even" r:id="rId89"/>
      <w:headerReference w:type="default" r:id="rId90"/>
      <w:footerReference w:type="even" r:id="rId91"/>
      <w:footerReference w:type="default" r:id="rId92"/>
      <w:headerReference w:type="first" r:id="rId93"/>
      <w:footerReference w:type="first" r:id="rId94"/>
      <w:pgSz w:w="11906" w:h="16838" w:code="9"/>
      <w:pgMar w:top="1985" w:right="992" w:bottom="851" w:left="992" w:header="709"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yriadPro-Bol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yriadPro-I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sz w:val="20"/>
        <w:szCs w:val="20"/>
      </w:rPr>
    </w:pPr>
    <w:r>
      <w:rPr>
        <w:rStyle w:val="PageNumber"/>
        <w:sz w:val="20"/>
        <w:szCs w:val="20"/>
      </w:rPr>
      <w:fldChar w:fldCharType="begin"/>
    </w:r>
    <w:r>
      <w:rPr>
        <w:rStyle w:val="PageNumber"/>
        <w:sz w:val="20"/>
        <w:szCs w:val="20"/>
      </w:rPr>
      <w:instrText xml:space="preserve"> PAGE   \* MERGEFORMAT </w:instrText>
    </w:r>
    <w:r>
      <w:rPr>
        <w:rStyle w:val="PageNumber"/>
        <w:sz w:val="20"/>
        <w:szCs w:val="20"/>
      </w:rPr>
      <w:fldChar w:fldCharType="separate"/>
    </w:r>
    <w:r>
      <w:rPr>
        <w:rStyle w:val="PageNumber"/>
        <w:noProof/>
        <w:sz w:val="20"/>
        <w:szCs w:val="20"/>
      </w:rPr>
      <w:t>2</w:t>
    </w:r>
    <w:r>
      <w:rPr>
        <w:rStyle w:val="PageNumber"/>
        <w:sz w:val="20"/>
        <w:szCs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Style w:val="PageNumber"/>
        <w:sz w:val="20"/>
        <w:szCs w:val="20"/>
      </w:rPr>
    </w:pPr>
    <w:r>
      <w:rPr>
        <w:rStyle w:val="PageNumber"/>
        <w:sz w:val="20"/>
        <w:szCs w:val="20"/>
      </w:rPr>
      <w:fldChar w:fldCharType="begin"/>
    </w:r>
    <w:r>
      <w:rPr>
        <w:rStyle w:val="PageNumber"/>
        <w:sz w:val="20"/>
        <w:szCs w:val="20"/>
      </w:rPr>
      <w:instrText xml:space="preserve"> PAGE   \* MERGEFORMAT </w:instrText>
    </w:r>
    <w:r>
      <w:rPr>
        <w:rStyle w:val="PageNumber"/>
        <w:sz w:val="20"/>
        <w:szCs w:val="20"/>
      </w:rPr>
      <w:fldChar w:fldCharType="separate"/>
    </w:r>
    <w:r>
      <w:rPr>
        <w:rStyle w:val="PageNumber"/>
        <w:noProof/>
        <w:sz w:val="20"/>
        <w:szCs w:val="20"/>
      </w:rPr>
      <w:t>95</w:t>
    </w:r>
    <w:r>
      <w:rPr>
        <w:rStyle w:val="PageNumber"/>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sz w:val="20"/>
        <w:szCs w:val="20"/>
      </w:rPr>
    </w:pPr>
    <w:r>
      <w:rPr>
        <w:rStyle w:val="PageNumber"/>
        <w:sz w:val="20"/>
        <w:szCs w:val="20"/>
      </w:rPr>
      <w:fldChar w:fldCharType="begin"/>
    </w:r>
    <w:r>
      <w:rPr>
        <w:rStyle w:val="PageNumber"/>
        <w:sz w:val="20"/>
        <w:szCs w:val="20"/>
      </w:rPr>
      <w:instrText xml:space="preserve"> PAGE   \* MERGEFORMAT </w:instrText>
    </w:r>
    <w:r>
      <w:rPr>
        <w:rStyle w:val="PageNumber"/>
        <w:sz w:val="20"/>
        <w:szCs w:val="20"/>
      </w:rPr>
      <w:fldChar w:fldCharType="separate"/>
    </w:r>
    <w:r>
      <w:rPr>
        <w:rStyle w:val="PageNumber"/>
        <w:noProof/>
        <w:sz w:val="20"/>
        <w:szCs w:val="20"/>
      </w:rPr>
      <w:t>2</w:t>
    </w:r>
    <w:r>
      <w:rPr>
        <w:rStyle w:val="PageNumber"/>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Style w:val="PageNumber"/>
        <w:sz w:val="20"/>
        <w:szCs w:val="20"/>
      </w:rPr>
    </w:pPr>
    <w:r>
      <w:rPr>
        <w:rStyle w:val="PageNumber"/>
        <w:sz w:val="20"/>
        <w:szCs w:val="20"/>
      </w:rPr>
      <w:fldChar w:fldCharType="begin"/>
    </w:r>
    <w:r>
      <w:rPr>
        <w:rStyle w:val="PageNumber"/>
        <w:sz w:val="20"/>
        <w:szCs w:val="20"/>
      </w:rPr>
      <w:instrText xml:space="preserve"> PAGE   \* MERGEFORMAT </w:instrText>
    </w:r>
    <w:r>
      <w:rPr>
        <w:rStyle w:val="PageNumber"/>
        <w:sz w:val="20"/>
        <w:szCs w:val="20"/>
      </w:rPr>
      <w:fldChar w:fldCharType="separate"/>
    </w:r>
    <w:r>
      <w:rPr>
        <w:rStyle w:val="PageNumber"/>
        <w:noProof/>
        <w:sz w:val="20"/>
        <w:szCs w:val="20"/>
      </w:rPr>
      <w:t>75</w:t>
    </w:r>
    <w:r>
      <w:rPr>
        <w:rStyle w:val="PageNumber"/>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Style w:val="PageNumber"/>
        <w:sz w:val="20"/>
        <w:szCs w:val="20"/>
      </w:rPr>
    </w:pPr>
    <w:r>
      <w:rPr>
        <w:rStyle w:val="PageNumber"/>
        <w:sz w:val="20"/>
        <w:szCs w:val="20"/>
      </w:rPr>
      <w:fldChar w:fldCharType="begin"/>
    </w:r>
    <w:r>
      <w:rPr>
        <w:rStyle w:val="PageNumber"/>
        <w:sz w:val="20"/>
        <w:szCs w:val="20"/>
      </w:rPr>
      <w:instrText xml:space="preserve"> PAGE   \* MERGEFORMAT </w:instrText>
    </w:r>
    <w:r>
      <w:rPr>
        <w:rStyle w:val="PageNumber"/>
        <w:sz w:val="20"/>
        <w:szCs w:val="20"/>
      </w:rPr>
      <w:fldChar w:fldCharType="separate"/>
    </w:r>
    <w:r>
      <w:rPr>
        <w:rStyle w:val="PageNumber"/>
        <w:noProof/>
        <w:sz w:val="20"/>
        <w:szCs w:val="20"/>
      </w:rPr>
      <w:t>2</w:t>
    </w:r>
    <w:r>
      <w:rPr>
        <w:rStyle w:val="PageNumber"/>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Style w:val="PageNumber"/>
        <w:sz w:val="20"/>
        <w:szCs w:val="20"/>
      </w:rPr>
    </w:pPr>
    <w:r>
      <w:rPr>
        <w:rStyle w:val="PageNumber"/>
        <w:sz w:val="20"/>
        <w:szCs w:val="20"/>
      </w:rPr>
      <w:fldChar w:fldCharType="begin"/>
    </w:r>
    <w:r>
      <w:rPr>
        <w:rStyle w:val="PageNumber"/>
        <w:sz w:val="20"/>
        <w:szCs w:val="20"/>
      </w:rPr>
      <w:instrText xml:space="preserve"> PAGE   \* MERGEFORMAT </w:instrText>
    </w:r>
    <w:r>
      <w:rPr>
        <w:rStyle w:val="PageNumber"/>
        <w:sz w:val="20"/>
        <w:szCs w:val="20"/>
      </w:rPr>
      <w:fldChar w:fldCharType="separate"/>
    </w:r>
    <w:r>
      <w:rPr>
        <w:rStyle w:val="PageNumber"/>
        <w:noProof/>
        <w:sz w:val="20"/>
        <w:szCs w:val="20"/>
      </w:rPr>
      <w:t>88</w:t>
    </w:r>
    <w:r>
      <w:rPr>
        <w:rStyle w:val="PageNumber"/>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Yo4FootnoteSeparator"/>
        <w:rPr>
          <w:color w:val="auto"/>
        </w:rPr>
      </w:pPr>
      <w:r>
        <w:rPr>
          <w:color w:val="auto"/>
        </w:rPr>
        <w:separator/>
      </w:r>
    </w:p>
  </w:footnote>
  <w:footnote w:type="continuationSeparator" w:id="0">
    <w:p>
      <w:pPr>
        <w:spacing w:after="0" w:line="240" w:lineRule="auto"/>
      </w:pPr>
      <w:r>
        <w:continuationSeparator/>
      </w:r>
    </w:p>
  </w:footnote>
  <w:footnote w:id="1">
    <w:p>
      <w:pPr>
        <w:pStyle w:val="FootnoteText"/>
        <w:tabs>
          <w:tab w:val="left" w:pos="426"/>
        </w:tabs>
        <w:spacing w:after="0"/>
        <w:rPr>
          <w:rFonts w:ascii="Times New Roman" w:hAnsi="Times New Roman"/>
          <w:sz w:val="18"/>
          <w:szCs w:val="18"/>
          <w:lang w:val="en-GB"/>
        </w:rPr>
      </w:pPr>
      <w:r>
        <w:rPr>
          <w:rFonts w:ascii="Times New Roman" w:hAnsi="Times New Roman"/>
          <w:sz w:val="18"/>
          <w:szCs w:val="18"/>
          <w:lang w:val="en-GB"/>
        </w:rPr>
        <w:t>(</w:t>
      </w:r>
      <w:r>
        <w:rPr>
          <w:rStyle w:val="FootnoteReference"/>
          <w:rFonts w:ascii="Times New Roman" w:hAnsi="Times New Roman"/>
          <w:sz w:val="18"/>
          <w:szCs w:val="18"/>
        </w:rPr>
        <w:footnoteRef/>
      </w:r>
      <w:r>
        <w:rPr>
          <w:rFonts w:ascii="Times New Roman" w:hAnsi="Times New Roman"/>
          <w:sz w:val="18"/>
          <w:szCs w:val="18"/>
          <w:lang w:val="en-GB"/>
        </w:rPr>
        <w:t>)</w:t>
      </w:r>
      <w:r>
        <w:rPr>
          <w:rFonts w:ascii="Times New Roman" w:hAnsi="Times New Roman"/>
          <w:sz w:val="18"/>
          <w:szCs w:val="18"/>
          <w:lang w:val="en-GB"/>
        </w:rPr>
        <w:tab/>
      </w:r>
      <w:r>
        <w:rPr>
          <w:rFonts w:ascii="Times New Roman" w:hAnsi="Times New Roman"/>
          <w:sz w:val="18"/>
          <w:szCs w:val="18"/>
        </w:rPr>
        <w:t>Banaji and Buckingham</w:t>
      </w:r>
      <w:r>
        <w:rPr>
          <w:rFonts w:ascii="Times New Roman" w:hAnsi="Times New Roman"/>
          <w:sz w:val="18"/>
          <w:szCs w:val="18"/>
          <w:lang w:val="en-GB"/>
        </w:rPr>
        <w:t>,</w:t>
      </w:r>
      <w:r>
        <w:rPr>
          <w:rFonts w:ascii="Times New Roman" w:hAnsi="Times New Roman"/>
          <w:sz w:val="18"/>
          <w:szCs w:val="18"/>
        </w:rPr>
        <w:t xml:space="preserve"> 2011</w:t>
      </w:r>
      <w:r>
        <w:rPr>
          <w:rFonts w:ascii="Times New Roman" w:hAnsi="Times New Roman"/>
          <w:sz w:val="18"/>
          <w:szCs w:val="18"/>
          <w:lang w:val="en-GB"/>
        </w:rPr>
        <w:t>.</w:t>
      </w:r>
    </w:p>
  </w:footnote>
  <w:footnote w:id="2">
    <w:p>
      <w:pPr>
        <w:pStyle w:val="FootnoteText"/>
        <w:tabs>
          <w:tab w:val="left" w:pos="426"/>
        </w:tabs>
        <w:spacing w:after="0"/>
        <w:rPr>
          <w:rFonts w:ascii="Times New Roman" w:hAnsi="Times New Roman"/>
          <w:sz w:val="18"/>
          <w:szCs w:val="18"/>
          <w:lang w:val="en-GB"/>
        </w:rPr>
      </w:pPr>
      <w:r>
        <w:rPr>
          <w:rFonts w:ascii="Times New Roman" w:hAnsi="Times New Roman"/>
          <w:sz w:val="18"/>
          <w:szCs w:val="18"/>
          <w:lang w:val="en-GB"/>
        </w:rPr>
        <w:t>(</w:t>
      </w:r>
      <w:r>
        <w:rPr>
          <w:rStyle w:val="FootnoteReference"/>
          <w:rFonts w:ascii="Times New Roman" w:hAnsi="Times New Roman"/>
          <w:sz w:val="18"/>
          <w:szCs w:val="18"/>
        </w:rPr>
        <w:footnoteRef/>
      </w:r>
      <w:r>
        <w:rPr>
          <w:rFonts w:ascii="Times New Roman" w:hAnsi="Times New Roman"/>
          <w:sz w:val="18"/>
          <w:szCs w:val="18"/>
          <w:lang w:val="en-GB"/>
        </w:rPr>
        <w:t xml:space="preserve">) </w:t>
      </w:r>
      <w:r>
        <w:rPr>
          <w:rFonts w:ascii="Times New Roman" w:hAnsi="Times New Roman"/>
          <w:sz w:val="18"/>
          <w:szCs w:val="18"/>
          <w:lang w:val="en-GB"/>
        </w:rPr>
        <w:tab/>
        <w:t>Martin, 2003.</w:t>
      </w:r>
    </w:p>
  </w:footnote>
  <w:footnote w:id="3">
    <w:p>
      <w:pPr>
        <w:pStyle w:val="FootnoteText"/>
        <w:tabs>
          <w:tab w:val="left" w:pos="426"/>
        </w:tabs>
        <w:spacing w:after="0"/>
        <w:rPr>
          <w:rFonts w:ascii="Times New Roman" w:hAnsi="Times New Roman"/>
          <w:sz w:val="18"/>
          <w:szCs w:val="18"/>
          <w:lang w:val="en-GB"/>
        </w:rPr>
      </w:pPr>
      <w:r>
        <w:rPr>
          <w:rFonts w:ascii="Times New Roman" w:hAnsi="Times New Roman"/>
          <w:sz w:val="18"/>
          <w:szCs w:val="18"/>
          <w:lang w:val="en-GB"/>
        </w:rPr>
        <w:t>(</w:t>
      </w:r>
      <w:r>
        <w:rPr>
          <w:rStyle w:val="FootnoteReference"/>
          <w:rFonts w:ascii="Times New Roman" w:hAnsi="Times New Roman"/>
          <w:sz w:val="18"/>
          <w:szCs w:val="18"/>
        </w:rPr>
        <w:footnoteRef/>
      </w:r>
      <w:r>
        <w:rPr>
          <w:rFonts w:ascii="Times New Roman" w:hAnsi="Times New Roman"/>
          <w:sz w:val="18"/>
          <w:szCs w:val="18"/>
          <w:lang w:val="en-GB"/>
        </w:rPr>
        <w:t xml:space="preserve">) </w:t>
      </w:r>
      <w:r>
        <w:rPr>
          <w:rFonts w:ascii="Times New Roman" w:hAnsi="Times New Roman"/>
          <w:sz w:val="18"/>
          <w:szCs w:val="18"/>
          <w:lang w:val="en-GB"/>
        </w:rPr>
        <w:tab/>
        <w:t xml:space="preserve">Ibid. </w:t>
      </w:r>
    </w:p>
  </w:footnote>
  <w:footnote w:id="4">
    <w:p>
      <w:pPr>
        <w:pStyle w:val="FootnoteText"/>
        <w:tabs>
          <w:tab w:val="left" w:pos="426"/>
        </w:tabs>
        <w:spacing w:after="0"/>
        <w:rPr>
          <w:rFonts w:ascii="Times New Roman" w:hAnsi="Times New Roman"/>
          <w:sz w:val="18"/>
          <w:szCs w:val="18"/>
          <w:lang w:val="en-GB"/>
        </w:rPr>
      </w:pPr>
      <w:r>
        <w:rPr>
          <w:rFonts w:ascii="Times New Roman" w:hAnsi="Times New Roman"/>
          <w:sz w:val="18"/>
          <w:szCs w:val="18"/>
          <w:lang w:val="en-GB"/>
        </w:rPr>
        <w:t>(</w:t>
      </w:r>
      <w:r>
        <w:rPr>
          <w:rStyle w:val="FootnoteReference"/>
          <w:rFonts w:ascii="Times New Roman" w:hAnsi="Times New Roman"/>
          <w:sz w:val="18"/>
          <w:szCs w:val="18"/>
        </w:rPr>
        <w:footnoteRef/>
      </w:r>
      <w:r>
        <w:rPr>
          <w:rFonts w:ascii="Times New Roman" w:hAnsi="Times New Roman"/>
          <w:sz w:val="18"/>
          <w:szCs w:val="18"/>
          <w:lang w:val="en-GB"/>
        </w:rPr>
        <w:t xml:space="preserve">) </w:t>
      </w:r>
      <w:r>
        <w:rPr>
          <w:rFonts w:ascii="Times New Roman" w:hAnsi="Times New Roman"/>
          <w:sz w:val="18"/>
          <w:szCs w:val="18"/>
          <w:lang w:val="en-GB"/>
        </w:rPr>
        <w:tab/>
        <w:t>Khane et al., 2014; Valenzuela et al., 2014.</w:t>
      </w:r>
    </w:p>
  </w:footnote>
  <w:footnote w:id="5">
    <w:p>
      <w:pPr>
        <w:pStyle w:val="FootnoteText"/>
        <w:tabs>
          <w:tab w:val="left" w:pos="426"/>
        </w:tabs>
        <w:spacing w:after="0"/>
        <w:rPr>
          <w:sz w:val="18"/>
          <w:szCs w:val="18"/>
          <w:lang w:val="en-GB"/>
        </w:rPr>
      </w:pPr>
      <w:r>
        <w:rPr>
          <w:rFonts w:ascii="Times New Roman" w:hAnsi="Times New Roman"/>
          <w:sz w:val="18"/>
          <w:szCs w:val="18"/>
          <w:lang w:val="en-GB"/>
        </w:rPr>
        <w:t>(</w:t>
      </w:r>
      <w:r>
        <w:rPr>
          <w:rStyle w:val="FootnoteReference"/>
          <w:rFonts w:ascii="Times New Roman" w:hAnsi="Times New Roman"/>
          <w:sz w:val="18"/>
          <w:szCs w:val="18"/>
        </w:rPr>
        <w:footnoteRef/>
      </w:r>
      <w:r>
        <w:rPr>
          <w:rFonts w:ascii="Times New Roman" w:hAnsi="Times New Roman"/>
          <w:sz w:val="18"/>
          <w:szCs w:val="18"/>
          <w:lang w:val="en-GB"/>
        </w:rPr>
        <w:t>)</w:t>
      </w:r>
      <w:r>
        <w:rPr>
          <w:sz w:val="18"/>
          <w:szCs w:val="18"/>
        </w:rPr>
        <w:t xml:space="preserve"> </w:t>
      </w:r>
      <w:r>
        <w:rPr>
          <w:sz w:val="18"/>
          <w:szCs w:val="18"/>
          <w:lang w:val="en-GB"/>
        </w:rPr>
        <w:tab/>
      </w:r>
      <w:r>
        <w:rPr>
          <w:rFonts w:ascii="Times New Roman" w:hAnsi="Times New Roman"/>
          <w:sz w:val="18"/>
          <w:szCs w:val="18"/>
          <w:lang w:val="en-GB"/>
        </w:rPr>
        <w:t>Kushin, 2009; Banaji and Buckingham, 2011.</w:t>
      </w:r>
    </w:p>
  </w:footnote>
  <w:footnote w:id="6">
    <w:p>
      <w:pPr>
        <w:pStyle w:val="FootnoteText"/>
        <w:tabs>
          <w:tab w:val="left" w:pos="426"/>
        </w:tabs>
        <w:spacing w:after="0"/>
        <w:rPr>
          <w:rFonts w:ascii="Times New Roman" w:hAnsi="Times New Roman"/>
          <w:sz w:val="18"/>
          <w:szCs w:val="18"/>
        </w:rPr>
      </w:pPr>
      <w:r>
        <w:rPr>
          <w:rFonts w:ascii="Times New Roman" w:hAnsi="Times New Roman"/>
          <w:sz w:val="18"/>
          <w:szCs w:val="18"/>
          <w:lang w:val="en-GB"/>
        </w:rPr>
        <w:t>(</w:t>
      </w:r>
      <w:r>
        <w:rPr>
          <w:rStyle w:val="FootnoteReference"/>
          <w:rFonts w:ascii="Times New Roman" w:hAnsi="Times New Roman"/>
          <w:sz w:val="18"/>
          <w:szCs w:val="18"/>
        </w:rPr>
        <w:footnoteRef/>
      </w:r>
      <w:r>
        <w:rPr>
          <w:rFonts w:ascii="Times New Roman" w:hAnsi="Times New Roman"/>
          <w:sz w:val="18"/>
          <w:szCs w:val="18"/>
          <w:lang w:val="en-GB"/>
        </w:rPr>
        <w:t xml:space="preserve">) </w:t>
      </w:r>
      <w:r>
        <w:rPr>
          <w:rFonts w:ascii="Times New Roman" w:hAnsi="Times New Roman"/>
          <w:sz w:val="18"/>
          <w:szCs w:val="18"/>
          <w:lang w:val="en-GB"/>
        </w:rPr>
        <w:tab/>
        <w:t>Jaime-Castillo, 2008; Wass, 2008.</w:t>
      </w:r>
    </w:p>
  </w:footnote>
  <w:footnote w:id="7">
    <w:p>
      <w:pPr>
        <w:pStyle w:val="FootnoteText"/>
        <w:tabs>
          <w:tab w:val="left" w:pos="426"/>
        </w:tabs>
        <w:spacing w:after="0"/>
        <w:rPr>
          <w:rFonts w:ascii="Times New Roman" w:hAnsi="Times New Roman"/>
          <w:sz w:val="18"/>
          <w:szCs w:val="18"/>
          <w:lang w:val="en-GB"/>
        </w:rPr>
      </w:pPr>
      <w:r>
        <w:rPr>
          <w:rFonts w:ascii="Times New Roman" w:hAnsi="Times New Roman"/>
          <w:sz w:val="18"/>
          <w:szCs w:val="18"/>
          <w:lang w:val="en-GB"/>
        </w:rPr>
        <w:t>(</w:t>
      </w:r>
      <w:r>
        <w:rPr>
          <w:rStyle w:val="FootnoteReference"/>
          <w:rFonts w:ascii="Times New Roman" w:hAnsi="Times New Roman"/>
          <w:sz w:val="18"/>
          <w:szCs w:val="18"/>
        </w:rPr>
        <w:footnoteRef/>
      </w:r>
      <w:r>
        <w:rPr>
          <w:rFonts w:ascii="Times New Roman" w:hAnsi="Times New Roman"/>
          <w:sz w:val="18"/>
          <w:szCs w:val="18"/>
          <w:lang w:val="en-GB"/>
        </w:rPr>
        <w:t xml:space="preserve">) </w:t>
      </w:r>
      <w:r>
        <w:rPr>
          <w:rFonts w:ascii="Times New Roman" w:hAnsi="Times New Roman"/>
          <w:sz w:val="18"/>
          <w:szCs w:val="18"/>
          <w:lang w:val="en-GB"/>
        </w:rPr>
        <w:tab/>
        <w:t>Ibid.</w:t>
      </w:r>
    </w:p>
  </w:footnote>
  <w:footnote w:id="8">
    <w:p>
      <w:pPr>
        <w:pStyle w:val="FootnoteText"/>
        <w:tabs>
          <w:tab w:val="left" w:pos="426"/>
        </w:tabs>
        <w:spacing w:after="0"/>
        <w:rPr>
          <w:rFonts w:ascii="Times New Roman" w:hAnsi="Times New Roman"/>
          <w:sz w:val="18"/>
          <w:szCs w:val="18"/>
          <w:lang w:val="en-GB"/>
        </w:rPr>
      </w:pPr>
      <w:r>
        <w:rPr>
          <w:rFonts w:ascii="Times New Roman" w:hAnsi="Times New Roman"/>
          <w:sz w:val="18"/>
          <w:szCs w:val="18"/>
          <w:lang w:val="en-GB"/>
        </w:rPr>
        <w:t>(</w:t>
      </w:r>
      <w:r>
        <w:rPr>
          <w:rStyle w:val="FootnoteReference"/>
          <w:rFonts w:ascii="Times New Roman" w:hAnsi="Times New Roman"/>
          <w:sz w:val="18"/>
          <w:szCs w:val="18"/>
        </w:rPr>
        <w:footnoteRef/>
      </w:r>
      <w:r>
        <w:rPr>
          <w:rFonts w:ascii="Times New Roman" w:hAnsi="Times New Roman"/>
          <w:sz w:val="18"/>
          <w:szCs w:val="18"/>
          <w:lang w:val="en-GB"/>
        </w:rPr>
        <w:t>)</w:t>
      </w:r>
      <w:r>
        <w:rPr>
          <w:rFonts w:ascii="Times New Roman" w:hAnsi="Times New Roman"/>
          <w:sz w:val="18"/>
          <w:szCs w:val="18"/>
        </w:rPr>
        <w:t xml:space="preserve"> </w:t>
      </w:r>
      <w:r>
        <w:rPr>
          <w:rFonts w:ascii="Times New Roman" w:hAnsi="Times New Roman"/>
          <w:sz w:val="18"/>
          <w:szCs w:val="18"/>
          <w:lang w:val="en-GB"/>
        </w:rPr>
        <w:tab/>
        <w:t>Gaventa, J., 2009.</w:t>
      </w:r>
    </w:p>
  </w:footnote>
  <w:footnote w:id="9">
    <w:p>
      <w:pPr>
        <w:pStyle w:val="FootnoteText"/>
        <w:tabs>
          <w:tab w:val="left" w:pos="426"/>
        </w:tabs>
        <w:spacing w:after="0"/>
        <w:rPr>
          <w:rFonts w:ascii="Times New Roman" w:hAnsi="Times New Roman"/>
          <w:sz w:val="18"/>
          <w:szCs w:val="18"/>
          <w:lang w:val="en-GB"/>
        </w:rPr>
      </w:pPr>
      <w:r>
        <w:rPr>
          <w:rFonts w:ascii="Times New Roman" w:hAnsi="Times New Roman"/>
          <w:sz w:val="18"/>
          <w:szCs w:val="18"/>
          <w:lang w:val="en-GB"/>
        </w:rPr>
        <w:t>(</w:t>
      </w:r>
      <w:r>
        <w:rPr>
          <w:rStyle w:val="FootnoteReference"/>
          <w:rFonts w:ascii="Times New Roman" w:hAnsi="Times New Roman"/>
          <w:sz w:val="18"/>
          <w:szCs w:val="18"/>
        </w:rPr>
        <w:footnoteRef/>
      </w:r>
      <w:r>
        <w:rPr>
          <w:rFonts w:ascii="Times New Roman" w:hAnsi="Times New Roman"/>
          <w:sz w:val="18"/>
          <w:szCs w:val="18"/>
          <w:lang w:val="en-GB"/>
        </w:rPr>
        <w:t>)</w:t>
      </w:r>
      <w:r>
        <w:rPr>
          <w:rFonts w:ascii="Times New Roman" w:hAnsi="Times New Roman"/>
          <w:sz w:val="18"/>
          <w:szCs w:val="18"/>
        </w:rPr>
        <w:t xml:space="preserve"> </w:t>
      </w:r>
      <w:r>
        <w:rPr>
          <w:rFonts w:ascii="Times New Roman" w:hAnsi="Times New Roman"/>
          <w:sz w:val="18"/>
          <w:szCs w:val="18"/>
          <w:lang w:val="en-GB"/>
        </w:rPr>
        <w:tab/>
        <w:t>Fligstein et al., 2011.</w:t>
      </w:r>
    </w:p>
  </w:footnote>
  <w:footnote w:id="10">
    <w:p>
      <w:pPr>
        <w:pStyle w:val="FootnoteText"/>
        <w:tabs>
          <w:tab w:val="left" w:pos="426"/>
        </w:tabs>
        <w:spacing w:after="0"/>
        <w:rPr>
          <w:rFonts w:ascii="Times New Roman" w:hAnsi="Times New Roman"/>
          <w:sz w:val="18"/>
          <w:szCs w:val="18"/>
          <w:lang w:val="en-GB"/>
        </w:rPr>
      </w:pPr>
      <w:r>
        <w:rPr>
          <w:rFonts w:ascii="Times New Roman" w:hAnsi="Times New Roman"/>
          <w:sz w:val="18"/>
          <w:szCs w:val="18"/>
          <w:lang w:val="en-GB"/>
        </w:rPr>
        <w:t>(</w:t>
      </w:r>
      <w:r>
        <w:rPr>
          <w:rStyle w:val="FootnoteReference"/>
          <w:rFonts w:ascii="Times New Roman" w:hAnsi="Times New Roman"/>
          <w:sz w:val="18"/>
          <w:szCs w:val="18"/>
        </w:rPr>
        <w:footnoteRef/>
      </w:r>
      <w:r>
        <w:rPr>
          <w:rFonts w:ascii="Times New Roman" w:hAnsi="Times New Roman"/>
          <w:sz w:val="18"/>
          <w:szCs w:val="18"/>
          <w:lang w:val="en-GB"/>
        </w:rPr>
        <w:t xml:space="preserve">) </w:t>
      </w:r>
      <w:r>
        <w:rPr>
          <w:rFonts w:ascii="Times New Roman" w:hAnsi="Times New Roman"/>
          <w:sz w:val="18"/>
          <w:szCs w:val="18"/>
          <w:lang w:val="en-GB"/>
        </w:rPr>
        <w:tab/>
        <w:t>European Commission/EACEA, 2013.</w:t>
      </w:r>
    </w:p>
  </w:footnote>
  <w:footnote w:id="11">
    <w:p>
      <w:pPr>
        <w:pStyle w:val="FootnoteText"/>
        <w:spacing w:after="0"/>
        <w:ind w:left="426" w:hanging="426"/>
        <w:jc w:val="both"/>
        <w:rPr>
          <w:rFonts w:ascii="Times New Roman" w:hAnsi="Times New Roman"/>
          <w:sz w:val="18"/>
          <w:szCs w:val="18"/>
          <w:lang w:val="en-GB"/>
        </w:rPr>
      </w:pPr>
      <w:r>
        <w:rPr>
          <w:rFonts w:ascii="Times New Roman" w:hAnsi="Times New Roman"/>
          <w:sz w:val="18"/>
          <w:szCs w:val="18"/>
          <w:lang w:val="en-GB"/>
        </w:rPr>
        <w:t>(</w:t>
      </w:r>
      <w:r>
        <w:rPr>
          <w:rStyle w:val="FootnoteReference"/>
          <w:rFonts w:ascii="Times New Roman" w:hAnsi="Times New Roman"/>
          <w:sz w:val="18"/>
          <w:szCs w:val="18"/>
          <w:lang w:val="en-GB"/>
        </w:rPr>
        <w:footnoteRef/>
      </w:r>
      <w:r>
        <w:rPr>
          <w:rFonts w:ascii="Times New Roman" w:hAnsi="Times New Roman"/>
          <w:sz w:val="18"/>
          <w:szCs w:val="18"/>
          <w:lang w:val="en-GB"/>
        </w:rPr>
        <w:t xml:space="preserve">) </w:t>
      </w:r>
      <w:r>
        <w:rPr>
          <w:rFonts w:ascii="Times New Roman" w:hAnsi="Times New Roman"/>
          <w:sz w:val="18"/>
          <w:szCs w:val="18"/>
          <w:lang w:val="en-GB"/>
        </w:rPr>
        <w:tab/>
        <w:t>An obligation for citizens to vote currently exists in Belgium, Cyprus, Greece and Luxembourg, although levels of enforcement vary (</w:t>
      </w:r>
      <w:hyperlink r:id="rId1" w:history="1">
        <w:r>
          <w:rPr>
            <w:rStyle w:val="Hyperlink"/>
            <w:rFonts w:ascii="Times New Roman" w:hAnsi="Times New Roman"/>
            <w:sz w:val="18"/>
            <w:szCs w:val="18"/>
            <w:lang w:val="en-GB"/>
          </w:rPr>
          <w:t>http://europa.eu/youreurope/citizens/residence/elections-abroad/ep-elections/index_en.htm</w:t>
        </w:r>
      </w:hyperlink>
      <w:r>
        <w:rPr>
          <w:rFonts w:ascii="Times New Roman" w:hAnsi="Times New Roman"/>
          <w:sz w:val="18"/>
          <w:szCs w:val="18"/>
          <w:lang w:val="en-GB"/>
        </w:rPr>
        <w:t>).</w:t>
      </w:r>
    </w:p>
  </w:footnote>
  <w:footnote w:id="12">
    <w:p>
      <w:pPr>
        <w:pStyle w:val="FootnoteText"/>
        <w:tabs>
          <w:tab w:val="left" w:pos="426"/>
        </w:tabs>
        <w:spacing w:after="0"/>
        <w:rPr>
          <w:rFonts w:ascii="Times New Roman" w:hAnsi="Times New Roman"/>
          <w:sz w:val="18"/>
          <w:szCs w:val="18"/>
          <w:lang w:val="en-GB"/>
        </w:rPr>
      </w:pPr>
      <w:r>
        <w:rPr>
          <w:rFonts w:ascii="Times New Roman" w:hAnsi="Times New Roman"/>
          <w:sz w:val="18"/>
          <w:szCs w:val="18"/>
          <w:lang w:val="en-GB"/>
        </w:rPr>
        <w:t>(</w:t>
      </w:r>
      <w:r>
        <w:rPr>
          <w:rStyle w:val="FootnoteReference"/>
          <w:rFonts w:ascii="Times New Roman" w:hAnsi="Times New Roman"/>
          <w:sz w:val="18"/>
          <w:szCs w:val="18"/>
        </w:rPr>
        <w:footnoteRef/>
      </w:r>
      <w:r>
        <w:rPr>
          <w:rFonts w:ascii="Times New Roman" w:hAnsi="Times New Roman"/>
          <w:sz w:val="18"/>
          <w:szCs w:val="18"/>
          <w:lang w:val="en-GB"/>
        </w:rPr>
        <w:t>)</w:t>
      </w:r>
      <w:r>
        <w:rPr>
          <w:rFonts w:ascii="Times New Roman" w:hAnsi="Times New Roman"/>
          <w:sz w:val="18"/>
          <w:szCs w:val="18"/>
        </w:rPr>
        <w:t xml:space="preserve"> </w:t>
      </w:r>
      <w:r>
        <w:rPr>
          <w:rFonts w:ascii="Times New Roman" w:hAnsi="Times New Roman"/>
          <w:sz w:val="18"/>
          <w:szCs w:val="18"/>
          <w:lang w:val="en-GB"/>
        </w:rPr>
        <w:tab/>
      </w:r>
      <w:r>
        <w:rPr>
          <w:rFonts w:ascii="Times New Roman" w:hAnsi="Times New Roman"/>
          <w:sz w:val="18"/>
          <w:szCs w:val="18"/>
        </w:rPr>
        <w:t>Harrell, 2009</w:t>
      </w:r>
      <w:r>
        <w:rPr>
          <w:rFonts w:ascii="Times New Roman" w:hAnsi="Times New Roman"/>
          <w:sz w:val="18"/>
          <w:szCs w:val="18"/>
          <w:lang w:val="en-GB"/>
        </w:rPr>
        <w:t>.</w:t>
      </w:r>
    </w:p>
  </w:footnote>
  <w:footnote w:id="13">
    <w:p>
      <w:pPr>
        <w:pStyle w:val="FootnoteText"/>
        <w:tabs>
          <w:tab w:val="left" w:pos="426"/>
        </w:tabs>
        <w:spacing w:after="0"/>
        <w:rPr>
          <w:rFonts w:ascii="Times New Roman" w:hAnsi="Times New Roman"/>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r>
      <w:r>
        <w:rPr>
          <w:rFonts w:ascii="Times New Roman" w:hAnsi="Times New Roman"/>
          <w:sz w:val="18"/>
          <w:szCs w:val="18"/>
        </w:rPr>
        <w:t>Blais</w:t>
      </w:r>
      <w:r>
        <w:rPr>
          <w:rFonts w:ascii="Times New Roman" w:hAnsi="Times New Roman"/>
          <w:sz w:val="18"/>
          <w:szCs w:val="18"/>
          <w:lang w:val="en-GB"/>
        </w:rPr>
        <w:t xml:space="preserve"> </w:t>
      </w:r>
      <w:r>
        <w:rPr>
          <w:rFonts w:ascii="Times New Roman" w:hAnsi="Times New Roman"/>
          <w:sz w:val="18"/>
          <w:szCs w:val="18"/>
        </w:rPr>
        <w:t>and Dobrzynska, 1998</w:t>
      </w:r>
      <w:r>
        <w:rPr>
          <w:rFonts w:ascii="Times New Roman" w:hAnsi="Times New Roman"/>
          <w:sz w:val="18"/>
          <w:szCs w:val="18"/>
          <w:lang w:val="en-GB"/>
        </w:rPr>
        <w:t>;</w:t>
      </w:r>
      <w:r>
        <w:rPr>
          <w:sz w:val="18"/>
          <w:szCs w:val="18"/>
          <w:lang w:val="en-GB"/>
        </w:rPr>
        <w:t xml:space="preserve"> </w:t>
      </w:r>
      <w:r>
        <w:rPr>
          <w:rFonts w:ascii="Times New Roman" w:hAnsi="Times New Roman"/>
          <w:sz w:val="18"/>
          <w:szCs w:val="18"/>
        </w:rPr>
        <w:t>Berinsky and Lenz, 2011</w:t>
      </w:r>
      <w:r>
        <w:rPr>
          <w:rFonts w:ascii="Times New Roman" w:hAnsi="Times New Roman"/>
          <w:sz w:val="18"/>
          <w:szCs w:val="18"/>
          <w:lang w:val="en-GB"/>
        </w:rPr>
        <w:t>.</w:t>
      </w:r>
    </w:p>
  </w:footnote>
  <w:footnote w:id="14">
    <w:p>
      <w:pPr>
        <w:pStyle w:val="FootnoteText"/>
        <w:tabs>
          <w:tab w:val="left" w:pos="426"/>
        </w:tabs>
        <w:spacing w:after="0"/>
        <w:rPr>
          <w:rFonts w:ascii="Times New Roman" w:hAnsi="Times New Roman"/>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r>
      <w:r>
        <w:rPr>
          <w:rFonts w:ascii="Times New Roman" w:hAnsi="Times New Roman"/>
          <w:sz w:val="18"/>
          <w:szCs w:val="18"/>
        </w:rPr>
        <w:t>Cammaerts et al., 2016</w:t>
      </w:r>
      <w:r>
        <w:rPr>
          <w:rFonts w:ascii="Times New Roman" w:hAnsi="Times New Roman"/>
          <w:sz w:val="18"/>
          <w:szCs w:val="18"/>
          <w:lang w:val="en-GB"/>
        </w:rPr>
        <w:t>.</w:t>
      </w:r>
    </w:p>
  </w:footnote>
  <w:footnote w:id="15">
    <w:p>
      <w:pPr>
        <w:pStyle w:val="FootnoteText"/>
        <w:tabs>
          <w:tab w:val="left" w:pos="426"/>
        </w:tabs>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r>
      <w:r>
        <w:rPr>
          <w:rFonts w:ascii="Times New Roman" w:hAnsi="Times New Roman"/>
          <w:sz w:val="18"/>
          <w:szCs w:val="18"/>
        </w:rPr>
        <w:t>European Parliament, 2014</w:t>
      </w:r>
      <w:r>
        <w:rPr>
          <w:rFonts w:ascii="Times New Roman" w:hAnsi="Times New Roman"/>
          <w:sz w:val="18"/>
          <w:szCs w:val="18"/>
          <w:lang w:val="en-GB"/>
        </w:rPr>
        <w:t>.</w:t>
      </w:r>
    </w:p>
  </w:footnote>
  <w:footnote w:id="16">
    <w:p>
      <w:pPr>
        <w:pStyle w:val="FootnoteText"/>
        <w:tabs>
          <w:tab w:val="left" w:pos="426"/>
        </w:tabs>
        <w:rPr>
          <w:sz w:val="18"/>
          <w:szCs w:val="18"/>
          <w:lang w:val="en-GB"/>
        </w:rPr>
      </w:pPr>
      <w:r>
        <w:rPr>
          <w:rFonts w:ascii="Times New Roman" w:hAnsi="Times New Roman"/>
          <w:sz w:val="18"/>
          <w:szCs w:val="18"/>
          <w:lang w:val="en-GB"/>
        </w:rPr>
        <w:t>(</w:t>
      </w:r>
      <w:r>
        <w:rPr>
          <w:rStyle w:val="FootnoteReference"/>
          <w:rFonts w:ascii="Times New Roman" w:hAnsi="Times New Roman"/>
          <w:sz w:val="18"/>
          <w:szCs w:val="18"/>
        </w:rPr>
        <w:footnoteRef/>
      </w:r>
      <w:r>
        <w:rPr>
          <w:rFonts w:ascii="Times New Roman" w:hAnsi="Times New Roman"/>
          <w:sz w:val="18"/>
          <w:szCs w:val="18"/>
          <w:lang w:val="en-GB"/>
        </w:rPr>
        <w:t>)</w:t>
      </w:r>
      <w:r>
        <w:rPr>
          <w:rFonts w:ascii="Times New Roman" w:hAnsi="Times New Roman"/>
          <w:sz w:val="18"/>
          <w:szCs w:val="18"/>
        </w:rPr>
        <w:t xml:space="preserve"> </w:t>
      </w:r>
      <w:r>
        <w:rPr>
          <w:rFonts w:ascii="Times New Roman" w:hAnsi="Times New Roman"/>
          <w:sz w:val="18"/>
          <w:szCs w:val="18"/>
          <w:lang w:val="en-GB"/>
        </w:rPr>
        <w:tab/>
      </w:r>
      <w:r>
        <w:rPr>
          <w:rFonts w:ascii="Times New Roman" w:hAnsi="Times New Roman"/>
          <w:sz w:val="18"/>
          <w:szCs w:val="18"/>
        </w:rPr>
        <w:t>Lijphart and Aitkin, 1994</w:t>
      </w:r>
      <w:r>
        <w:rPr>
          <w:rFonts w:ascii="Times New Roman" w:hAnsi="Times New Roman"/>
          <w:sz w:val="18"/>
          <w:szCs w:val="18"/>
          <w:lang w:val="en-GB"/>
        </w:rPr>
        <w:t>.</w:t>
      </w:r>
    </w:p>
  </w:footnote>
  <w:footnote w:id="17">
    <w:p>
      <w:pPr>
        <w:pStyle w:val="FootnoteText"/>
        <w:spacing w:after="0"/>
        <w:ind w:left="426" w:hanging="426"/>
        <w:jc w:val="both"/>
        <w:rPr>
          <w:sz w:val="18"/>
          <w:szCs w:val="18"/>
          <w:lang w:val="en-GB"/>
        </w:rPr>
      </w:pPr>
      <w:r>
        <w:rPr>
          <w:rFonts w:ascii="Times New Roman" w:hAnsi="Times New Roman"/>
          <w:sz w:val="18"/>
          <w:szCs w:val="18"/>
          <w:lang w:val="en-GB"/>
        </w:rPr>
        <w:t>(</w:t>
      </w:r>
      <w:r>
        <w:rPr>
          <w:rStyle w:val="FootnoteReference"/>
          <w:rFonts w:ascii="Times New Roman" w:hAnsi="Times New Roman"/>
          <w:sz w:val="18"/>
          <w:szCs w:val="18"/>
        </w:rPr>
        <w:footnoteRef/>
      </w:r>
      <w:r>
        <w:rPr>
          <w:rFonts w:ascii="Times New Roman" w:hAnsi="Times New Roman"/>
          <w:sz w:val="18"/>
          <w:szCs w:val="18"/>
          <w:lang w:val="en-GB"/>
        </w:rPr>
        <w:t>)</w:t>
      </w:r>
      <w:r>
        <w:rPr>
          <w:rFonts w:ascii="Times New Roman" w:hAnsi="Times New Roman"/>
          <w:sz w:val="18"/>
          <w:szCs w:val="18"/>
        </w:rPr>
        <w:t xml:space="preserve"> </w:t>
      </w:r>
      <w:r>
        <w:rPr>
          <w:rFonts w:ascii="Times New Roman" w:hAnsi="Times New Roman"/>
          <w:sz w:val="18"/>
          <w:szCs w:val="18"/>
          <w:lang w:val="en-GB"/>
        </w:rPr>
        <w:tab/>
        <w:t>The limited participation and representation of women in politics is an issue that is very well covered in the relevant research literature. For an overview, see Paxton and Hughes (2015).</w:t>
      </w:r>
    </w:p>
  </w:footnote>
  <w:footnote w:id="18">
    <w:p>
      <w:pPr>
        <w:pStyle w:val="FootnoteText"/>
        <w:tabs>
          <w:tab w:val="left" w:pos="426"/>
        </w:tabs>
        <w:spacing w:after="0"/>
        <w:rPr>
          <w:sz w:val="18"/>
          <w:szCs w:val="18"/>
          <w:lang w:val="en-GB"/>
        </w:rPr>
      </w:pPr>
      <w:r>
        <w:rPr>
          <w:rFonts w:ascii="Times New Roman" w:hAnsi="Times New Roman"/>
          <w:sz w:val="18"/>
          <w:szCs w:val="18"/>
          <w:lang w:val="en-GB"/>
        </w:rPr>
        <w:t>(</w:t>
      </w:r>
      <w:r>
        <w:rPr>
          <w:rStyle w:val="FootnoteReference"/>
          <w:rFonts w:ascii="Times New Roman" w:hAnsi="Times New Roman"/>
          <w:sz w:val="18"/>
          <w:szCs w:val="18"/>
        </w:rPr>
        <w:footnoteRef/>
      </w:r>
      <w:r>
        <w:rPr>
          <w:rFonts w:ascii="Times New Roman" w:hAnsi="Times New Roman"/>
          <w:sz w:val="18"/>
          <w:szCs w:val="18"/>
          <w:lang w:val="en-GB"/>
        </w:rPr>
        <w:t>)</w:t>
      </w:r>
      <w:r>
        <w:rPr>
          <w:rFonts w:ascii="Times New Roman" w:hAnsi="Times New Roman"/>
          <w:sz w:val="18"/>
          <w:szCs w:val="18"/>
        </w:rPr>
        <w:t xml:space="preserve"> </w:t>
      </w:r>
      <w:r>
        <w:rPr>
          <w:rFonts w:ascii="Times New Roman" w:hAnsi="Times New Roman"/>
          <w:sz w:val="18"/>
          <w:szCs w:val="18"/>
          <w:lang w:val="en-GB"/>
        </w:rPr>
        <w:tab/>
        <w:t>European Commission/EACEA, 2013.</w:t>
      </w:r>
    </w:p>
  </w:footnote>
  <w:footnote w:id="19">
    <w:p>
      <w:pPr>
        <w:pStyle w:val="FootnoteText"/>
        <w:tabs>
          <w:tab w:val="left" w:pos="426"/>
        </w:tabs>
        <w:rPr>
          <w:rFonts w:ascii="Times New Roman" w:hAnsi="Times New Roman"/>
          <w:sz w:val="18"/>
          <w:szCs w:val="18"/>
          <w:lang w:val="fi-FI"/>
        </w:rPr>
      </w:pPr>
      <w:r>
        <w:rPr>
          <w:rFonts w:ascii="Times New Roman" w:hAnsi="Times New Roman"/>
          <w:sz w:val="18"/>
          <w:szCs w:val="18"/>
        </w:rPr>
        <w:t>(</w:t>
      </w:r>
      <w:r>
        <w:rPr>
          <w:rStyle w:val="FootnoteReference"/>
          <w:rFonts w:ascii="Times New Roman" w:hAnsi="Times New Roman"/>
          <w:sz w:val="18"/>
          <w:szCs w:val="18"/>
        </w:rPr>
        <w:footnoteRef/>
      </w:r>
      <w:r>
        <w:rPr>
          <w:rFonts w:ascii="Times New Roman" w:hAnsi="Times New Roman"/>
          <w:sz w:val="18"/>
          <w:szCs w:val="18"/>
        </w:rPr>
        <w:t>)</w:t>
      </w:r>
      <w:r>
        <w:rPr>
          <w:rFonts w:ascii="Times New Roman" w:hAnsi="Times New Roman"/>
          <w:sz w:val="18"/>
          <w:szCs w:val="18"/>
          <w:lang w:val="fi-FI"/>
        </w:rPr>
        <w:t xml:space="preserve"> </w:t>
      </w:r>
      <w:r>
        <w:rPr>
          <w:rFonts w:ascii="Times New Roman" w:hAnsi="Times New Roman"/>
          <w:sz w:val="18"/>
          <w:szCs w:val="18"/>
          <w:lang w:val="fi-FI"/>
        </w:rPr>
        <w:tab/>
        <w:t>Hoikkala, 2009.</w:t>
      </w:r>
    </w:p>
  </w:footnote>
  <w:footnote w:id="20">
    <w:p>
      <w:pPr>
        <w:pStyle w:val="FootnoteText"/>
        <w:tabs>
          <w:tab w:val="left" w:pos="426"/>
        </w:tabs>
        <w:spacing w:after="0"/>
        <w:rPr>
          <w:sz w:val="18"/>
          <w:szCs w:val="18"/>
          <w:lang w:val="fi-FI"/>
        </w:rPr>
      </w:pPr>
      <w:r>
        <w:rPr>
          <w:rFonts w:ascii="Times New Roman" w:hAnsi="Times New Roman"/>
          <w:sz w:val="18"/>
          <w:szCs w:val="18"/>
          <w:lang w:val="fi-FI"/>
        </w:rPr>
        <w:t>(</w:t>
      </w:r>
      <w:r>
        <w:rPr>
          <w:rStyle w:val="FootnoteReference"/>
          <w:rFonts w:ascii="Times New Roman" w:hAnsi="Times New Roman"/>
          <w:sz w:val="18"/>
          <w:szCs w:val="18"/>
        </w:rPr>
        <w:footnoteRef/>
      </w:r>
      <w:r>
        <w:rPr>
          <w:rFonts w:ascii="Times New Roman" w:hAnsi="Times New Roman"/>
          <w:sz w:val="18"/>
          <w:szCs w:val="18"/>
          <w:lang w:val="fi-FI"/>
        </w:rPr>
        <w:t>)</w:t>
      </w:r>
      <w:r>
        <w:rPr>
          <w:rFonts w:ascii="Times New Roman" w:hAnsi="Times New Roman"/>
          <w:sz w:val="18"/>
          <w:szCs w:val="18"/>
        </w:rPr>
        <w:t xml:space="preserve"> </w:t>
      </w:r>
      <w:r>
        <w:rPr>
          <w:rFonts w:ascii="Times New Roman" w:hAnsi="Times New Roman"/>
          <w:sz w:val="18"/>
          <w:szCs w:val="18"/>
          <w:lang w:val="fi-FI"/>
        </w:rPr>
        <w:tab/>
        <w:t>Montgomery et al., 2004; Kushin, 2009.</w:t>
      </w:r>
    </w:p>
  </w:footnote>
  <w:footnote w:id="21">
    <w:p>
      <w:pPr>
        <w:pStyle w:val="FootnoteText"/>
        <w:tabs>
          <w:tab w:val="left" w:pos="426"/>
        </w:tabs>
        <w:spacing w:after="0" w:line="240" w:lineRule="auto"/>
        <w:ind w:left="426" w:hanging="426"/>
        <w:jc w:val="both"/>
        <w:rPr>
          <w:rFonts w:ascii="Times New Roman" w:hAnsi="Times New Roman"/>
          <w:sz w:val="18"/>
          <w:szCs w:val="18"/>
          <w:lang w:val="en-GB"/>
        </w:rPr>
      </w:pPr>
      <w:r>
        <w:rPr>
          <w:rFonts w:ascii="Times New Roman" w:hAnsi="Times New Roman"/>
          <w:sz w:val="18"/>
          <w:szCs w:val="18"/>
          <w:lang w:val="en-GB"/>
        </w:rPr>
        <w:t>(</w:t>
      </w:r>
      <w:r>
        <w:rPr>
          <w:rStyle w:val="FootnoteReference"/>
          <w:rFonts w:ascii="Times New Roman" w:hAnsi="Times New Roman"/>
          <w:sz w:val="18"/>
          <w:szCs w:val="18"/>
        </w:rPr>
        <w:footnoteRef/>
      </w:r>
      <w:r>
        <w:rPr>
          <w:rFonts w:ascii="Times New Roman" w:hAnsi="Times New Roman"/>
          <w:sz w:val="18"/>
          <w:szCs w:val="18"/>
          <w:lang w:val="en-GB"/>
        </w:rPr>
        <w:t>)</w:t>
      </w:r>
      <w:r>
        <w:rPr>
          <w:rFonts w:ascii="Times New Roman" w:hAnsi="Times New Roman"/>
          <w:sz w:val="18"/>
          <w:szCs w:val="18"/>
        </w:rPr>
        <w:t xml:space="preserve"> </w:t>
      </w:r>
      <w:r>
        <w:rPr>
          <w:rFonts w:ascii="Times New Roman" w:hAnsi="Times New Roman"/>
          <w:sz w:val="18"/>
          <w:szCs w:val="18"/>
          <w:lang w:val="en-GB"/>
        </w:rPr>
        <w:tab/>
        <w:t>An illustration and analysis of data per country on the share of households with internet access are available at the Eurostat online database at </w:t>
      </w:r>
      <w:r>
        <w:rPr>
          <w:rFonts w:ascii="Times New Roman" w:hAnsi="Times New Roman"/>
          <w:sz w:val="18"/>
          <w:szCs w:val="18"/>
          <w:lang w:val="en-GB"/>
        </w:rPr>
        <w:tab/>
      </w:r>
      <w:hyperlink r:id="rId2" w:history="1">
        <w:r>
          <w:rPr>
            <w:rStyle w:val="Hyperlink"/>
            <w:rFonts w:ascii="Times New Roman" w:hAnsi="Times New Roman"/>
            <w:sz w:val="18"/>
            <w:szCs w:val="18"/>
            <w:lang w:val="en-GB"/>
          </w:rPr>
          <w:t>http://ec.europa.eu/eurostat/statistics-explained/index.php/Internet_access_and_use_statistics_-_households_and_individuals</w:t>
        </w:r>
      </w:hyperlink>
      <w:r>
        <w:rPr>
          <w:rFonts w:ascii="Times New Roman" w:hAnsi="Times New Roman"/>
          <w:lang w:val="en-GB"/>
        </w:rPr>
        <w:t xml:space="preserve"> </w:t>
      </w:r>
      <w:r>
        <w:rPr>
          <w:rFonts w:ascii="Times New Roman" w:hAnsi="Times New Roman"/>
          <w:sz w:val="18"/>
          <w:szCs w:val="18"/>
          <w:lang w:val="en-GB"/>
        </w:rPr>
        <w:t>[accessed on 7 August 2017].</w:t>
      </w:r>
    </w:p>
  </w:footnote>
  <w:footnote w:id="22">
    <w:p>
      <w:pPr>
        <w:pStyle w:val="FootnoteText"/>
        <w:tabs>
          <w:tab w:val="left" w:pos="426"/>
        </w:tabs>
        <w:spacing w:after="0"/>
        <w:rPr>
          <w:rFonts w:ascii="Times New Roman" w:hAnsi="Times New Roman"/>
          <w:sz w:val="18"/>
          <w:szCs w:val="18"/>
          <w:lang w:val="it-IT"/>
        </w:rPr>
      </w:pPr>
      <w:r>
        <w:rPr>
          <w:rFonts w:ascii="Times New Roman" w:hAnsi="Times New Roman"/>
          <w:sz w:val="18"/>
          <w:szCs w:val="18"/>
          <w:lang w:val="it-IT"/>
        </w:rPr>
        <w:t>(</w:t>
      </w:r>
      <w:r>
        <w:rPr>
          <w:rStyle w:val="FootnoteReference"/>
          <w:rFonts w:ascii="Times New Roman" w:hAnsi="Times New Roman"/>
          <w:sz w:val="18"/>
          <w:szCs w:val="18"/>
        </w:rPr>
        <w:footnoteRef/>
      </w:r>
      <w:r>
        <w:rPr>
          <w:rFonts w:ascii="Times New Roman" w:hAnsi="Times New Roman"/>
          <w:sz w:val="18"/>
          <w:szCs w:val="18"/>
          <w:lang w:val="it-IT"/>
        </w:rPr>
        <w:t>)</w:t>
      </w:r>
      <w:r>
        <w:rPr>
          <w:rFonts w:ascii="Times New Roman" w:hAnsi="Times New Roman"/>
          <w:sz w:val="18"/>
          <w:szCs w:val="18"/>
        </w:rPr>
        <w:t xml:space="preserve"> </w:t>
      </w:r>
      <w:r>
        <w:rPr>
          <w:rFonts w:ascii="Times New Roman" w:hAnsi="Times New Roman"/>
          <w:sz w:val="18"/>
          <w:szCs w:val="18"/>
          <w:lang w:val="it-IT"/>
        </w:rPr>
        <w:tab/>
        <w:t>DiMaggio and Hargittai, 2001.</w:t>
      </w:r>
    </w:p>
  </w:footnote>
  <w:footnote w:id="23">
    <w:p>
      <w:pPr>
        <w:pStyle w:val="FootnoteText"/>
        <w:tabs>
          <w:tab w:val="left" w:pos="426"/>
        </w:tabs>
        <w:rPr>
          <w:sz w:val="18"/>
          <w:szCs w:val="18"/>
        </w:rPr>
      </w:pPr>
      <w:r>
        <w:rPr>
          <w:rFonts w:ascii="Times New Roman" w:hAnsi="Times New Roman"/>
          <w:sz w:val="18"/>
          <w:szCs w:val="18"/>
          <w:lang w:val="it-IT"/>
        </w:rPr>
        <w:t>(</w:t>
      </w:r>
      <w:r>
        <w:rPr>
          <w:rStyle w:val="FootnoteReference"/>
          <w:rFonts w:ascii="Times New Roman" w:hAnsi="Times New Roman"/>
          <w:sz w:val="18"/>
          <w:szCs w:val="18"/>
        </w:rPr>
        <w:footnoteRef/>
      </w:r>
      <w:r>
        <w:rPr>
          <w:rFonts w:ascii="Times New Roman" w:hAnsi="Times New Roman"/>
          <w:sz w:val="18"/>
          <w:szCs w:val="18"/>
          <w:lang w:val="it-IT"/>
        </w:rPr>
        <w:t>)</w:t>
      </w:r>
      <w:r>
        <w:rPr>
          <w:rFonts w:ascii="Times New Roman" w:hAnsi="Times New Roman"/>
          <w:sz w:val="18"/>
          <w:szCs w:val="18"/>
        </w:rPr>
        <w:t xml:space="preserve"> </w:t>
      </w:r>
      <w:r>
        <w:rPr>
          <w:rFonts w:ascii="Times New Roman" w:hAnsi="Times New Roman"/>
          <w:sz w:val="18"/>
          <w:szCs w:val="18"/>
          <w:lang w:val="it-IT"/>
        </w:rPr>
        <w:tab/>
        <w:t>Khane et al., 2014.</w:t>
      </w:r>
    </w:p>
  </w:footnote>
  <w:footnote w:id="24">
    <w:p>
      <w:pPr>
        <w:pStyle w:val="FootnoteText"/>
        <w:tabs>
          <w:tab w:val="left" w:pos="426"/>
        </w:tabs>
        <w:rPr>
          <w:sz w:val="18"/>
          <w:szCs w:val="18"/>
          <w:lang w:val="en-GB"/>
        </w:rPr>
      </w:pPr>
      <w:r>
        <w:rPr>
          <w:sz w:val="18"/>
          <w:szCs w:val="18"/>
          <w:lang w:val="en-GB"/>
        </w:rPr>
        <w:t>(</w:t>
      </w:r>
      <w:r>
        <w:rPr>
          <w:rStyle w:val="FootnoteReference"/>
          <w:sz w:val="18"/>
          <w:szCs w:val="18"/>
        </w:rPr>
        <w:footnoteRef/>
      </w:r>
      <w:r>
        <w:rPr>
          <w:sz w:val="18"/>
          <w:szCs w:val="18"/>
          <w:lang w:val="en-GB"/>
        </w:rPr>
        <w:t xml:space="preserve">) </w:t>
      </w:r>
      <w:r>
        <w:rPr>
          <w:sz w:val="18"/>
          <w:szCs w:val="18"/>
          <w:lang w:val="en-GB"/>
        </w:rPr>
        <w:tab/>
        <w:t>Hall, 2008; Piliavin, 2003; Haski-Leventhal et al., 2008.</w:t>
      </w:r>
    </w:p>
  </w:footnote>
  <w:footnote w:id="25">
    <w:p>
      <w:pPr>
        <w:pStyle w:val="FootnoteText"/>
        <w:tabs>
          <w:tab w:val="left" w:pos="426"/>
        </w:tabs>
        <w:rPr>
          <w:sz w:val="18"/>
          <w:szCs w:val="18"/>
          <w:lang w:val="en-GB"/>
        </w:rPr>
      </w:pPr>
      <w:r>
        <w:rPr>
          <w:sz w:val="18"/>
          <w:szCs w:val="18"/>
        </w:rPr>
        <w:t>(</w:t>
      </w:r>
      <w:r>
        <w:rPr>
          <w:rStyle w:val="FootnoteReference"/>
          <w:sz w:val="18"/>
          <w:szCs w:val="18"/>
        </w:rPr>
        <w:footnoteRef/>
      </w:r>
      <w:r>
        <w:rPr>
          <w:sz w:val="18"/>
          <w:szCs w:val="18"/>
        </w:rPr>
        <w:t>)</w:t>
      </w:r>
      <w:r>
        <w:rPr>
          <w:sz w:val="18"/>
          <w:szCs w:val="18"/>
          <w:lang w:val="en-GB"/>
        </w:rPr>
        <w:t xml:space="preserve"> </w:t>
      </w:r>
      <w:r>
        <w:rPr>
          <w:sz w:val="18"/>
          <w:szCs w:val="18"/>
          <w:lang w:val="en-GB"/>
        </w:rPr>
        <w:tab/>
      </w:r>
      <w:r>
        <w:rPr>
          <w:sz w:val="18"/>
          <w:szCs w:val="18"/>
        </w:rPr>
        <w:t>Haski-Leventhal et al., 2008</w:t>
      </w:r>
      <w:r>
        <w:rPr>
          <w:sz w:val="18"/>
          <w:szCs w:val="18"/>
          <w:lang w:val="en-GB"/>
        </w:rPr>
        <w:t>.</w:t>
      </w:r>
    </w:p>
  </w:footnote>
  <w:footnote w:id="26">
    <w:p>
      <w:pPr>
        <w:pStyle w:val="FootnoteText"/>
        <w:tabs>
          <w:tab w:val="left" w:pos="426"/>
          <w:tab w:val="left" w:pos="2557"/>
        </w:tabs>
        <w:rPr>
          <w:sz w:val="18"/>
          <w:szCs w:val="18"/>
        </w:rPr>
      </w:pPr>
      <w:r>
        <w:rPr>
          <w:sz w:val="18"/>
          <w:szCs w:val="18"/>
        </w:rPr>
        <w:t>(</w:t>
      </w:r>
      <w:r>
        <w:rPr>
          <w:rStyle w:val="FootnoteReference"/>
          <w:sz w:val="18"/>
          <w:szCs w:val="18"/>
        </w:rPr>
        <w:footnoteRef/>
      </w:r>
      <w:r>
        <w:rPr>
          <w:sz w:val="18"/>
          <w:szCs w:val="18"/>
        </w:rPr>
        <w:t>)</w:t>
      </w:r>
      <w:r>
        <w:rPr>
          <w:sz w:val="18"/>
          <w:szCs w:val="18"/>
          <w:lang w:val="en-GB"/>
        </w:rPr>
        <w:t xml:space="preserve"> </w:t>
      </w:r>
      <w:r>
        <w:rPr>
          <w:sz w:val="18"/>
          <w:szCs w:val="18"/>
          <w:lang w:val="en-GB"/>
        </w:rPr>
        <w:tab/>
        <w:t>Hall, 2008.</w:t>
      </w:r>
    </w:p>
  </w:footnote>
  <w:footnote w:id="27">
    <w:p>
      <w:pPr>
        <w:pStyle w:val="FootnoteText"/>
        <w:ind w:left="426" w:hanging="426"/>
        <w:jc w:val="both"/>
        <w:rPr>
          <w:sz w:val="18"/>
          <w:lang w:val="en-US"/>
        </w:rPr>
      </w:pPr>
      <w:r>
        <w:rPr>
          <w:sz w:val="18"/>
          <w:lang w:val="en-US"/>
        </w:rPr>
        <w:t>(</w:t>
      </w:r>
      <w:r>
        <w:rPr>
          <w:rStyle w:val="FootnoteReference"/>
          <w:sz w:val="18"/>
        </w:rPr>
        <w:footnoteRef/>
      </w:r>
      <w:r>
        <w:rPr>
          <w:sz w:val="18"/>
          <w:lang w:val="en-US"/>
        </w:rPr>
        <w:t xml:space="preserve">) </w:t>
      </w:r>
      <w:r>
        <w:rPr>
          <w:sz w:val="18"/>
          <w:lang w:val="en-US"/>
        </w:rPr>
        <w:tab/>
      </w:r>
      <w:r>
        <w:rPr>
          <w:sz w:val="18"/>
          <w:lang w:val="en-GB"/>
        </w:rPr>
        <w:t xml:space="preserve">Salamon and Wojciech, 2001. </w:t>
      </w:r>
      <w:r>
        <w:rPr>
          <w:sz w:val="18"/>
          <w:lang w:val="en-US"/>
        </w:rPr>
        <w:t xml:space="preserve">For information on the national policies and traditions of youth volunteering, please refer to the relevant pages of the Youth Wiki, an online database of national youth policies in Europe available at: </w:t>
      </w:r>
      <w:hyperlink r:id="rId3" w:history="1">
        <w:r>
          <w:rPr>
            <w:rStyle w:val="Hyperlink"/>
            <w:sz w:val="18"/>
            <w:lang w:val="en-US"/>
          </w:rPr>
          <w:t>https://eacea.ec.europa.eu/national-policies/en/youthwiki</w:t>
        </w:r>
      </w:hyperlink>
      <w:r>
        <w:rPr>
          <w:sz w:val="18"/>
          <w:lang w:val="en-US"/>
        </w:rPr>
        <w:t xml:space="preserve"> </w:t>
      </w:r>
    </w:p>
  </w:footnote>
  <w:footnote w:id="28">
    <w:p>
      <w:pPr>
        <w:pStyle w:val="FootnoteText"/>
        <w:tabs>
          <w:tab w:val="left" w:pos="426"/>
        </w:tabs>
        <w:rPr>
          <w:sz w:val="18"/>
          <w:lang w:val="en-GB"/>
        </w:rPr>
      </w:pPr>
      <w:r>
        <w:rPr>
          <w:sz w:val="18"/>
          <w:lang w:val="en-GB"/>
        </w:rPr>
        <w:t>(</w:t>
      </w:r>
      <w:r>
        <w:rPr>
          <w:rStyle w:val="FootnoteReference"/>
          <w:sz w:val="18"/>
        </w:rPr>
        <w:footnoteRef/>
      </w:r>
      <w:r>
        <w:rPr>
          <w:sz w:val="18"/>
          <w:lang w:val="en-GB"/>
        </w:rPr>
        <w:t>)</w:t>
      </w:r>
      <w:r>
        <w:rPr>
          <w:sz w:val="18"/>
        </w:rPr>
        <w:t xml:space="preserve"> </w:t>
      </w:r>
      <w:r>
        <w:rPr>
          <w:sz w:val="18"/>
          <w:lang w:val="en-GB"/>
        </w:rPr>
        <w:tab/>
        <w:t>Jones, 2000.</w:t>
      </w:r>
    </w:p>
  </w:footnote>
  <w:footnote w:id="29">
    <w:p>
      <w:pPr>
        <w:pStyle w:val="FootnoteText"/>
        <w:tabs>
          <w:tab w:val="left" w:pos="426"/>
        </w:tabs>
        <w:rPr>
          <w:sz w:val="18"/>
          <w:lang w:val="en-GB"/>
        </w:rPr>
      </w:pPr>
      <w:r>
        <w:rPr>
          <w:sz w:val="18"/>
          <w:lang w:val="en-GB"/>
        </w:rPr>
        <w:t>(</w:t>
      </w:r>
      <w:r>
        <w:rPr>
          <w:rStyle w:val="FootnoteReference"/>
          <w:sz w:val="18"/>
        </w:rPr>
        <w:footnoteRef/>
      </w:r>
      <w:r>
        <w:rPr>
          <w:sz w:val="18"/>
          <w:lang w:val="en-GB"/>
        </w:rPr>
        <w:t>)</w:t>
      </w:r>
      <w:r>
        <w:rPr>
          <w:sz w:val="18"/>
          <w:lang w:val="en-GB"/>
        </w:rPr>
        <w:tab/>
        <w:t>Dean, 2014.</w:t>
      </w:r>
    </w:p>
  </w:footnote>
  <w:footnote w:id="30">
    <w:p>
      <w:pPr>
        <w:pStyle w:val="FootnoteText"/>
        <w:tabs>
          <w:tab w:val="left" w:pos="426"/>
        </w:tabs>
        <w:rPr>
          <w:sz w:val="18"/>
          <w:lang w:val="en-GB"/>
        </w:rPr>
      </w:pPr>
      <w:r>
        <w:rPr>
          <w:sz w:val="18"/>
          <w:lang w:val="en-GB"/>
        </w:rPr>
        <w:t>(</w:t>
      </w:r>
      <w:r>
        <w:rPr>
          <w:rStyle w:val="FootnoteReference"/>
          <w:sz w:val="18"/>
        </w:rPr>
        <w:footnoteRef/>
      </w:r>
      <w:r>
        <w:rPr>
          <w:sz w:val="18"/>
          <w:lang w:val="en-GB"/>
        </w:rPr>
        <w:t>)</w:t>
      </w:r>
      <w:r>
        <w:rPr>
          <w:sz w:val="18"/>
        </w:rPr>
        <w:t xml:space="preserve"> </w:t>
      </w:r>
      <w:r>
        <w:rPr>
          <w:sz w:val="18"/>
          <w:lang w:val="en-GB"/>
        </w:rPr>
        <w:tab/>
        <w:t>Jones, 2000.</w:t>
      </w:r>
    </w:p>
  </w:footnote>
  <w:footnote w:id="31">
    <w:p>
      <w:pPr>
        <w:pStyle w:val="FootnoteText"/>
        <w:tabs>
          <w:tab w:val="left" w:pos="426"/>
        </w:tabs>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t>Sherraden et al., 2008.</w:t>
      </w:r>
    </w:p>
  </w:footnote>
  <w:footnote w:id="32">
    <w:p>
      <w:pPr>
        <w:pStyle w:val="FootnoteText"/>
        <w:tabs>
          <w:tab w:val="left" w:pos="426"/>
        </w:tabs>
        <w:rPr>
          <w:sz w:val="18"/>
          <w:szCs w:val="18"/>
          <w:lang w:val="en-US"/>
        </w:rPr>
      </w:pPr>
      <w:r>
        <w:rPr>
          <w:sz w:val="18"/>
          <w:szCs w:val="18"/>
          <w:lang w:val="en-US"/>
        </w:rPr>
        <w:t>(</w:t>
      </w:r>
      <w:r>
        <w:rPr>
          <w:rStyle w:val="FootnoteReference"/>
          <w:sz w:val="18"/>
          <w:szCs w:val="18"/>
        </w:rPr>
        <w:footnoteRef/>
      </w:r>
      <w:r>
        <w:rPr>
          <w:sz w:val="18"/>
          <w:szCs w:val="18"/>
          <w:lang w:val="en-US"/>
        </w:rPr>
        <w:t>)</w:t>
      </w:r>
      <w:r>
        <w:rPr>
          <w:sz w:val="18"/>
          <w:szCs w:val="18"/>
        </w:rPr>
        <w:t xml:space="preserve"> </w:t>
      </w:r>
      <w:r>
        <w:rPr>
          <w:sz w:val="18"/>
          <w:szCs w:val="18"/>
          <w:lang w:val="en-GB"/>
        </w:rPr>
        <w:tab/>
      </w:r>
      <w:r>
        <w:rPr>
          <w:sz w:val="18"/>
          <w:szCs w:val="18"/>
          <w:lang w:val="en-US"/>
        </w:rPr>
        <w:t>Gaskin, 2004.</w:t>
      </w:r>
    </w:p>
  </w:footnote>
  <w:footnote w:id="33">
    <w:p>
      <w:pPr>
        <w:pStyle w:val="FootnoteText"/>
        <w:tabs>
          <w:tab w:val="left" w:pos="426"/>
        </w:tabs>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r>
      <w:r>
        <w:rPr>
          <w:sz w:val="18"/>
          <w:szCs w:val="18"/>
          <w:lang w:val="en-US"/>
        </w:rPr>
        <w:t>European Commission, 2015b.</w:t>
      </w:r>
    </w:p>
  </w:footnote>
  <w:footnote w:id="34">
    <w:p>
      <w:pPr>
        <w:pStyle w:val="FootnoteText"/>
        <w:tabs>
          <w:tab w:val="left" w:pos="426"/>
        </w:tabs>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r>
      <w:r>
        <w:rPr>
          <w:sz w:val="18"/>
          <w:szCs w:val="18"/>
          <w:lang w:val="en-US"/>
        </w:rPr>
        <w:t>Ibid.</w:t>
      </w:r>
    </w:p>
  </w:footnote>
  <w:footnote w:id="35">
    <w:p>
      <w:pPr>
        <w:pStyle w:val="FootnoteText"/>
        <w:tabs>
          <w:tab w:val="left" w:pos="426"/>
        </w:tabs>
        <w:ind w:left="426" w:hanging="426"/>
        <w:rPr>
          <w:sz w:val="18"/>
          <w:szCs w:val="18"/>
          <w:lang w:val="en-GB"/>
        </w:rPr>
      </w:pPr>
      <w:r>
        <w:rPr>
          <w:sz w:val="18"/>
          <w:szCs w:val="18"/>
        </w:rPr>
        <w:t>(</w:t>
      </w:r>
      <w:r>
        <w:rPr>
          <w:rStyle w:val="FootnoteReference"/>
          <w:sz w:val="18"/>
          <w:szCs w:val="18"/>
        </w:rPr>
        <w:footnoteRef/>
      </w:r>
      <w:r>
        <w:rPr>
          <w:sz w:val="18"/>
          <w:szCs w:val="18"/>
        </w:rPr>
        <w:t>)</w:t>
      </w:r>
      <w:r>
        <w:rPr>
          <w:sz w:val="18"/>
          <w:szCs w:val="18"/>
          <w:lang w:val="en-GB"/>
        </w:rPr>
        <w:t xml:space="preserve"> </w:t>
      </w:r>
      <w:r>
        <w:rPr>
          <w:sz w:val="18"/>
          <w:szCs w:val="18"/>
          <w:lang w:val="en-GB"/>
        </w:rPr>
        <w:tab/>
      </w:r>
      <w:r>
        <w:rPr>
          <w:sz w:val="18"/>
          <w:szCs w:val="18"/>
        </w:rPr>
        <w:t>Williamson, Hoskins and Boetzelen, 200</w:t>
      </w:r>
      <w:r>
        <w:rPr>
          <w:sz w:val="18"/>
          <w:szCs w:val="18"/>
          <w:lang w:val="en-US"/>
        </w:rPr>
        <w:t>5</w:t>
      </w:r>
      <w:r>
        <w:rPr>
          <w:sz w:val="18"/>
          <w:szCs w:val="18"/>
          <w:lang w:val="en-GB"/>
        </w:rPr>
        <w:t xml:space="preserve">; </w:t>
      </w:r>
      <w:r>
        <w:rPr>
          <w:sz w:val="18"/>
          <w:szCs w:val="18"/>
        </w:rPr>
        <w:t>Partnership between the European Commission and the Council of Europe in the field of Youth, 2011</w:t>
      </w:r>
      <w:r>
        <w:rPr>
          <w:sz w:val="18"/>
          <w:szCs w:val="18"/>
          <w:lang w:val="en-GB"/>
        </w:rPr>
        <w:t>.</w:t>
      </w:r>
    </w:p>
  </w:footnote>
  <w:footnote w:id="36">
    <w:p>
      <w:pPr>
        <w:pStyle w:val="FootnoteText"/>
        <w:tabs>
          <w:tab w:val="left" w:pos="426"/>
        </w:tabs>
        <w:rPr>
          <w:sz w:val="18"/>
          <w:szCs w:val="18"/>
        </w:rPr>
      </w:pPr>
      <w:r>
        <w:rPr>
          <w:sz w:val="18"/>
          <w:szCs w:val="18"/>
          <w:lang w:val="en-US"/>
        </w:rPr>
        <w:t>(</w:t>
      </w:r>
      <w:r>
        <w:rPr>
          <w:rStyle w:val="FootnoteReference"/>
          <w:sz w:val="18"/>
          <w:szCs w:val="18"/>
        </w:rPr>
        <w:footnoteRef/>
      </w:r>
      <w:r>
        <w:rPr>
          <w:sz w:val="18"/>
          <w:szCs w:val="18"/>
          <w:lang w:val="en-US"/>
        </w:rPr>
        <w:t xml:space="preserve">) </w:t>
      </w:r>
      <w:r>
        <w:rPr>
          <w:sz w:val="18"/>
          <w:szCs w:val="18"/>
          <w:lang w:val="en-US"/>
        </w:rPr>
        <w:tab/>
      </w:r>
      <w:r>
        <w:rPr>
          <w:sz w:val="18"/>
          <w:szCs w:val="18"/>
          <w:lang w:val="en"/>
        </w:rPr>
        <w:t>Fisher and Ackerman, 1998.</w:t>
      </w:r>
    </w:p>
  </w:footnote>
  <w:footnote w:id="37">
    <w:p>
      <w:pPr>
        <w:pStyle w:val="FootnoteText"/>
        <w:tabs>
          <w:tab w:val="left" w:pos="426"/>
        </w:tabs>
        <w:rPr>
          <w:sz w:val="18"/>
          <w:szCs w:val="18"/>
          <w:lang w:val="en-US"/>
        </w:rPr>
      </w:pPr>
      <w:r>
        <w:rPr>
          <w:sz w:val="18"/>
          <w:szCs w:val="18"/>
          <w:lang w:val="en-US"/>
        </w:rPr>
        <w:t>(</w:t>
      </w:r>
      <w:r>
        <w:rPr>
          <w:rStyle w:val="FootnoteReference"/>
          <w:sz w:val="18"/>
          <w:szCs w:val="18"/>
        </w:rPr>
        <w:footnoteRef/>
      </w:r>
      <w:r>
        <w:rPr>
          <w:sz w:val="18"/>
          <w:szCs w:val="18"/>
          <w:lang w:val="en-US"/>
        </w:rPr>
        <w:t>)</w:t>
      </w:r>
      <w:r>
        <w:rPr>
          <w:sz w:val="18"/>
          <w:szCs w:val="18"/>
        </w:rPr>
        <w:t xml:space="preserve"> </w:t>
      </w:r>
      <w:r>
        <w:rPr>
          <w:sz w:val="18"/>
          <w:szCs w:val="18"/>
          <w:lang w:val="en-GB"/>
        </w:rPr>
        <w:tab/>
      </w:r>
      <w:r>
        <w:rPr>
          <w:iCs/>
          <w:sz w:val="18"/>
          <w:szCs w:val="18"/>
          <w:lang w:val="en-GB"/>
        </w:rPr>
        <w:t>Moskwiak, 2005.</w:t>
      </w:r>
    </w:p>
  </w:footnote>
  <w:footnote w:id="38">
    <w:p>
      <w:pPr>
        <w:pStyle w:val="FootnoteText"/>
        <w:tabs>
          <w:tab w:val="left" w:pos="426"/>
        </w:tabs>
        <w:rPr>
          <w:sz w:val="18"/>
          <w:szCs w:val="18"/>
          <w:lang w:val="en-GB"/>
        </w:rPr>
      </w:pPr>
      <w:r>
        <w:rPr>
          <w:sz w:val="18"/>
          <w:szCs w:val="18"/>
        </w:rPr>
        <w:t>(</w:t>
      </w:r>
      <w:r>
        <w:rPr>
          <w:rStyle w:val="FootnoteReference"/>
          <w:sz w:val="18"/>
          <w:szCs w:val="18"/>
        </w:rPr>
        <w:footnoteRef/>
      </w:r>
      <w:r>
        <w:rPr>
          <w:sz w:val="18"/>
          <w:szCs w:val="18"/>
        </w:rPr>
        <w:t>)</w:t>
      </w:r>
      <w:r>
        <w:rPr>
          <w:sz w:val="18"/>
          <w:szCs w:val="18"/>
          <w:lang w:val="en-GB"/>
        </w:rPr>
        <w:t xml:space="preserve"> </w:t>
      </w:r>
      <w:r>
        <w:rPr>
          <w:sz w:val="18"/>
          <w:szCs w:val="18"/>
          <w:lang w:val="en-GB"/>
        </w:rPr>
        <w:tab/>
      </w:r>
      <w:r>
        <w:rPr>
          <w:sz w:val="18"/>
          <w:szCs w:val="18"/>
        </w:rPr>
        <w:t>Williamson, Hoskins and Boetzelen, 200</w:t>
      </w:r>
      <w:r>
        <w:rPr>
          <w:sz w:val="18"/>
          <w:szCs w:val="18"/>
          <w:lang w:val="en-GB"/>
        </w:rPr>
        <w:t>5; Kiilakoski,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935" w:type="pct"/>
      <w:tblInd w:w="-1026" w:type="dxa"/>
      <w:tblLook w:val="04A0" w:firstRow="1" w:lastRow="0" w:firstColumn="1" w:lastColumn="0" w:noHBand="0" w:noVBand="1"/>
    </w:tblPr>
    <w:tblGrid>
      <w:gridCol w:w="1159"/>
      <w:gridCol w:w="1589"/>
      <w:gridCol w:w="6699"/>
      <w:gridCol w:w="1673"/>
      <w:gridCol w:w="914"/>
    </w:tblGrid>
    <w:tr>
      <w:trPr>
        <w:trHeight w:hRule="exact" w:val="567"/>
      </w:trPr>
      <w:tc>
        <w:tcPr>
          <w:tcW w:w="1134" w:type="dxa"/>
          <w:shd w:val="clear" w:color="auto" w:fill="ED556E"/>
        </w:tcPr>
        <w:p>
          <w:pPr>
            <w:pStyle w:val="Header"/>
            <w:spacing w:after="0" w:line="240" w:lineRule="auto"/>
            <w:jc w:val="right"/>
            <w:rPr>
              <w:b/>
              <w:color w:val="FFFFFF"/>
              <w:sz w:val="48"/>
              <w:lang w:val="fr-BE"/>
            </w:rPr>
          </w:pPr>
          <w:r>
            <w:rPr>
              <w:b/>
              <w:color w:val="FFFFFF"/>
              <w:sz w:val="48"/>
              <w:lang w:val="fr-BE"/>
            </w:rPr>
            <w:t>6</w:t>
          </w:r>
        </w:p>
      </w:tc>
      <w:tc>
        <w:tcPr>
          <w:tcW w:w="1554" w:type="dxa"/>
          <w:shd w:val="clear" w:color="auto" w:fill="D9D9D9"/>
        </w:tcPr>
        <w:p>
          <w:pPr>
            <w:pStyle w:val="Header"/>
          </w:pPr>
        </w:p>
      </w:tc>
      <w:tc>
        <w:tcPr>
          <w:tcW w:w="6553" w:type="dxa"/>
          <w:shd w:val="clear" w:color="auto" w:fill="auto"/>
          <w:vAlign w:val="bottom"/>
        </w:tcPr>
        <w:p>
          <w:pPr>
            <w:pStyle w:val="Yo4Headereven"/>
          </w:pPr>
          <w:r>
            <w:t>Voluntary</w:t>
          </w:r>
          <w:r>
            <w:rPr>
              <w:rFonts w:cs="Calibri"/>
            </w:rPr>
            <w:t xml:space="preserve"> </w:t>
          </w:r>
          <w:r>
            <w:t>activities</w:t>
          </w:r>
        </w:p>
      </w:tc>
      <w:tc>
        <w:tcPr>
          <w:tcW w:w="1637" w:type="dxa"/>
          <w:shd w:val="clear" w:color="auto" w:fill="auto"/>
        </w:tcPr>
        <w:p>
          <w:pPr>
            <w:pStyle w:val="Header"/>
            <w:spacing w:after="0" w:line="240" w:lineRule="auto"/>
            <w:jc w:val="center"/>
            <w:rPr>
              <w:b/>
              <w:color w:val="FFFFFF"/>
              <w:sz w:val="48"/>
            </w:rPr>
          </w:pPr>
        </w:p>
      </w:tc>
      <w:tc>
        <w:tcPr>
          <w:tcW w:w="894" w:type="dxa"/>
          <w:shd w:val="clear" w:color="auto" w:fill="auto"/>
        </w:tcPr>
        <w:p>
          <w:pPr>
            <w:pStyle w:val="Header"/>
            <w:spacing w:after="0" w:line="240" w:lineRule="auto"/>
            <w:jc w:val="center"/>
            <w:rPr>
              <w:b/>
              <w:color w:val="FFFFFF"/>
              <w:sz w:val="48"/>
            </w:rPr>
          </w:pPr>
        </w:p>
      </w:tc>
    </w:tr>
  </w:tbl>
  <w:p>
    <w:pPr>
      <w:pStyle w:val="Yo5TextNote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803" w:type="pct"/>
      <w:tblInd w:w="-601" w:type="dxa"/>
      <w:tblLook w:val="04A0" w:firstRow="1" w:lastRow="0" w:firstColumn="1" w:lastColumn="0" w:noHBand="0" w:noVBand="1"/>
    </w:tblPr>
    <w:tblGrid>
      <w:gridCol w:w="893"/>
      <w:gridCol w:w="1632"/>
      <w:gridCol w:w="6551"/>
      <w:gridCol w:w="1556"/>
      <w:gridCol w:w="1134"/>
    </w:tblGrid>
    <w:tr>
      <w:trPr>
        <w:trHeight w:hRule="exact" w:val="567"/>
      </w:trPr>
      <w:tc>
        <w:tcPr>
          <w:tcW w:w="893" w:type="dxa"/>
          <w:shd w:val="clear" w:color="auto" w:fill="auto"/>
        </w:tcPr>
        <w:p>
          <w:pPr>
            <w:pStyle w:val="Header"/>
            <w:spacing w:after="0" w:line="240" w:lineRule="auto"/>
            <w:rPr>
              <w:b/>
              <w:color w:val="FFFFFF"/>
              <w:sz w:val="48"/>
            </w:rPr>
          </w:pPr>
        </w:p>
      </w:tc>
      <w:tc>
        <w:tcPr>
          <w:tcW w:w="1632" w:type="dxa"/>
          <w:shd w:val="clear" w:color="auto" w:fill="auto"/>
        </w:tcPr>
        <w:p>
          <w:pPr>
            <w:pStyle w:val="Header"/>
          </w:pPr>
        </w:p>
      </w:tc>
      <w:tc>
        <w:tcPr>
          <w:tcW w:w="6551" w:type="dxa"/>
          <w:shd w:val="clear" w:color="auto" w:fill="auto"/>
          <w:vAlign w:val="bottom"/>
        </w:tcPr>
        <w:p>
          <w:pPr>
            <w:pStyle w:val="Yo4Headerodd"/>
          </w:pPr>
          <w:r>
            <w:t>Voluntary</w:t>
          </w:r>
          <w:r>
            <w:rPr>
              <w:rFonts w:cs="Calibri"/>
            </w:rPr>
            <w:t xml:space="preserve"> </w:t>
          </w:r>
          <w:r>
            <w:t>activities</w:t>
          </w:r>
        </w:p>
      </w:tc>
      <w:tc>
        <w:tcPr>
          <w:tcW w:w="1556" w:type="dxa"/>
          <w:shd w:val="clear" w:color="auto" w:fill="D9D9D9"/>
        </w:tcPr>
        <w:p>
          <w:pPr>
            <w:pStyle w:val="Header"/>
            <w:spacing w:after="0" w:line="240" w:lineRule="auto"/>
            <w:jc w:val="center"/>
            <w:rPr>
              <w:b/>
              <w:color w:val="FFFFFF"/>
              <w:sz w:val="48"/>
            </w:rPr>
          </w:pPr>
        </w:p>
      </w:tc>
      <w:tc>
        <w:tcPr>
          <w:tcW w:w="1134" w:type="dxa"/>
          <w:shd w:val="clear" w:color="auto" w:fill="ED556E"/>
        </w:tcPr>
        <w:p>
          <w:pPr>
            <w:pStyle w:val="Header"/>
            <w:spacing w:after="0" w:line="240" w:lineRule="auto"/>
            <w:rPr>
              <w:b/>
              <w:color w:val="FFFFFF"/>
              <w:sz w:val="48"/>
              <w:lang w:val="fr-BE"/>
            </w:rPr>
          </w:pPr>
          <w:r>
            <w:rPr>
              <w:b/>
              <w:color w:val="FFFFFF"/>
              <w:sz w:val="48"/>
              <w:lang w:val="fr-BE"/>
            </w:rPr>
            <w:t>6</w:t>
          </w:r>
        </w:p>
      </w:tc>
    </w:tr>
  </w:tbl>
  <w:p>
    <w:pPr>
      <w:pStyle w:val="Yo5TextNote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935" w:type="pct"/>
      <w:tblInd w:w="-1026" w:type="dxa"/>
      <w:tblLook w:val="04A0" w:firstRow="1" w:lastRow="0" w:firstColumn="1" w:lastColumn="0" w:noHBand="0" w:noVBand="1"/>
    </w:tblPr>
    <w:tblGrid>
      <w:gridCol w:w="1159"/>
      <w:gridCol w:w="1589"/>
      <w:gridCol w:w="6699"/>
      <w:gridCol w:w="1673"/>
      <w:gridCol w:w="914"/>
    </w:tblGrid>
    <w:tr>
      <w:trPr>
        <w:trHeight w:hRule="exact" w:val="567"/>
      </w:trPr>
      <w:tc>
        <w:tcPr>
          <w:tcW w:w="1134" w:type="dxa"/>
          <w:shd w:val="clear" w:color="auto" w:fill="ED556E"/>
        </w:tcPr>
        <w:p>
          <w:pPr>
            <w:pStyle w:val="Header"/>
            <w:spacing w:after="0" w:line="240" w:lineRule="auto"/>
            <w:jc w:val="right"/>
            <w:rPr>
              <w:b/>
              <w:color w:val="FFFFFF"/>
              <w:sz w:val="48"/>
              <w:lang w:val="fr-BE"/>
            </w:rPr>
          </w:pPr>
          <w:r>
            <w:rPr>
              <w:b/>
              <w:color w:val="FFFFFF"/>
              <w:sz w:val="48"/>
              <w:lang w:val="fr-BE"/>
            </w:rPr>
            <w:t>6</w:t>
          </w:r>
        </w:p>
      </w:tc>
      <w:tc>
        <w:tcPr>
          <w:tcW w:w="1554" w:type="dxa"/>
          <w:shd w:val="clear" w:color="auto" w:fill="D9D9D9"/>
        </w:tcPr>
        <w:p>
          <w:pPr>
            <w:pStyle w:val="Header"/>
          </w:pPr>
        </w:p>
      </w:tc>
      <w:tc>
        <w:tcPr>
          <w:tcW w:w="6553" w:type="dxa"/>
          <w:shd w:val="clear" w:color="auto" w:fill="auto"/>
          <w:vAlign w:val="bottom"/>
        </w:tcPr>
        <w:p>
          <w:pPr>
            <w:pStyle w:val="Yo4Headereven"/>
          </w:pPr>
          <w:r>
            <w:t>Voluntary</w:t>
          </w:r>
          <w:r>
            <w:rPr>
              <w:rFonts w:cs="Calibri"/>
            </w:rPr>
            <w:t xml:space="preserve"> </w:t>
          </w:r>
          <w:r>
            <w:t>activities</w:t>
          </w:r>
        </w:p>
      </w:tc>
      <w:tc>
        <w:tcPr>
          <w:tcW w:w="1637" w:type="dxa"/>
          <w:shd w:val="clear" w:color="auto" w:fill="auto"/>
        </w:tcPr>
        <w:p>
          <w:pPr>
            <w:pStyle w:val="Header"/>
            <w:spacing w:after="0" w:line="240" w:lineRule="auto"/>
            <w:jc w:val="center"/>
            <w:rPr>
              <w:b/>
              <w:color w:val="FFFFFF"/>
              <w:sz w:val="48"/>
            </w:rPr>
          </w:pPr>
        </w:p>
      </w:tc>
      <w:tc>
        <w:tcPr>
          <w:tcW w:w="894" w:type="dxa"/>
          <w:shd w:val="clear" w:color="auto" w:fill="auto"/>
        </w:tcPr>
        <w:p>
          <w:pPr>
            <w:pStyle w:val="Header"/>
            <w:spacing w:after="0" w:line="240" w:lineRule="auto"/>
            <w:jc w:val="center"/>
            <w:rPr>
              <w:b/>
              <w:color w:val="FFFFFF"/>
              <w:sz w:val="48"/>
            </w:rPr>
          </w:pPr>
        </w:p>
      </w:tc>
    </w:tr>
  </w:tbl>
  <w:p>
    <w:pPr>
      <w:pStyle w:val="Yo5TextNote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803" w:type="pct"/>
      <w:tblInd w:w="-601" w:type="dxa"/>
      <w:tblLook w:val="04A0" w:firstRow="1" w:lastRow="0" w:firstColumn="1" w:lastColumn="0" w:noHBand="0" w:noVBand="1"/>
    </w:tblPr>
    <w:tblGrid>
      <w:gridCol w:w="893"/>
      <w:gridCol w:w="1632"/>
      <w:gridCol w:w="6551"/>
      <w:gridCol w:w="1556"/>
      <w:gridCol w:w="1134"/>
    </w:tblGrid>
    <w:tr>
      <w:trPr>
        <w:trHeight w:hRule="exact" w:val="567"/>
      </w:trPr>
      <w:tc>
        <w:tcPr>
          <w:tcW w:w="893" w:type="dxa"/>
          <w:shd w:val="clear" w:color="auto" w:fill="auto"/>
        </w:tcPr>
        <w:p>
          <w:pPr>
            <w:pStyle w:val="Header"/>
            <w:spacing w:after="0" w:line="240" w:lineRule="auto"/>
            <w:rPr>
              <w:b/>
              <w:color w:val="FFFFFF"/>
              <w:sz w:val="48"/>
            </w:rPr>
          </w:pPr>
        </w:p>
      </w:tc>
      <w:tc>
        <w:tcPr>
          <w:tcW w:w="1632" w:type="dxa"/>
          <w:shd w:val="clear" w:color="auto" w:fill="auto"/>
        </w:tcPr>
        <w:p>
          <w:pPr>
            <w:pStyle w:val="Header"/>
          </w:pPr>
        </w:p>
      </w:tc>
      <w:tc>
        <w:tcPr>
          <w:tcW w:w="6551" w:type="dxa"/>
          <w:shd w:val="clear" w:color="auto" w:fill="auto"/>
          <w:vAlign w:val="bottom"/>
        </w:tcPr>
        <w:p>
          <w:pPr>
            <w:pStyle w:val="Yo4Headerodd"/>
          </w:pPr>
          <w:r>
            <w:t>Voluntary</w:t>
          </w:r>
          <w:r>
            <w:rPr>
              <w:rFonts w:cs="Calibri"/>
            </w:rPr>
            <w:t xml:space="preserve"> </w:t>
          </w:r>
          <w:r>
            <w:t>activities</w:t>
          </w:r>
        </w:p>
      </w:tc>
      <w:tc>
        <w:tcPr>
          <w:tcW w:w="1556" w:type="dxa"/>
          <w:shd w:val="clear" w:color="auto" w:fill="D9D9D9"/>
        </w:tcPr>
        <w:p>
          <w:pPr>
            <w:pStyle w:val="Header"/>
            <w:spacing w:after="0" w:line="240" w:lineRule="auto"/>
            <w:jc w:val="center"/>
            <w:rPr>
              <w:b/>
              <w:color w:val="FFFFFF"/>
              <w:sz w:val="48"/>
            </w:rPr>
          </w:pPr>
        </w:p>
      </w:tc>
      <w:tc>
        <w:tcPr>
          <w:tcW w:w="1134" w:type="dxa"/>
          <w:shd w:val="clear" w:color="auto" w:fill="ED556E"/>
        </w:tcPr>
        <w:p>
          <w:pPr>
            <w:pStyle w:val="Header"/>
            <w:spacing w:after="0" w:line="240" w:lineRule="auto"/>
            <w:rPr>
              <w:b/>
              <w:color w:val="FFFFFF"/>
              <w:sz w:val="48"/>
              <w:lang w:val="fr-BE"/>
            </w:rPr>
          </w:pPr>
          <w:r>
            <w:rPr>
              <w:b/>
              <w:color w:val="FFFFFF"/>
              <w:sz w:val="48"/>
              <w:lang w:val="fr-BE"/>
            </w:rPr>
            <w:t>6</w:t>
          </w:r>
        </w:p>
      </w:tc>
    </w:tr>
  </w:tbl>
  <w:p>
    <w:pPr>
      <w:pStyle w:val="Yo5TextNote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935" w:type="pct"/>
      <w:tblInd w:w="-1026" w:type="dxa"/>
      <w:tblLook w:val="04A0" w:firstRow="1" w:lastRow="0" w:firstColumn="1" w:lastColumn="0" w:noHBand="0" w:noVBand="1"/>
    </w:tblPr>
    <w:tblGrid>
      <w:gridCol w:w="1159"/>
      <w:gridCol w:w="1589"/>
      <w:gridCol w:w="6699"/>
      <w:gridCol w:w="1673"/>
      <w:gridCol w:w="914"/>
    </w:tblGrid>
    <w:tr>
      <w:trPr>
        <w:trHeight w:hRule="exact" w:val="567"/>
      </w:trPr>
      <w:tc>
        <w:tcPr>
          <w:tcW w:w="1134" w:type="dxa"/>
          <w:shd w:val="clear" w:color="auto" w:fill="ED556E"/>
        </w:tcPr>
        <w:p>
          <w:pPr>
            <w:pStyle w:val="Header"/>
            <w:spacing w:after="0" w:line="240" w:lineRule="auto"/>
            <w:jc w:val="right"/>
            <w:rPr>
              <w:b/>
              <w:color w:val="FFFFFF"/>
              <w:sz w:val="48"/>
              <w:lang w:val="fr-BE"/>
            </w:rPr>
          </w:pPr>
          <w:r>
            <w:rPr>
              <w:b/>
              <w:color w:val="FFFFFF"/>
              <w:sz w:val="48"/>
              <w:lang w:val="fr-BE"/>
            </w:rPr>
            <w:t>6</w:t>
          </w:r>
        </w:p>
      </w:tc>
      <w:tc>
        <w:tcPr>
          <w:tcW w:w="1554" w:type="dxa"/>
          <w:shd w:val="clear" w:color="auto" w:fill="D9D9D9"/>
        </w:tcPr>
        <w:p>
          <w:pPr>
            <w:pStyle w:val="Header"/>
          </w:pPr>
        </w:p>
      </w:tc>
      <w:tc>
        <w:tcPr>
          <w:tcW w:w="6553" w:type="dxa"/>
          <w:shd w:val="clear" w:color="auto" w:fill="auto"/>
          <w:vAlign w:val="bottom"/>
        </w:tcPr>
        <w:p>
          <w:pPr>
            <w:pStyle w:val="Yo4Headereven"/>
          </w:pPr>
          <w:r>
            <w:t>Voluntary</w:t>
          </w:r>
          <w:r>
            <w:rPr>
              <w:rFonts w:cs="Calibri"/>
            </w:rPr>
            <w:t xml:space="preserve"> </w:t>
          </w:r>
          <w:r>
            <w:t>activities</w:t>
          </w:r>
        </w:p>
      </w:tc>
      <w:tc>
        <w:tcPr>
          <w:tcW w:w="1637" w:type="dxa"/>
          <w:shd w:val="clear" w:color="auto" w:fill="auto"/>
        </w:tcPr>
        <w:p>
          <w:pPr>
            <w:pStyle w:val="Header"/>
            <w:spacing w:after="0" w:line="240" w:lineRule="auto"/>
            <w:jc w:val="center"/>
            <w:rPr>
              <w:b/>
              <w:color w:val="FFFFFF"/>
              <w:sz w:val="48"/>
            </w:rPr>
          </w:pPr>
        </w:p>
      </w:tc>
      <w:tc>
        <w:tcPr>
          <w:tcW w:w="894" w:type="dxa"/>
          <w:shd w:val="clear" w:color="auto" w:fill="auto"/>
        </w:tcPr>
        <w:p>
          <w:pPr>
            <w:pStyle w:val="Header"/>
            <w:spacing w:after="0" w:line="240" w:lineRule="auto"/>
            <w:jc w:val="center"/>
            <w:rPr>
              <w:b/>
              <w:color w:val="FFFFFF"/>
              <w:sz w:val="48"/>
            </w:rPr>
          </w:pPr>
        </w:p>
      </w:tc>
    </w:tr>
  </w:tbl>
  <w:p>
    <w:pPr>
      <w:pStyle w:val="Yo5TextNote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803" w:type="pct"/>
      <w:tblInd w:w="-601" w:type="dxa"/>
      <w:tblLook w:val="04A0" w:firstRow="1" w:lastRow="0" w:firstColumn="1" w:lastColumn="0" w:noHBand="0" w:noVBand="1"/>
    </w:tblPr>
    <w:tblGrid>
      <w:gridCol w:w="893"/>
      <w:gridCol w:w="1632"/>
      <w:gridCol w:w="6551"/>
      <w:gridCol w:w="1556"/>
      <w:gridCol w:w="1134"/>
    </w:tblGrid>
    <w:tr>
      <w:trPr>
        <w:trHeight w:hRule="exact" w:val="567"/>
      </w:trPr>
      <w:tc>
        <w:tcPr>
          <w:tcW w:w="893" w:type="dxa"/>
          <w:shd w:val="clear" w:color="auto" w:fill="auto"/>
        </w:tcPr>
        <w:p>
          <w:pPr>
            <w:pStyle w:val="Header"/>
            <w:spacing w:after="0" w:line="240" w:lineRule="auto"/>
            <w:rPr>
              <w:b/>
              <w:color w:val="FFFFFF"/>
              <w:sz w:val="48"/>
            </w:rPr>
          </w:pPr>
        </w:p>
      </w:tc>
      <w:tc>
        <w:tcPr>
          <w:tcW w:w="1632" w:type="dxa"/>
          <w:shd w:val="clear" w:color="auto" w:fill="auto"/>
        </w:tcPr>
        <w:p>
          <w:pPr>
            <w:pStyle w:val="Header"/>
          </w:pPr>
        </w:p>
      </w:tc>
      <w:tc>
        <w:tcPr>
          <w:tcW w:w="6551" w:type="dxa"/>
          <w:shd w:val="clear" w:color="auto" w:fill="auto"/>
          <w:vAlign w:val="bottom"/>
        </w:tcPr>
        <w:p>
          <w:pPr>
            <w:pStyle w:val="Yo4Headerodd"/>
          </w:pPr>
          <w:r>
            <w:t>Voluntary</w:t>
          </w:r>
          <w:r>
            <w:rPr>
              <w:rFonts w:cs="Calibri"/>
            </w:rPr>
            <w:t xml:space="preserve"> </w:t>
          </w:r>
          <w:r>
            <w:t>activities</w:t>
          </w:r>
        </w:p>
      </w:tc>
      <w:tc>
        <w:tcPr>
          <w:tcW w:w="1556" w:type="dxa"/>
          <w:shd w:val="clear" w:color="auto" w:fill="D9D9D9"/>
        </w:tcPr>
        <w:p>
          <w:pPr>
            <w:pStyle w:val="Header"/>
            <w:spacing w:after="0" w:line="240" w:lineRule="auto"/>
            <w:jc w:val="center"/>
            <w:rPr>
              <w:b/>
              <w:color w:val="FFFFFF"/>
              <w:sz w:val="48"/>
            </w:rPr>
          </w:pPr>
        </w:p>
      </w:tc>
      <w:tc>
        <w:tcPr>
          <w:tcW w:w="1134" w:type="dxa"/>
          <w:shd w:val="clear" w:color="auto" w:fill="ED556E"/>
        </w:tcPr>
        <w:p>
          <w:pPr>
            <w:pStyle w:val="Header"/>
            <w:spacing w:after="0" w:line="240" w:lineRule="auto"/>
            <w:rPr>
              <w:b/>
              <w:color w:val="FFFFFF"/>
              <w:sz w:val="48"/>
              <w:lang w:val="fr-BE"/>
            </w:rPr>
          </w:pPr>
          <w:r>
            <w:rPr>
              <w:b/>
              <w:color w:val="FFFFFF"/>
              <w:sz w:val="48"/>
              <w:lang w:val="fr-BE"/>
            </w:rPr>
            <w:t>6</w:t>
          </w:r>
        </w:p>
      </w:tc>
    </w:tr>
  </w:tbl>
  <w:p>
    <w:pPr>
      <w:pStyle w:val="Yo5TextNote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A1B99"/>
    <w:multiLevelType w:val="hybridMultilevel"/>
    <w:tmpl w:val="7C401FD2"/>
    <w:lvl w:ilvl="0" w:tplc="0CBAACC0">
      <w:start w:val="1"/>
      <w:numFmt w:val="decimal"/>
      <w:pStyle w:val="Yo11TextNum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1314432"/>
    <w:multiLevelType w:val="multilevel"/>
    <w:tmpl w:val="56C06BBC"/>
    <w:lvl w:ilvl="0">
      <w:start w:val="1"/>
      <w:numFmt w:val="bullet"/>
      <w:pStyle w:val="Yo11Textbulletlvl1"/>
      <w:lvlText w:val=""/>
      <w:lvlJc w:val="left"/>
      <w:pPr>
        <w:ind w:left="360" w:hanging="360"/>
      </w:pPr>
      <w:rPr>
        <w:rFonts w:ascii="Symbol" w:hAnsi="Symbol" w:hint="default"/>
        <w:b w:val="0"/>
        <w:i w:val="0"/>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24BA2E06"/>
    <w:multiLevelType w:val="hybridMultilevel"/>
    <w:tmpl w:val="CC345A64"/>
    <w:lvl w:ilvl="0" w:tplc="41F83986">
      <w:start w:val="1"/>
      <w:numFmt w:val="bullet"/>
      <w:pStyle w:val="Yo11Textbulletlvl2"/>
      <w:lvlText w:val="o"/>
      <w:lvlJc w:val="left"/>
      <w:pPr>
        <w:ind w:left="644" w:hanging="360"/>
      </w:pPr>
      <w:rPr>
        <w:rFonts w:ascii="Courier New" w:hAnsi="Courier New" w:cs="Courier New" w:hint="default"/>
      </w:rPr>
    </w:lvl>
    <w:lvl w:ilvl="1" w:tplc="04070003" w:tentative="1">
      <w:start w:val="1"/>
      <w:numFmt w:val="bullet"/>
      <w:lvlText w:val="o"/>
      <w:lvlJc w:val="left"/>
      <w:pPr>
        <w:ind w:left="2517" w:hanging="360"/>
      </w:pPr>
      <w:rPr>
        <w:rFonts w:ascii="Courier New" w:hAnsi="Courier New" w:cs="Courier New" w:hint="default"/>
      </w:rPr>
    </w:lvl>
    <w:lvl w:ilvl="2" w:tplc="04070005" w:tentative="1">
      <w:start w:val="1"/>
      <w:numFmt w:val="bullet"/>
      <w:lvlText w:val=""/>
      <w:lvlJc w:val="left"/>
      <w:pPr>
        <w:ind w:left="3237" w:hanging="360"/>
      </w:pPr>
      <w:rPr>
        <w:rFonts w:ascii="Wingdings" w:hAnsi="Wingdings" w:hint="default"/>
      </w:rPr>
    </w:lvl>
    <w:lvl w:ilvl="3" w:tplc="04070001" w:tentative="1">
      <w:start w:val="1"/>
      <w:numFmt w:val="bullet"/>
      <w:lvlText w:val=""/>
      <w:lvlJc w:val="left"/>
      <w:pPr>
        <w:ind w:left="3957" w:hanging="360"/>
      </w:pPr>
      <w:rPr>
        <w:rFonts w:ascii="Symbol" w:hAnsi="Symbol" w:hint="default"/>
      </w:rPr>
    </w:lvl>
    <w:lvl w:ilvl="4" w:tplc="04070003" w:tentative="1">
      <w:start w:val="1"/>
      <w:numFmt w:val="bullet"/>
      <w:lvlText w:val="o"/>
      <w:lvlJc w:val="left"/>
      <w:pPr>
        <w:ind w:left="4677" w:hanging="360"/>
      </w:pPr>
      <w:rPr>
        <w:rFonts w:ascii="Courier New" w:hAnsi="Courier New" w:cs="Courier New" w:hint="default"/>
      </w:rPr>
    </w:lvl>
    <w:lvl w:ilvl="5" w:tplc="04070005" w:tentative="1">
      <w:start w:val="1"/>
      <w:numFmt w:val="bullet"/>
      <w:lvlText w:val=""/>
      <w:lvlJc w:val="left"/>
      <w:pPr>
        <w:ind w:left="5397" w:hanging="360"/>
      </w:pPr>
      <w:rPr>
        <w:rFonts w:ascii="Wingdings" w:hAnsi="Wingdings" w:hint="default"/>
      </w:rPr>
    </w:lvl>
    <w:lvl w:ilvl="6" w:tplc="04070001" w:tentative="1">
      <w:start w:val="1"/>
      <w:numFmt w:val="bullet"/>
      <w:lvlText w:val=""/>
      <w:lvlJc w:val="left"/>
      <w:pPr>
        <w:ind w:left="6117" w:hanging="360"/>
      </w:pPr>
      <w:rPr>
        <w:rFonts w:ascii="Symbol" w:hAnsi="Symbol" w:hint="default"/>
      </w:rPr>
    </w:lvl>
    <w:lvl w:ilvl="7" w:tplc="04070003" w:tentative="1">
      <w:start w:val="1"/>
      <w:numFmt w:val="bullet"/>
      <w:lvlText w:val="o"/>
      <w:lvlJc w:val="left"/>
      <w:pPr>
        <w:ind w:left="6837" w:hanging="360"/>
      </w:pPr>
      <w:rPr>
        <w:rFonts w:ascii="Courier New" w:hAnsi="Courier New" w:cs="Courier New" w:hint="default"/>
      </w:rPr>
    </w:lvl>
    <w:lvl w:ilvl="8" w:tplc="04070005" w:tentative="1">
      <w:start w:val="1"/>
      <w:numFmt w:val="bullet"/>
      <w:lvlText w:val=""/>
      <w:lvlJc w:val="left"/>
      <w:pPr>
        <w:ind w:left="7557" w:hanging="360"/>
      </w:pPr>
      <w:rPr>
        <w:rFonts w:ascii="Wingdings" w:hAnsi="Wingdings" w:hint="default"/>
      </w:rPr>
    </w:lvl>
  </w:abstractNum>
  <w:abstractNum w:abstractNumId="3">
    <w:nsid w:val="54E058C9"/>
    <w:multiLevelType w:val="hybridMultilevel"/>
    <w:tmpl w:val="BCFC9894"/>
    <w:lvl w:ilvl="0" w:tplc="EBA0E5C8">
      <w:start w:val="1"/>
      <w:numFmt w:val="decimal"/>
      <w:pStyle w:val="Yo11TextNum2"/>
      <w:lvlText w:val="%1."/>
      <w:lvlJc w:val="left"/>
      <w:pPr>
        <w:ind w:left="1146" w:hanging="360"/>
      </w:p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4">
    <w:nsid w:val="59C8178D"/>
    <w:multiLevelType w:val="hybridMultilevel"/>
    <w:tmpl w:val="8A9E711C"/>
    <w:lvl w:ilvl="0" w:tplc="9A820658">
      <w:start w:val="1"/>
      <w:numFmt w:val="bullet"/>
      <w:pStyle w:val="Yo11Textbulletlvl3"/>
      <w:lvlText w:val=""/>
      <w:lvlJc w:val="left"/>
      <w:pPr>
        <w:ind w:left="984" w:hanging="360"/>
      </w:pPr>
      <w:rPr>
        <w:rFonts w:ascii="Wingdings" w:hAnsi="Wingding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5">
    <w:nsid w:val="769D4072"/>
    <w:multiLevelType w:val="hybridMultilevel"/>
    <w:tmpl w:val="0ACA6C82"/>
    <w:lvl w:ilvl="0" w:tplc="4E80D628">
      <w:start w:val="1"/>
      <w:numFmt w:val="decimal"/>
      <w:pStyle w:val="Yo11TextNum3"/>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08"/>
  <w:hyphenationZone w:val="425"/>
  <w:characterSpacingControl w:val="doNotCompress"/>
  <w:hdrShapeDefaults>
    <o:shapedefaults v:ext="edit" spidmax="15361">
      <o:colormru v:ext="edit" colors="#c1053d,#e1a3a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60E5D772-3AF5-40B3-9E39-F4FE21341A41"/>
    <w:docVar w:name="LW_COVERPAGE_TYPE" w:val="1"/>
    <w:docVar w:name="LW_CROSSREFERENCE" w:val="{COM(2018) 269 final}_x000b_{SWD(2018) 168 final}"/>
    <w:docVar w:name="LW_DocType" w:val="NORMAL"/>
    <w:docVar w:name="LW_EMISSION" w:val="22.5.2018"/>
    <w:docVar w:name="LW_EMISSION_ISODATE" w:val="2018-05-22"/>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Engaging, Connecting and Empowering young people: a new EU Youth Strategy_x000b_"/>
    <w:docVar w:name="LW_PART_NBR" w:val="5"/>
    <w:docVar w:name="LW_PART_NBR_TOTAL" w:val="7"/>
    <w:docVar w:name="LW_REF.INST.NEW" w:val="SWD"/>
    <w:docVar w:name="LW_REF.INST.NEW_ADOPTED" w:val="final"/>
    <w:docVar w:name="LW_REF.INST.NEW_TEXT" w:val="(2018) 16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Situation of young people in the European Union"/>
    <w:docVar w:name="LW_TYPE.DOC.CP" w:val="COMMISSION STAFF WORKING DOCUMENT"/>
    <w:docVar w:name="LW_TYPEACTEPRINCIPAL.CP" w:val="COMMUNICATION FROM THE COMMISSION TO THE EUROPEAN PARLIAMENT, THE EUROPEAN COUNCIL, THE COUNCIL, THE EUROPEAN ECONOMIC AND SOCIAL COMMITTEE AND THE COMMITTEE OF THE REGIONS_x000b_"/>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1">
      <o:colormru v:ext="edit" colors="#c1053d,#e1a3a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nhideWhenUsed="0"/>
    <w:lsdException w:name="header" w:uiPriority="0"/>
    <w:lsdException w:name="caption" w:uiPriority="35" w:qFormat="1"/>
    <w:lsdException w:name="footnote reference" w:semiHidden="0" w:unhideWhenUsed="0"/>
    <w:lsdException w:name="page number" w:semiHidden="0"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fr-BE" w:eastAsia="en-US"/>
    </w:rPr>
  </w:style>
  <w:style w:type="paragraph" w:styleId="Heading1">
    <w:name w:val="heading 1"/>
    <w:basedOn w:val="Normal"/>
    <w:next w:val="Normal"/>
    <w:link w:val="Heading1Char"/>
    <w:uiPriority w:val="9"/>
    <w:qFormat/>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Times New Roman" w:hAnsi="Cambria"/>
      <w:b/>
      <w:bCs/>
      <w:color w:val="4F81BD"/>
      <w:sz w:val="26"/>
      <w:szCs w:val="26"/>
      <w:lang w:val="x-none" w:eastAsia="x-none"/>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mbria" w:eastAsia="Times New Roman" w:hAnsi="Cambria"/>
      <w:b/>
      <w:bCs/>
      <w:color w:val="4F81BD"/>
      <w:sz w:val="20"/>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o0DocTitle">
    <w:name w:val="_Yo_0_Doc_Title"/>
    <w:qFormat/>
    <w:pPr>
      <w:ind w:left="2694"/>
    </w:pPr>
    <w:rPr>
      <w:rFonts w:ascii="Verdana" w:eastAsia="Times New Roman" w:hAnsi="Verdana" w:cs="Arial"/>
      <w:b/>
      <w:bCs/>
      <w:color w:val="1F497D"/>
      <w:sz w:val="48"/>
      <w:szCs w:val="48"/>
      <w:lang w:val="nl-NL" w:eastAsia="en-US"/>
    </w:rPr>
  </w:style>
  <w:style w:type="paragraph" w:customStyle="1" w:styleId="Yo0DocSubtitle">
    <w:name w:val="_Yo_0_Doc_Subtitle"/>
    <w:basedOn w:val="Yo0DocTitle"/>
    <w:qFormat/>
    <w:pPr>
      <w:spacing w:before="240"/>
    </w:pPr>
    <w:rPr>
      <w:b w:val="0"/>
      <w:sz w:val="36"/>
      <w:szCs w:val="36"/>
    </w:rPr>
  </w:style>
  <w:style w:type="paragraph" w:customStyle="1" w:styleId="Yo0H1">
    <w:name w:val="_Yo_0_H1"/>
    <w:basedOn w:val="Heading1"/>
    <w:link w:val="Yo0H1Char"/>
    <w:pPr>
      <w:keepLines w:val="0"/>
      <w:spacing w:before="240" w:after="300" w:line="300" w:lineRule="auto"/>
      <w:jc w:val="both"/>
    </w:pPr>
    <w:rPr>
      <w:rFonts w:ascii="Verdana" w:eastAsia="Calibri" w:hAnsi="Verdana" w:cs="MyriadPro-Bold"/>
      <w:bCs w:val="0"/>
      <w:color w:val="DB1E48"/>
      <w:sz w:val="44"/>
      <w:szCs w:val="44"/>
      <w:lang w:val="en-US" w:eastAsia="fr-BE"/>
    </w:rPr>
  </w:style>
  <w:style w:type="character" w:customStyle="1" w:styleId="Heading1Char">
    <w:name w:val="Heading 1 Char"/>
    <w:link w:val="Heading1"/>
    <w:uiPriority w:val="9"/>
    <w:rPr>
      <w:rFonts w:ascii="Cambria" w:eastAsia="Times New Roman" w:hAnsi="Cambria" w:cs="Times New Roman"/>
      <w:b/>
      <w:bCs/>
      <w:color w:val="365F91"/>
      <w:sz w:val="28"/>
      <w:szCs w:val="28"/>
    </w:rPr>
  </w:style>
  <w:style w:type="paragraph" w:customStyle="1" w:styleId="Yo0H2">
    <w:name w:val="_Yo_0_H2"/>
    <w:basedOn w:val="Heading2"/>
    <w:pPr>
      <w:keepLines w:val="0"/>
      <w:spacing w:before="360" w:after="160" w:line="240" w:lineRule="auto"/>
      <w:jc w:val="both"/>
    </w:pPr>
    <w:rPr>
      <w:rFonts w:ascii="Arial Narrow" w:eastAsia="Calibri" w:hAnsi="Arial Narrow" w:cs="Arial"/>
      <w:caps/>
      <w:color w:val="DA1E48"/>
      <w:spacing w:val="10"/>
      <w:sz w:val="24"/>
      <w:szCs w:val="24"/>
      <w:lang w:val="en-US"/>
    </w:rPr>
  </w:style>
  <w:style w:type="character" w:customStyle="1" w:styleId="Heading2Char">
    <w:name w:val="Heading 2 Char"/>
    <w:link w:val="Heading2"/>
    <w:uiPriority w:val="9"/>
    <w:semiHidden/>
    <w:rPr>
      <w:rFonts w:ascii="Cambria" w:eastAsia="Times New Roman" w:hAnsi="Cambria" w:cs="Times New Roman"/>
      <w:b/>
      <w:bCs/>
      <w:color w:val="4F81BD"/>
      <w:sz w:val="26"/>
      <w:szCs w:val="26"/>
    </w:rPr>
  </w:style>
  <w:style w:type="paragraph" w:customStyle="1" w:styleId="Yo0H3">
    <w:name w:val="_Yo_0_H3"/>
    <w:basedOn w:val="Heading3"/>
    <w:pPr>
      <w:keepLines w:val="0"/>
      <w:spacing w:before="270" w:after="160" w:line="240" w:lineRule="auto"/>
      <w:jc w:val="both"/>
    </w:pPr>
    <w:rPr>
      <w:rFonts w:ascii="Verdana" w:eastAsia="Calibri" w:hAnsi="Verdana" w:cs="MyriadPro-It"/>
      <w:i/>
      <w:iCs/>
      <w:color w:val="C00000"/>
      <w:spacing w:val="-10"/>
      <w:lang w:val="en-GB" w:eastAsia="fr-BE"/>
    </w:rPr>
  </w:style>
  <w:style w:type="character" w:customStyle="1" w:styleId="Heading3Char">
    <w:name w:val="Heading 3 Char"/>
    <w:link w:val="Heading3"/>
    <w:uiPriority w:val="9"/>
    <w:semiHidden/>
    <w:rPr>
      <w:rFonts w:ascii="Cambria" w:eastAsia="Times New Roman" w:hAnsi="Cambria" w:cs="Times New Roman"/>
      <w:b/>
      <w:bCs/>
      <w:color w:val="4F81BD"/>
    </w:rPr>
  </w:style>
  <w:style w:type="paragraph" w:customStyle="1" w:styleId="Yo0H4">
    <w:name w:val="_Yo_0_H4"/>
    <w:pPr>
      <w:suppressAutoHyphens/>
      <w:ind w:left="1418" w:hanging="1418"/>
      <w:outlineLvl w:val="4"/>
    </w:pPr>
    <w:rPr>
      <w:rFonts w:ascii="Arial Narrow" w:hAnsi="Arial Narrow" w:cs="Arial"/>
      <w:b/>
      <w:bCs/>
      <w:color w:val="C00000"/>
      <w:spacing w:val="30"/>
      <w:sz w:val="22"/>
      <w:szCs w:val="22"/>
      <w:lang w:eastAsia="en-US"/>
    </w:rPr>
  </w:style>
  <w:style w:type="paragraph" w:customStyle="1" w:styleId="Yo0H5">
    <w:name w:val="_Yo_0_H5"/>
    <w:pPr>
      <w:suppressAutoHyphens/>
      <w:spacing w:before="240" w:after="60"/>
      <w:ind w:left="1418" w:hanging="1418"/>
      <w:outlineLvl w:val="5"/>
    </w:pPr>
    <w:rPr>
      <w:rFonts w:ascii="Arial" w:eastAsia="Times New Roman" w:hAnsi="Arial" w:cs="Arial"/>
      <w:bCs/>
      <w:color w:val="C00000"/>
      <w:sz w:val="22"/>
      <w:u w:val="single"/>
      <w:lang w:eastAsia="en-US"/>
    </w:rPr>
  </w:style>
  <w:style w:type="paragraph" w:customStyle="1" w:styleId="Yo0H6">
    <w:name w:val="_Yo_0_H6"/>
    <w:pPr>
      <w:suppressAutoHyphens/>
      <w:spacing w:before="240" w:after="60"/>
      <w:ind w:left="1418" w:hanging="1418"/>
      <w:jc w:val="both"/>
      <w:outlineLvl w:val="6"/>
    </w:pPr>
    <w:rPr>
      <w:rFonts w:ascii="Arial Narrow" w:eastAsia="Times New Roman" w:hAnsi="Arial Narrow" w:cs="Arial"/>
      <w:bCs/>
      <w:i/>
      <w:color w:val="C00000"/>
      <w:spacing w:val="20"/>
      <w:lang w:eastAsia="en-US"/>
    </w:rPr>
  </w:style>
  <w:style w:type="paragraph" w:customStyle="1" w:styleId="Yo0H7">
    <w:name w:val="_Yo_0_H7"/>
    <w:pPr>
      <w:suppressAutoHyphens/>
      <w:spacing w:before="240" w:after="60"/>
      <w:ind w:left="1985" w:hanging="1985"/>
      <w:jc w:val="both"/>
      <w:outlineLvl w:val="6"/>
    </w:pPr>
    <w:rPr>
      <w:rFonts w:ascii="Arial Narrow" w:eastAsia="Times New Roman" w:hAnsi="Arial Narrow" w:cs="Arial"/>
      <w:color w:val="002060"/>
      <w:spacing w:val="20"/>
      <w:u w:val="single"/>
      <w:lang w:val="en-US" w:eastAsia="en-US"/>
    </w:rPr>
  </w:style>
  <w:style w:type="paragraph" w:customStyle="1" w:styleId="Yo0H8">
    <w:name w:val="_Yo_0_H8"/>
    <w:pPr>
      <w:suppressAutoHyphens/>
      <w:spacing w:before="240" w:after="60"/>
      <w:ind w:left="1985" w:hanging="1985"/>
      <w:jc w:val="both"/>
      <w:outlineLvl w:val="6"/>
    </w:pPr>
    <w:rPr>
      <w:rFonts w:ascii="Arial Narrow" w:eastAsia="Times New Roman" w:hAnsi="Arial Narrow" w:cs="Arial"/>
      <w:b/>
      <w:bCs/>
      <w:color w:val="0070C0"/>
      <w:spacing w:val="40"/>
      <w:w w:val="80"/>
      <w:lang w:val="en-US" w:eastAsia="en-US"/>
    </w:rPr>
  </w:style>
  <w:style w:type="paragraph" w:customStyle="1" w:styleId="Yo0H9">
    <w:name w:val="_Yo_0_H9"/>
    <w:pPr>
      <w:suppressAutoHyphens/>
      <w:spacing w:before="240" w:after="60"/>
      <w:ind w:left="1985" w:hanging="1985"/>
      <w:jc w:val="both"/>
      <w:outlineLvl w:val="6"/>
    </w:pPr>
    <w:rPr>
      <w:rFonts w:ascii="Arial Narrow" w:eastAsia="Times New Roman" w:hAnsi="Arial Narrow" w:cs="Arial"/>
      <w:i/>
      <w:iCs/>
      <w:color w:val="C00000"/>
      <w:spacing w:val="20"/>
      <w:lang w:eastAsia="en-US"/>
    </w:rPr>
  </w:style>
  <w:style w:type="paragraph" w:customStyle="1" w:styleId="Yo0Paratitle1">
    <w:name w:val="_Yo_0_Para_title_1"/>
    <w:basedOn w:val="Yo0DocTitle"/>
    <w:pPr>
      <w:spacing w:before="270" w:after="160"/>
      <w:ind w:left="0"/>
      <w:jc w:val="both"/>
    </w:pPr>
    <w:rPr>
      <w:rFonts w:ascii="Arial Narrow" w:hAnsi="Arial Narrow"/>
      <w:sz w:val="24"/>
      <w:szCs w:val="24"/>
    </w:rPr>
  </w:style>
  <w:style w:type="paragraph" w:customStyle="1" w:styleId="Yo0Paratitle2">
    <w:name w:val="_Yo_0_Para_title_2"/>
    <w:pPr>
      <w:tabs>
        <w:tab w:val="left" w:pos="993"/>
      </w:tabs>
      <w:suppressAutoHyphens/>
      <w:spacing w:before="200" w:after="200" w:line="300" w:lineRule="auto"/>
      <w:jc w:val="both"/>
    </w:pPr>
    <w:rPr>
      <w:rFonts w:ascii="Arial Narrow" w:hAnsi="Arial Narrow" w:cs="Arial"/>
      <w:b/>
      <w:color w:val="1F497D"/>
      <w:spacing w:val="40"/>
      <w:sz w:val="22"/>
      <w:szCs w:val="22"/>
      <w:lang w:val="nl-NL" w:eastAsia="nl-NL"/>
    </w:rPr>
  </w:style>
  <w:style w:type="paragraph" w:customStyle="1" w:styleId="Yo0Paratitle3">
    <w:name w:val="_Yo_0_Para_title_3"/>
    <w:pPr>
      <w:spacing w:before="120" w:after="120" w:line="276" w:lineRule="auto"/>
    </w:pPr>
    <w:rPr>
      <w:rFonts w:ascii="Arial Narrow" w:eastAsia="Times New Roman" w:hAnsi="Arial Narrow" w:cs="Arial"/>
      <w:b/>
      <w:i/>
      <w:color w:val="1F497D"/>
      <w:spacing w:val="20"/>
      <w:lang w:eastAsia="en-US"/>
    </w:rPr>
  </w:style>
  <w:style w:type="paragraph" w:customStyle="1" w:styleId="Yo0Paratitle4">
    <w:name w:val="_Yo_0_Para_title_4"/>
    <w:pPr>
      <w:spacing w:before="240" w:after="120"/>
      <w:outlineLvl w:val="0"/>
    </w:pPr>
    <w:rPr>
      <w:rFonts w:ascii="Arial Narrow" w:eastAsia="Times New Roman" w:hAnsi="Arial Narrow" w:cs="Arial"/>
      <w:bCs/>
      <w:color w:val="1F497D"/>
      <w:spacing w:val="20"/>
      <w:w w:val="80"/>
      <w:u w:val="single"/>
      <w:lang w:val="nl-NL" w:eastAsia="en-US"/>
    </w:rPr>
  </w:style>
  <w:style w:type="paragraph" w:customStyle="1" w:styleId="Yo1Textpara">
    <w:name w:val="_Yo_1_Text_para"/>
    <w:pPr>
      <w:tabs>
        <w:tab w:val="left" w:pos="4253"/>
      </w:tabs>
      <w:spacing w:before="160" w:line="300" w:lineRule="auto"/>
      <w:jc w:val="both"/>
    </w:pPr>
    <w:rPr>
      <w:rFonts w:ascii="Times New Roman" w:hAnsi="Times New Roman"/>
      <w:sz w:val="22"/>
      <w:lang w:eastAsia="fr-BE"/>
    </w:rPr>
  </w:style>
  <w:style w:type="paragraph" w:customStyle="1" w:styleId="Yo1Text">
    <w:name w:val="_Yo_1_Text"/>
    <w:basedOn w:val="Yo1Textpara"/>
    <w:qFormat/>
    <w:pPr>
      <w:spacing w:before="0"/>
    </w:pPr>
  </w:style>
  <w:style w:type="paragraph" w:customStyle="1" w:styleId="Yo11Textbulletlvl1">
    <w:name w:val="_Yo_11_Text_bullet_lvl_1"/>
    <w:basedOn w:val="Yo1Textpara"/>
    <w:pPr>
      <w:numPr>
        <w:numId w:val="1"/>
      </w:numPr>
      <w:tabs>
        <w:tab w:val="clear" w:pos="4253"/>
        <w:tab w:val="left" w:pos="426"/>
      </w:tabs>
      <w:spacing w:before="120"/>
    </w:pPr>
    <w:rPr>
      <w:lang w:val="en-US"/>
    </w:rPr>
  </w:style>
  <w:style w:type="paragraph" w:customStyle="1" w:styleId="Yo11Textbulletlvl2">
    <w:name w:val="_Yo_11_Text_bullet_lvl_2"/>
    <w:basedOn w:val="Yo1Textpara"/>
    <w:pPr>
      <w:numPr>
        <w:numId w:val="2"/>
      </w:numPr>
      <w:tabs>
        <w:tab w:val="clear" w:pos="4253"/>
        <w:tab w:val="left" w:pos="709"/>
      </w:tabs>
      <w:spacing w:before="100" w:line="264" w:lineRule="auto"/>
    </w:pPr>
    <w:rPr>
      <w:lang w:val="en-US"/>
    </w:rPr>
  </w:style>
  <w:style w:type="paragraph" w:customStyle="1" w:styleId="Yo11Textbulletlvl3">
    <w:name w:val="_Yo_11_Text_bullet_lvl_3"/>
    <w:basedOn w:val="Yo1Textpara"/>
    <w:pPr>
      <w:numPr>
        <w:numId w:val="3"/>
      </w:numPr>
      <w:tabs>
        <w:tab w:val="clear" w:pos="4253"/>
        <w:tab w:val="left" w:pos="981"/>
      </w:tabs>
      <w:spacing w:before="100" w:after="20"/>
    </w:pPr>
    <w:rPr>
      <w:rFonts w:ascii="Arial Narrow" w:hAnsi="Arial Narrow"/>
    </w:rPr>
  </w:style>
  <w:style w:type="paragraph" w:customStyle="1" w:styleId="Yo11TextNum1">
    <w:name w:val="_Yo_11_Text_Num_1"/>
    <w:basedOn w:val="Yo1Textpara"/>
    <w:next w:val="Normal"/>
    <w:pPr>
      <w:numPr>
        <w:numId w:val="4"/>
      </w:numPr>
      <w:tabs>
        <w:tab w:val="clear" w:pos="4253"/>
        <w:tab w:val="left" w:pos="426"/>
      </w:tabs>
      <w:spacing w:after="120"/>
    </w:pPr>
    <w:rPr>
      <w:rFonts w:eastAsia="Times New Roman"/>
      <w:color w:val="1F497D"/>
      <w:lang w:val="fr-FR"/>
    </w:rPr>
  </w:style>
  <w:style w:type="paragraph" w:customStyle="1" w:styleId="Yo11TextNum2">
    <w:name w:val="_Yo_11_Text_Num_2"/>
    <w:basedOn w:val="Yo1Textpara"/>
    <w:next w:val="Normal"/>
    <w:pPr>
      <w:numPr>
        <w:numId w:val="5"/>
      </w:numPr>
      <w:tabs>
        <w:tab w:val="clear" w:pos="4253"/>
        <w:tab w:val="left" w:pos="709"/>
      </w:tabs>
      <w:spacing w:before="120" w:after="120"/>
    </w:pPr>
    <w:rPr>
      <w:rFonts w:eastAsia="Times New Roman"/>
      <w:color w:val="1F497D"/>
      <w:lang w:val="fr-FR"/>
    </w:rPr>
  </w:style>
  <w:style w:type="paragraph" w:customStyle="1" w:styleId="Yo11TextNum3">
    <w:name w:val="_Yo_11_Text_Num_3"/>
    <w:basedOn w:val="Yo1Textpara"/>
    <w:next w:val="Normal"/>
    <w:pPr>
      <w:numPr>
        <w:numId w:val="6"/>
      </w:numPr>
      <w:tabs>
        <w:tab w:val="clear" w:pos="4253"/>
        <w:tab w:val="left" w:pos="993"/>
      </w:tabs>
      <w:spacing w:before="120" w:after="120"/>
    </w:pPr>
    <w:rPr>
      <w:rFonts w:eastAsia="Times New Roman"/>
      <w:color w:val="1F497D"/>
      <w:lang w:val="fr-FR"/>
    </w:rPr>
  </w:style>
  <w:style w:type="paragraph" w:customStyle="1" w:styleId="Yo12Encart">
    <w:name w:val="_Yo_12_Encart"/>
    <w:qFormat/>
    <w:pPr>
      <w:jc w:val="both"/>
    </w:pPr>
    <w:rPr>
      <w:i/>
      <w:szCs w:val="24"/>
      <w:lang w:eastAsia="en-US"/>
    </w:rPr>
  </w:style>
  <w:style w:type="paragraph" w:customStyle="1" w:styleId="Yo12Example">
    <w:name w:val="_Yo_12_Example"/>
    <w:pPr>
      <w:spacing w:before="120" w:line="300" w:lineRule="auto"/>
      <w:ind w:left="369"/>
      <w:jc w:val="both"/>
    </w:pPr>
    <w:rPr>
      <w:rFonts w:ascii="Arial Narrow" w:hAnsi="Arial Narrow"/>
      <w:color w:val="1F497D"/>
      <w:sz w:val="18"/>
      <w:szCs w:val="24"/>
      <w:lang w:eastAsia="en-US"/>
    </w:rPr>
  </w:style>
  <w:style w:type="paragraph" w:customStyle="1" w:styleId="Yo12TextParaForeword">
    <w:name w:val="_Yo_12_Text_Para_Foreword"/>
    <w:qFormat/>
    <w:pPr>
      <w:spacing w:before="240" w:line="360" w:lineRule="auto"/>
      <w:jc w:val="both"/>
    </w:pPr>
    <w:rPr>
      <w:rFonts w:ascii="Arial" w:eastAsia="Times New Roman" w:hAnsi="Arial" w:cs="Arial"/>
      <w:color w:val="1F497D"/>
      <w:lang w:eastAsia="en-US"/>
    </w:rPr>
  </w:style>
  <w:style w:type="paragraph" w:customStyle="1" w:styleId="Yo4centeredHeader">
    <w:name w:val="_Yo_4_centered_Header"/>
    <w:qFormat/>
    <w:pPr>
      <w:pBdr>
        <w:bottom w:val="single" w:sz="4" w:space="5" w:color="C00000"/>
      </w:pBdr>
      <w:jc w:val="center"/>
    </w:pPr>
    <w:rPr>
      <w:rFonts w:ascii="Arial Narrow" w:hAnsi="Arial Narrow" w:cs="Arial"/>
      <w:color w:val="000000"/>
      <w:spacing w:val="20"/>
      <w:sz w:val="18"/>
      <w:lang w:val="en-US" w:eastAsia="en-US"/>
    </w:rPr>
  </w:style>
  <w:style w:type="paragraph" w:customStyle="1" w:styleId="Yo4Headereven">
    <w:name w:val="_Yo_4_Header_even"/>
    <w:pPr>
      <w:spacing w:after="60"/>
    </w:pPr>
    <w:rPr>
      <w:rFonts w:ascii="Arial Narrow" w:hAnsi="Arial Narrow" w:cs="Arial"/>
      <w:color w:val="DA1E48"/>
      <w:spacing w:val="20"/>
      <w:sz w:val="22"/>
      <w:lang w:eastAsia="en-US"/>
    </w:rPr>
  </w:style>
  <w:style w:type="paragraph" w:customStyle="1" w:styleId="Yo4Headerodd">
    <w:name w:val="_Yo_4_Header_odd"/>
    <w:basedOn w:val="Yo4Headereven"/>
    <w:pPr>
      <w:jc w:val="right"/>
    </w:pPr>
    <w:rPr>
      <w:lang w:val="en-US"/>
    </w:rPr>
  </w:style>
  <w:style w:type="paragraph" w:customStyle="1" w:styleId="Yo5TextbaseTable">
    <w:name w:val="_Yo_5_Text_base_Table"/>
    <w:qFormat/>
    <w:pPr>
      <w:tabs>
        <w:tab w:val="left" w:pos="1985"/>
      </w:tabs>
    </w:pPr>
    <w:rPr>
      <w:rFonts w:ascii="Arial" w:eastAsia="Times New Roman" w:hAnsi="Arial" w:cs="Arial"/>
      <w:snapToGrid w:val="0"/>
      <w:color w:val="1F497D"/>
      <w:sz w:val="16"/>
      <w:szCs w:val="16"/>
      <w:lang w:val="en-US" w:eastAsia="en-US"/>
    </w:rPr>
  </w:style>
  <w:style w:type="paragraph" w:customStyle="1" w:styleId="Yo5TextNotes">
    <w:name w:val="_Yo_5_Text_Notes"/>
    <w:pPr>
      <w:widowControl w:val="0"/>
      <w:tabs>
        <w:tab w:val="left" w:pos="1985"/>
      </w:tabs>
      <w:jc w:val="both"/>
    </w:pPr>
    <w:rPr>
      <w:rFonts w:ascii="Verdana" w:eastAsia="Times New Roman" w:hAnsi="Verdana" w:cs="Arial"/>
      <w:snapToGrid w:val="0"/>
      <w:sz w:val="14"/>
      <w:szCs w:val="16"/>
      <w:lang w:val="fr-FR" w:eastAsia="en-US"/>
    </w:rPr>
  </w:style>
  <w:style w:type="paragraph" w:customStyle="1" w:styleId="Yo5TextNotesafter">
    <w:name w:val="_Yo_5_Text_Notes_after"/>
    <w:basedOn w:val="Yo5TextNotes"/>
    <w:pPr>
      <w:tabs>
        <w:tab w:val="left" w:pos="5103"/>
      </w:tabs>
      <w:spacing w:after="60"/>
    </w:pPr>
    <w:rPr>
      <w:lang w:val="en-US"/>
    </w:rPr>
  </w:style>
  <w:style w:type="paragraph" w:customStyle="1" w:styleId="Yo5TextNotesbefore">
    <w:name w:val="_Yo_5_Text_Notes_before"/>
    <w:basedOn w:val="Yo5TextNotesafter"/>
    <w:pPr>
      <w:spacing w:before="120" w:after="0"/>
    </w:pPr>
  </w:style>
  <w:style w:type="paragraph" w:customStyle="1" w:styleId="Yo5TextNotesbeforeafter">
    <w:name w:val="_Yo_5_Text_Notes_before_after"/>
    <w:basedOn w:val="Yo5TextNotes"/>
    <w:pPr>
      <w:spacing w:before="60" w:after="60"/>
    </w:pPr>
  </w:style>
  <w:style w:type="paragraph" w:customStyle="1" w:styleId="Yo5TitleFigure">
    <w:name w:val="_Yo_5_Title_Figure"/>
    <w:pPr>
      <w:keepNext/>
      <w:spacing w:before="200" w:after="240" w:line="276" w:lineRule="auto"/>
    </w:pPr>
    <w:rPr>
      <w:rFonts w:ascii="Verdana" w:eastAsia="Cambria" w:hAnsi="Verdana" w:cs="Calibri"/>
      <w:bCs/>
      <w:noProof/>
      <w:color w:val="7F7F7F"/>
      <w:w w:val="80"/>
      <w:sz w:val="22"/>
      <w:szCs w:val="22"/>
      <w:lang w:eastAsia="en-US"/>
    </w:rPr>
  </w:style>
  <w:style w:type="paragraph" w:customStyle="1" w:styleId="Yo5TitleFigureend">
    <w:name w:val="_Yo_5_Title_Figure_end"/>
    <w:basedOn w:val="Yo5TitleFigure"/>
    <w:qFormat/>
    <w:pPr>
      <w:pBdr>
        <w:bottom w:val="single" w:sz="8" w:space="1" w:color="C00000"/>
        <w:right w:val="single" w:sz="8" w:space="4" w:color="C00000"/>
      </w:pBdr>
      <w:spacing w:before="0"/>
    </w:pPr>
  </w:style>
  <w:style w:type="paragraph" w:customStyle="1" w:styleId="Yo5TitleNotes">
    <w:name w:val="_Yo_5_Title_Notes"/>
    <w:pPr>
      <w:keepNext/>
      <w:spacing w:before="100" w:after="60"/>
    </w:pPr>
    <w:rPr>
      <w:rFonts w:ascii="Arial" w:eastAsia="Times New Roman" w:hAnsi="Arial" w:cs="Arial"/>
      <w:b/>
      <w:bCs/>
      <w:color w:val="C00000"/>
      <w:sz w:val="18"/>
      <w:u w:val="single"/>
      <w:lang w:val="fr-FR" w:eastAsia="en-US"/>
    </w:rPr>
  </w:style>
  <w:style w:type="paragraph" w:customStyle="1" w:styleId="Yo5TitleNotesbefore">
    <w:name w:val="_Yo_5_Title_Notes_before"/>
    <w:basedOn w:val="Yo5TextNotes"/>
    <w:next w:val="Yo5TextNotes"/>
    <w:pPr>
      <w:widowControl/>
      <w:tabs>
        <w:tab w:val="clear" w:pos="1985"/>
      </w:tabs>
      <w:spacing w:before="60"/>
    </w:pPr>
    <w:rPr>
      <w:snapToGrid/>
      <w:sz w:val="17"/>
      <w:szCs w:val="17"/>
    </w:rPr>
  </w:style>
  <w:style w:type="paragraph" w:customStyle="1" w:styleId="Yo6TOFTextTab">
    <w:name w:val="_Yo_6_TOF_Text_Tab"/>
    <w:qFormat/>
    <w:rPr>
      <w:rFonts w:ascii="Arial Narrow" w:eastAsia="Times New Roman" w:hAnsi="Arial Narrow" w:cs="Arial"/>
      <w:sz w:val="17"/>
      <w:szCs w:val="17"/>
      <w:lang w:eastAsia="en-US"/>
    </w:rPr>
  </w:style>
  <w:style w:type="paragraph" w:customStyle="1" w:styleId="Yo6TOFnumero">
    <w:name w:val="_Yo_6_TOF_numero"/>
    <w:basedOn w:val="Yo6TOFTextTab"/>
    <w:qFormat/>
    <w:pPr>
      <w:jc w:val="center"/>
    </w:pPr>
    <w:rPr>
      <w:sz w:val="16"/>
      <w:szCs w:val="16"/>
    </w:rPr>
  </w:style>
  <w:style w:type="paragraph" w:customStyle="1" w:styleId="Yo7ackCountries">
    <w:name w:val="_Yo_7_ack_Countries"/>
    <w:pPr>
      <w:pBdr>
        <w:top w:val="single" w:sz="4" w:space="3" w:color="C00000"/>
        <w:bottom w:val="single" w:sz="4" w:space="3" w:color="C00000"/>
      </w:pBdr>
      <w:spacing w:before="100" w:after="60"/>
    </w:pPr>
    <w:rPr>
      <w:rFonts w:ascii="Arial Narrow" w:eastAsia="Times New Roman" w:hAnsi="Arial Narrow"/>
      <w:b/>
      <w:color w:val="C00000"/>
      <w:sz w:val="18"/>
      <w:szCs w:val="18"/>
      <w:lang w:val="fr-FR" w:eastAsia="en-US"/>
    </w:rPr>
  </w:style>
  <w:style w:type="paragraph" w:customStyle="1" w:styleId="Yo7ackCountriesaddresses">
    <w:name w:val="_Yo_7_ack_Countries_addresses"/>
    <w:rPr>
      <w:rFonts w:ascii="Arial" w:eastAsia="Times New Roman" w:hAnsi="Arial" w:cs="Arial"/>
      <w:sz w:val="16"/>
      <w:szCs w:val="16"/>
      <w:lang w:val="fr-FR" w:eastAsia="en-US"/>
    </w:rPr>
  </w:style>
  <w:style w:type="paragraph" w:customStyle="1" w:styleId="Yo7ackeurydice">
    <w:name w:val="_Yo_7_ack_eurydice"/>
    <w:qFormat/>
    <w:pPr>
      <w:spacing w:before="240" w:line="300" w:lineRule="auto"/>
      <w:jc w:val="center"/>
    </w:pPr>
    <w:rPr>
      <w:rFonts w:ascii="Arial" w:eastAsia="Times New Roman" w:hAnsi="Arial" w:cs="Arial"/>
      <w:b/>
      <w:bCs/>
      <w:color w:val="C00000"/>
      <w:sz w:val="32"/>
      <w:lang w:eastAsia="en-US"/>
    </w:rPr>
  </w:style>
  <w:style w:type="paragraph" w:customStyle="1" w:styleId="Yo7ackFunctions">
    <w:name w:val="_Yo_7_ack_Functions"/>
    <w:qFormat/>
    <w:pPr>
      <w:spacing w:before="320" w:after="60"/>
      <w:jc w:val="center"/>
    </w:pPr>
    <w:rPr>
      <w:rFonts w:ascii="Arial" w:eastAsia="Times New Roman" w:hAnsi="Arial" w:cs="Arial"/>
      <w:b/>
      <w:bCs/>
      <w:color w:val="C00000"/>
      <w:sz w:val="24"/>
      <w:szCs w:val="24"/>
      <w:lang w:eastAsia="en-US"/>
    </w:rPr>
  </w:style>
  <w:style w:type="paragraph" w:customStyle="1" w:styleId="Yo7ackSubTitle">
    <w:name w:val="_Yo_7_ack_SubTitle"/>
    <w:qFormat/>
    <w:pPr>
      <w:spacing w:before="200" w:after="120"/>
      <w:jc w:val="center"/>
    </w:pPr>
    <w:rPr>
      <w:rFonts w:ascii="Arial" w:eastAsia="Times New Roman" w:hAnsi="Arial" w:cs="Arial"/>
      <w:b/>
      <w:bCs/>
      <w:color w:val="C00000"/>
      <w:sz w:val="28"/>
      <w:szCs w:val="28"/>
      <w:lang w:val="fr-FR" w:eastAsia="en-US"/>
    </w:rPr>
  </w:style>
  <w:style w:type="paragraph" w:customStyle="1" w:styleId="Yo7ackTextParacentered">
    <w:name w:val="_Yo_7_ack_Text_Para_centered"/>
    <w:qFormat/>
    <w:pPr>
      <w:spacing w:before="240" w:line="300" w:lineRule="auto"/>
      <w:jc w:val="center"/>
    </w:pPr>
    <w:rPr>
      <w:rFonts w:ascii="Arial" w:eastAsia="Times New Roman" w:hAnsi="Arial" w:cs="Arial"/>
      <w:lang w:val="fr-FR" w:eastAsia="en-US"/>
    </w:rPr>
  </w:style>
  <w:style w:type="paragraph" w:styleId="Header">
    <w:name w:val="header"/>
    <w:basedOn w:val="Normal"/>
    <w:link w:val="HeaderChar"/>
    <w:unhideWhenUsed/>
    <w:pPr>
      <w:tabs>
        <w:tab w:val="center" w:pos="4536"/>
        <w:tab w:val="right" w:pos="9072"/>
      </w:tabs>
    </w:pPr>
    <w:rPr>
      <w:lang w:val="x-none"/>
    </w:rPr>
  </w:style>
  <w:style w:type="character" w:customStyle="1" w:styleId="HeaderChar">
    <w:name w:val="Header Char"/>
    <w:link w:val="Header"/>
    <w:rPr>
      <w:sz w:val="22"/>
      <w:szCs w:val="22"/>
      <w:lang w:eastAsia="en-US"/>
    </w:rPr>
  </w:style>
  <w:style w:type="paragraph" w:styleId="Footer">
    <w:name w:val="footer"/>
    <w:basedOn w:val="Normal"/>
    <w:link w:val="FooterChar"/>
    <w:uiPriority w:val="99"/>
    <w:unhideWhenUsed/>
    <w:pPr>
      <w:tabs>
        <w:tab w:val="center" w:pos="4536"/>
        <w:tab w:val="right" w:pos="9072"/>
      </w:tabs>
    </w:pPr>
    <w:rPr>
      <w:lang w:val="x-none"/>
    </w:rPr>
  </w:style>
  <w:style w:type="character" w:customStyle="1" w:styleId="FooterChar">
    <w:name w:val="Footer Char"/>
    <w:link w:val="Footer"/>
    <w:uiPriority w:val="99"/>
    <w:rPr>
      <w:sz w:val="22"/>
      <w:szCs w:val="22"/>
      <w:lang w:eastAsia="en-US"/>
    </w:rPr>
  </w:style>
  <w:style w:type="character" w:styleId="PageNumber">
    <w:name w:val="page number"/>
    <w:uiPriority w:val="99"/>
    <w:rPr>
      <w:rFonts w:ascii="Calibri" w:hAnsi="Calibri"/>
      <w:sz w:val="24"/>
    </w:rPr>
  </w:style>
  <w:style w:type="paragraph" w:styleId="FootnoteText">
    <w:name w:val="footnote text"/>
    <w:basedOn w:val="Normal"/>
    <w:link w:val="FootnoteTextChar"/>
    <w:uiPriority w:val="99"/>
    <w:rPr>
      <w:sz w:val="20"/>
      <w:szCs w:val="20"/>
      <w:lang w:val="x-none"/>
    </w:rPr>
  </w:style>
  <w:style w:type="character" w:customStyle="1" w:styleId="FootnoteTextChar">
    <w:name w:val="Footnote Text Char"/>
    <w:link w:val="FootnoteText"/>
    <w:uiPriority w:val="99"/>
    <w:rPr>
      <w:lang w:eastAsia="en-US"/>
    </w:rPr>
  </w:style>
  <w:style w:type="character" w:styleId="FootnoteReference">
    <w:name w:val="footnote reference"/>
    <w:uiPriority w:val="99"/>
    <w:rPr>
      <w:vertAlign w:val="superscript"/>
    </w:rPr>
  </w:style>
  <w:style w:type="paragraph" w:customStyle="1" w:styleId="Yo4FootnoteSeparator">
    <w:name w:val="_Yo_4_Footnote_Separator"/>
    <w:qFormat/>
    <w:rPr>
      <w:color w:val="DA1E48"/>
      <w:sz w:val="22"/>
      <w:szCs w:val="22"/>
      <w:lang w:val="fr-BE" w:eastAsia="en-US"/>
    </w:rPr>
  </w:style>
  <w:style w:type="character" w:styleId="Hyperlink">
    <w:name w:val="Hyperlink"/>
    <w:uiPriority w:val="99"/>
    <w:unhideWhenUsed/>
    <w:rPr>
      <w:color w:val="0000FF"/>
      <w:u w:val="single"/>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lang w:val="en-GB"/>
    </w:rPr>
  </w:style>
  <w:style w:type="character" w:customStyle="1" w:styleId="CommentTextChar">
    <w:name w:val="Comment Text Char"/>
    <w:link w:val="CommentText"/>
    <w:uiPriority w:val="99"/>
    <w:semiHidden/>
    <w:rPr>
      <w:lang w:val="en-GB" w:eastAsia="en-US"/>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Pr>
      <w:rFonts w:ascii="Tahoma" w:hAnsi="Tahoma" w:cs="Tahoma"/>
      <w:sz w:val="16"/>
      <w:szCs w:val="16"/>
      <w:lang w:eastAsia="en-U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90H2">
    <w:name w:val="_p9_0_H2"/>
    <w:pPr>
      <w:spacing w:before="360" w:after="160"/>
      <w:ind w:left="426" w:hanging="426"/>
    </w:pPr>
    <w:rPr>
      <w:rFonts w:ascii="Arial" w:hAnsi="Arial" w:cs="Arial"/>
      <w:b/>
      <w:bCs/>
      <w:color w:val="C00000"/>
      <w:sz w:val="24"/>
      <w:szCs w:val="24"/>
      <w:lang w:eastAsia="en-US"/>
    </w:rPr>
  </w:style>
  <w:style w:type="paragraph" w:customStyle="1" w:styleId="p92TitleFigure">
    <w:name w:val="_p9_2_Title_Figure"/>
    <w:pPr>
      <w:keepNext/>
      <w:spacing w:before="200" w:after="100" w:line="276" w:lineRule="auto"/>
      <w:ind w:left="142"/>
    </w:pPr>
    <w:rPr>
      <w:rFonts w:ascii="Arial Narrow" w:eastAsia="Cambria" w:hAnsi="Arial Narrow" w:cs="Arial"/>
      <w:b/>
      <w:bCs/>
      <w:noProof/>
      <w:color w:val="C00000"/>
      <w:lang w:eastAsia="en-US"/>
    </w:rPr>
  </w:style>
  <w:style w:type="paragraph" w:styleId="CommentSubject">
    <w:name w:val="annotation subject"/>
    <w:basedOn w:val="CommentText"/>
    <w:next w:val="CommentText"/>
    <w:link w:val="CommentSubjectChar"/>
    <w:uiPriority w:val="99"/>
    <w:semiHidden/>
    <w:unhideWhenUsed/>
    <w:rPr>
      <w:b/>
      <w:bCs/>
      <w:lang w:val="fr-BE"/>
    </w:rPr>
  </w:style>
  <w:style w:type="character" w:customStyle="1" w:styleId="CommentSubjectChar">
    <w:name w:val="Comment Subject Char"/>
    <w:link w:val="CommentSubject"/>
    <w:uiPriority w:val="99"/>
    <w:semiHidden/>
    <w:rPr>
      <w:b/>
      <w:bCs/>
      <w:lang w:val="fr-BE" w:eastAsia="en-US"/>
    </w:rPr>
  </w:style>
  <w:style w:type="paragraph" w:styleId="Revision">
    <w:name w:val="Revision"/>
    <w:hidden/>
    <w:uiPriority w:val="99"/>
    <w:semiHidden/>
    <w:rPr>
      <w:sz w:val="22"/>
      <w:szCs w:val="22"/>
      <w:lang w:val="fr-BE" w:eastAsia="en-US"/>
    </w:rPr>
  </w:style>
  <w:style w:type="paragraph" w:customStyle="1" w:styleId="Yo5TextEUYouthTOC">
    <w:name w:val="_Yo_5_Text_EU_Youth_TOC"/>
    <w:pPr>
      <w:keepNext/>
      <w:framePr w:hSpace="180" w:wrap="around" w:vAnchor="text" w:hAnchor="margin" w:x="108" w:y="100"/>
    </w:pPr>
    <w:rPr>
      <w:rFonts w:ascii="Arial Narrow" w:eastAsia="Cambria" w:hAnsi="Arial Narrow" w:cs="Arial"/>
      <w:b/>
      <w:bCs/>
      <w:noProof/>
      <w:color w:val="C00000"/>
      <w:lang w:eastAsia="en-US"/>
    </w:rPr>
  </w:style>
  <w:style w:type="paragraph" w:customStyle="1" w:styleId="Yo5TextEUYouth">
    <w:name w:val="_Yo_5_Text_EU_Youth"/>
    <w:basedOn w:val="Yo5TextNotes"/>
    <w:qFormat/>
    <w:pPr>
      <w:framePr w:hSpace="180" w:wrap="around" w:vAnchor="text" w:hAnchor="margin" w:x="108" w:y="100"/>
    </w:pPr>
    <w:rPr>
      <w:b/>
      <w:color w:val="C00000"/>
      <w:sz w:val="22"/>
    </w:rPr>
  </w:style>
  <w:style w:type="paragraph" w:customStyle="1" w:styleId="p91Textpara">
    <w:name w:val="_p9_1_Text_para"/>
    <w:pPr>
      <w:tabs>
        <w:tab w:val="left" w:pos="4253"/>
      </w:tabs>
      <w:spacing w:before="160" w:line="300" w:lineRule="auto"/>
      <w:jc w:val="both"/>
    </w:pPr>
    <w:rPr>
      <w:rFonts w:ascii="Arial" w:hAnsi="Arial" w:cs="Arial"/>
      <w:color w:val="1F497D"/>
      <w:lang w:eastAsia="en-US"/>
    </w:rPr>
  </w:style>
  <w:style w:type="paragraph" w:customStyle="1" w:styleId="Yo13YouthIndicator">
    <w:name w:val="_Yo_13_Youth_Indicator"/>
    <w:qFormat/>
    <w:pPr>
      <w:spacing w:line="300" w:lineRule="auto"/>
      <w:ind w:left="113" w:right="113"/>
    </w:pPr>
    <w:rPr>
      <w:b/>
      <w:color w:val="FFFFFF"/>
      <w:sz w:val="16"/>
      <w:szCs w:val="22"/>
      <w:lang w:eastAsia="en-US"/>
    </w:rPr>
  </w:style>
  <w:style w:type="paragraph" w:customStyle="1" w:styleId="Default">
    <w:name w:val="Default"/>
    <w:pPr>
      <w:autoSpaceDE w:val="0"/>
      <w:autoSpaceDN w:val="0"/>
      <w:adjustRightInd w:val="0"/>
    </w:pPr>
    <w:rPr>
      <w:rFonts w:ascii="Times New Roman" w:hAnsi="Times New Roman"/>
      <w:color w:val="000000"/>
      <w:sz w:val="24"/>
      <w:szCs w:val="24"/>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Yo0H1Char">
    <w:name w:val="_Yo_0_H1 Char"/>
    <w:link w:val="Yo0H1"/>
    <w:rPr>
      <w:rFonts w:ascii="Verdana" w:eastAsia="Times New Roman" w:hAnsi="Verdana" w:cs="MyriadPro-Bold"/>
      <w:b/>
      <w:bCs w:val="0"/>
      <w:color w:val="DB1E48"/>
      <w:sz w:val="44"/>
      <w:szCs w:val="44"/>
      <w:lang w:val="en-US" w:eastAsia="fr-BE"/>
    </w:rPr>
  </w:style>
  <w:style w:type="character" w:customStyle="1" w:styleId="FooterCoverPageChar">
    <w:name w:val="Footer Cover Page Char"/>
    <w:link w:val="FooterCoverPage"/>
    <w:rPr>
      <w:rFonts w:ascii="Times New Roman" w:hAnsi="Times New Roman"/>
      <w:sz w:val="24"/>
      <w:szCs w:val="22"/>
      <w:lang w:val="fr-BE"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FooterSensitivityChar">
    <w:name w:val="Footer Sensitivity Char"/>
    <w:link w:val="FooterSensitivity"/>
    <w:rPr>
      <w:rFonts w:ascii="Times New Roman" w:hAnsi="Times New Roman"/>
      <w:b/>
      <w:sz w:val="32"/>
      <w:szCs w:val="22"/>
      <w:lang w:val="fr-BE"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lang w:val="fr-BE"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link w:val="HeaderSensitivity"/>
    <w:rPr>
      <w:rFonts w:ascii="Times New Roman" w:hAnsi="Times New Roman"/>
      <w:b/>
      <w:sz w:val="32"/>
      <w:szCs w:val="22"/>
      <w:lang w:val="fr-BE" w:eastAsia="en-US"/>
    </w:rPr>
  </w:style>
  <w:style w:type="paragraph" w:styleId="TOCHeading">
    <w:name w:val="TOC Heading"/>
    <w:basedOn w:val="Heading1"/>
    <w:next w:val="Normal"/>
    <w:uiPriority w:val="39"/>
    <w:unhideWhenUsed/>
    <w:qFormat/>
    <w:pPr>
      <w:spacing w:before="240" w:line="259" w:lineRule="auto"/>
      <w:outlineLvl w:val="9"/>
    </w:pPr>
    <w:rPr>
      <w:rFonts w:ascii="Calibri Light" w:hAnsi="Calibri Light"/>
      <w:b w:val="0"/>
      <w:bCs w:val="0"/>
      <w:color w:val="2E74B5"/>
      <w:sz w:val="32"/>
      <w:szCs w:val="32"/>
      <w:lang w:val="en-US" w:eastAsia="en-US"/>
    </w:rPr>
  </w:style>
  <w:style w:type="paragraph" w:styleId="TOC1">
    <w:name w:val="toc 1"/>
    <w:basedOn w:val="Normal"/>
    <w:next w:val="Normal"/>
    <w:autoRedefine/>
    <w:uiPriority w:val="39"/>
    <w:unhideWhenUsed/>
  </w:style>
  <w:style w:type="paragraph" w:styleId="TOC2">
    <w:name w:val="toc 2"/>
    <w:basedOn w:val="Normal"/>
    <w:next w:val="Normal"/>
    <w:autoRedefine/>
    <w:uiPriority w:val="39"/>
    <w:unhideWhenUsed/>
    <w:pPr>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nhideWhenUsed="0"/>
    <w:lsdException w:name="header" w:uiPriority="0"/>
    <w:lsdException w:name="caption" w:uiPriority="35" w:qFormat="1"/>
    <w:lsdException w:name="footnote reference" w:semiHidden="0" w:unhideWhenUsed="0"/>
    <w:lsdException w:name="page number" w:semiHidden="0"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fr-BE" w:eastAsia="en-US"/>
    </w:rPr>
  </w:style>
  <w:style w:type="paragraph" w:styleId="Heading1">
    <w:name w:val="heading 1"/>
    <w:basedOn w:val="Normal"/>
    <w:next w:val="Normal"/>
    <w:link w:val="Heading1Char"/>
    <w:uiPriority w:val="9"/>
    <w:qFormat/>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Times New Roman" w:hAnsi="Cambria"/>
      <w:b/>
      <w:bCs/>
      <w:color w:val="4F81BD"/>
      <w:sz w:val="26"/>
      <w:szCs w:val="26"/>
      <w:lang w:val="x-none" w:eastAsia="x-none"/>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mbria" w:eastAsia="Times New Roman" w:hAnsi="Cambria"/>
      <w:b/>
      <w:bCs/>
      <w:color w:val="4F81BD"/>
      <w:sz w:val="20"/>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o0DocTitle">
    <w:name w:val="_Yo_0_Doc_Title"/>
    <w:qFormat/>
    <w:pPr>
      <w:ind w:left="2694"/>
    </w:pPr>
    <w:rPr>
      <w:rFonts w:ascii="Verdana" w:eastAsia="Times New Roman" w:hAnsi="Verdana" w:cs="Arial"/>
      <w:b/>
      <w:bCs/>
      <w:color w:val="1F497D"/>
      <w:sz w:val="48"/>
      <w:szCs w:val="48"/>
      <w:lang w:val="nl-NL" w:eastAsia="en-US"/>
    </w:rPr>
  </w:style>
  <w:style w:type="paragraph" w:customStyle="1" w:styleId="Yo0DocSubtitle">
    <w:name w:val="_Yo_0_Doc_Subtitle"/>
    <w:basedOn w:val="Yo0DocTitle"/>
    <w:qFormat/>
    <w:pPr>
      <w:spacing w:before="240"/>
    </w:pPr>
    <w:rPr>
      <w:b w:val="0"/>
      <w:sz w:val="36"/>
      <w:szCs w:val="36"/>
    </w:rPr>
  </w:style>
  <w:style w:type="paragraph" w:customStyle="1" w:styleId="Yo0H1">
    <w:name w:val="_Yo_0_H1"/>
    <w:basedOn w:val="Heading1"/>
    <w:link w:val="Yo0H1Char"/>
    <w:pPr>
      <w:keepLines w:val="0"/>
      <w:spacing w:before="240" w:after="300" w:line="300" w:lineRule="auto"/>
      <w:jc w:val="both"/>
    </w:pPr>
    <w:rPr>
      <w:rFonts w:ascii="Verdana" w:eastAsia="Calibri" w:hAnsi="Verdana" w:cs="MyriadPro-Bold"/>
      <w:bCs w:val="0"/>
      <w:color w:val="DB1E48"/>
      <w:sz w:val="44"/>
      <w:szCs w:val="44"/>
      <w:lang w:val="en-US" w:eastAsia="fr-BE"/>
    </w:rPr>
  </w:style>
  <w:style w:type="character" w:customStyle="1" w:styleId="Heading1Char">
    <w:name w:val="Heading 1 Char"/>
    <w:link w:val="Heading1"/>
    <w:uiPriority w:val="9"/>
    <w:rPr>
      <w:rFonts w:ascii="Cambria" w:eastAsia="Times New Roman" w:hAnsi="Cambria" w:cs="Times New Roman"/>
      <w:b/>
      <w:bCs/>
      <w:color w:val="365F91"/>
      <w:sz w:val="28"/>
      <w:szCs w:val="28"/>
    </w:rPr>
  </w:style>
  <w:style w:type="paragraph" w:customStyle="1" w:styleId="Yo0H2">
    <w:name w:val="_Yo_0_H2"/>
    <w:basedOn w:val="Heading2"/>
    <w:pPr>
      <w:keepLines w:val="0"/>
      <w:spacing w:before="360" w:after="160" w:line="240" w:lineRule="auto"/>
      <w:jc w:val="both"/>
    </w:pPr>
    <w:rPr>
      <w:rFonts w:ascii="Arial Narrow" w:eastAsia="Calibri" w:hAnsi="Arial Narrow" w:cs="Arial"/>
      <w:caps/>
      <w:color w:val="DA1E48"/>
      <w:spacing w:val="10"/>
      <w:sz w:val="24"/>
      <w:szCs w:val="24"/>
      <w:lang w:val="en-US"/>
    </w:rPr>
  </w:style>
  <w:style w:type="character" w:customStyle="1" w:styleId="Heading2Char">
    <w:name w:val="Heading 2 Char"/>
    <w:link w:val="Heading2"/>
    <w:uiPriority w:val="9"/>
    <w:semiHidden/>
    <w:rPr>
      <w:rFonts w:ascii="Cambria" w:eastAsia="Times New Roman" w:hAnsi="Cambria" w:cs="Times New Roman"/>
      <w:b/>
      <w:bCs/>
      <w:color w:val="4F81BD"/>
      <w:sz w:val="26"/>
      <w:szCs w:val="26"/>
    </w:rPr>
  </w:style>
  <w:style w:type="paragraph" w:customStyle="1" w:styleId="Yo0H3">
    <w:name w:val="_Yo_0_H3"/>
    <w:basedOn w:val="Heading3"/>
    <w:pPr>
      <w:keepLines w:val="0"/>
      <w:spacing w:before="270" w:after="160" w:line="240" w:lineRule="auto"/>
      <w:jc w:val="both"/>
    </w:pPr>
    <w:rPr>
      <w:rFonts w:ascii="Verdana" w:eastAsia="Calibri" w:hAnsi="Verdana" w:cs="MyriadPro-It"/>
      <w:i/>
      <w:iCs/>
      <w:color w:val="C00000"/>
      <w:spacing w:val="-10"/>
      <w:lang w:val="en-GB" w:eastAsia="fr-BE"/>
    </w:rPr>
  </w:style>
  <w:style w:type="character" w:customStyle="1" w:styleId="Heading3Char">
    <w:name w:val="Heading 3 Char"/>
    <w:link w:val="Heading3"/>
    <w:uiPriority w:val="9"/>
    <w:semiHidden/>
    <w:rPr>
      <w:rFonts w:ascii="Cambria" w:eastAsia="Times New Roman" w:hAnsi="Cambria" w:cs="Times New Roman"/>
      <w:b/>
      <w:bCs/>
      <w:color w:val="4F81BD"/>
    </w:rPr>
  </w:style>
  <w:style w:type="paragraph" w:customStyle="1" w:styleId="Yo0H4">
    <w:name w:val="_Yo_0_H4"/>
    <w:pPr>
      <w:suppressAutoHyphens/>
      <w:ind w:left="1418" w:hanging="1418"/>
      <w:outlineLvl w:val="4"/>
    </w:pPr>
    <w:rPr>
      <w:rFonts w:ascii="Arial Narrow" w:hAnsi="Arial Narrow" w:cs="Arial"/>
      <w:b/>
      <w:bCs/>
      <w:color w:val="C00000"/>
      <w:spacing w:val="30"/>
      <w:sz w:val="22"/>
      <w:szCs w:val="22"/>
      <w:lang w:eastAsia="en-US"/>
    </w:rPr>
  </w:style>
  <w:style w:type="paragraph" w:customStyle="1" w:styleId="Yo0H5">
    <w:name w:val="_Yo_0_H5"/>
    <w:pPr>
      <w:suppressAutoHyphens/>
      <w:spacing w:before="240" w:after="60"/>
      <w:ind w:left="1418" w:hanging="1418"/>
      <w:outlineLvl w:val="5"/>
    </w:pPr>
    <w:rPr>
      <w:rFonts w:ascii="Arial" w:eastAsia="Times New Roman" w:hAnsi="Arial" w:cs="Arial"/>
      <w:bCs/>
      <w:color w:val="C00000"/>
      <w:sz w:val="22"/>
      <w:u w:val="single"/>
      <w:lang w:eastAsia="en-US"/>
    </w:rPr>
  </w:style>
  <w:style w:type="paragraph" w:customStyle="1" w:styleId="Yo0H6">
    <w:name w:val="_Yo_0_H6"/>
    <w:pPr>
      <w:suppressAutoHyphens/>
      <w:spacing w:before="240" w:after="60"/>
      <w:ind w:left="1418" w:hanging="1418"/>
      <w:jc w:val="both"/>
      <w:outlineLvl w:val="6"/>
    </w:pPr>
    <w:rPr>
      <w:rFonts w:ascii="Arial Narrow" w:eastAsia="Times New Roman" w:hAnsi="Arial Narrow" w:cs="Arial"/>
      <w:bCs/>
      <w:i/>
      <w:color w:val="C00000"/>
      <w:spacing w:val="20"/>
      <w:lang w:eastAsia="en-US"/>
    </w:rPr>
  </w:style>
  <w:style w:type="paragraph" w:customStyle="1" w:styleId="Yo0H7">
    <w:name w:val="_Yo_0_H7"/>
    <w:pPr>
      <w:suppressAutoHyphens/>
      <w:spacing w:before="240" w:after="60"/>
      <w:ind w:left="1985" w:hanging="1985"/>
      <w:jc w:val="both"/>
      <w:outlineLvl w:val="6"/>
    </w:pPr>
    <w:rPr>
      <w:rFonts w:ascii="Arial Narrow" w:eastAsia="Times New Roman" w:hAnsi="Arial Narrow" w:cs="Arial"/>
      <w:color w:val="002060"/>
      <w:spacing w:val="20"/>
      <w:u w:val="single"/>
      <w:lang w:val="en-US" w:eastAsia="en-US"/>
    </w:rPr>
  </w:style>
  <w:style w:type="paragraph" w:customStyle="1" w:styleId="Yo0H8">
    <w:name w:val="_Yo_0_H8"/>
    <w:pPr>
      <w:suppressAutoHyphens/>
      <w:spacing w:before="240" w:after="60"/>
      <w:ind w:left="1985" w:hanging="1985"/>
      <w:jc w:val="both"/>
      <w:outlineLvl w:val="6"/>
    </w:pPr>
    <w:rPr>
      <w:rFonts w:ascii="Arial Narrow" w:eastAsia="Times New Roman" w:hAnsi="Arial Narrow" w:cs="Arial"/>
      <w:b/>
      <w:bCs/>
      <w:color w:val="0070C0"/>
      <w:spacing w:val="40"/>
      <w:w w:val="80"/>
      <w:lang w:val="en-US" w:eastAsia="en-US"/>
    </w:rPr>
  </w:style>
  <w:style w:type="paragraph" w:customStyle="1" w:styleId="Yo0H9">
    <w:name w:val="_Yo_0_H9"/>
    <w:pPr>
      <w:suppressAutoHyphens/>
      <w:spacing w:before="240" w:after="60"/>
      <w:ind w:left="1985" w:hanging="1985"/>
      <w:jc w:val="both"/>
      <w:outlineLvl w:val="6"/>
    </w:pPr>
    <w:rPr>
      <w:rFonts w:ascii="Arial Narrow" w:eastAsia="Times New Roman" w:hAnsi="Arial Narrow" w:cs="Arial"/>
      <w:i/>
      <w:iCs/>
      <w:color w:val="C00000"/>
      <w:spacing w:val="20"/>
      <w:lang w:eastAsia="en-US"/>
    </w:rPr>
  </w:style>
  <w:style w:type="paragraph" w:customStyle="1" w:styleId="Yo0Paratitle1">
    <w:name w:val="_Yo_0_Para_title_1"/>
    <w:basedOn w:val="Yo0DocTitle"/>
    <w:pPr>
      <w:spacing w:before="270" w:after="160"/>
      <w:ind w:left="0"/>
      <w:jc w:val="both"/>
    </w:pPr>
    <w:rPr>
      <w:rFonts w:ascii="Arial Narrow" w:hAnsi="Arial Narrow"/>
      <w:sz w:val="24"/>
      <w:szCs w:val="24"/>
    </w:rPr>
  </w:style>
  <w:style w:type="paragraph" w:customStyle="1" w:styleId="Yo0Paratitle2">
    <w:name w:val="_Yo_0_Para_title_2"/>
    <w:pPr>
      <w:tabs>
        <w:tab w:val="left" w:pos="993"/>
      </w:tabs>
      <w:suppressAutoHyphens/>
      <w:spacing w:before="200" w:after="200" w:line="300" w:lineRule="auto"/>
      <w:jc w:val="both"/>
    </w:pPr>
    <w:rPr>
      <w:rFonts w:ascii="Arial Narrow" w:hAnsi="Arial Narrow" w:cs="Arial"/>
      <w:b/>
      <w:color w:val="1F497D"/>
      <w:spacing w:val="40"/>
      <w:sz w:val="22"/>
      <w:szCs w:val="22"/>
      <w:lang w:val="nl-NL" w:eastAsia="nl-NL"/>
    </w:rPr>
  </w:style>
  <w:style w:type="paragraph" w:customStyle="1" w:styleId="Yo0Paratitle3">
    <w:name w:val="_Yo_0_Para_title_3"/>
    <w:pPr>
      <w:spacing w:before="120" w:after="120" w:line="276" w:lineRule="auto"/>
    </w:pPr>
    <w:rPr>
      <w:rFonts w:ascii="Arial Narrow" w:eastAsia="Times New Roman" w:hAnsi="Arial Narrow" w:cs="Arial"/>
      <w:b/>
      <w:i/>
      <w:color w:val="1F497D"/>
      <w:spacing w:val="20"/>
      <w:lang w:eastAsia="en-US"/>
    </w:rPr>
  </w:style>
  <w:style w:type="paragraph" w:customStyle="1" w:styleId="Yo0Paratitle4">
    <w:name w:val="_Yo_0_Para_title_4"/>
    <w:pPr>
      <w:spacing w:before="240" w:after="120"/>
      <w:outlineLvl w:val="0"/>
    </w:pPr>
    <w:rPr>
      <w:rFonts w:ascii="Arial Narrow" w:eastAsia="Times New Roman" w:hAnsi="Arial Narrow" w:cs="Arial"/>
      <w:bCs/>
      <w:color w:val="1F497D"/>
      <w:spacing w:val="20"/>
      <w:w w:val="80"/>
      <w:u w:val="single"/>
      <w:lang w:val="nl-NL" w:eastAsia="en-US"/>
    </w:rPr>
  </w:style>
  <w:style w:type="paragraph" w:customStyle="1" w:styleId="Yo1Textpara">
    <w:name w:val="_Yo_1_Text_para"/>
    <w:pPr>
      <w:tabs>
        <w:tab w:val="left" w:pos="4253"/>
      </w:tabs>
      <w:spacing w:before="160" w:line="300" w:lineRule="auto"/>
      <w:jc w:val="both"/>
    </w:pPr>
    <w:rPr>
      <w:rFonts w:ascii="Times New Roman" w:hAnsi="Times New Roman"/>
      <w:sz w:val="22"/>
      <w:lang w:eastAsia="fr-BE"/>
    </w:rPr>
  </w:style>
  <w:style w:type="paragraph" w:customStyle="1" w:styleId="Yo1Text">
    <w:name w:val="_Yo_1_Text"/>
    <w:basedOn w:val="Yo1Textpara"/>
    <w:qFormat/>
    <w:pPr>
      <w:spacing w:before="0"/>
    </w:pPr>
  </w:style>
  <w:style w:type="paragraph" w:customStyle="1" w:styleId="Yo11Textbulletlvl1">
    <w:name w:val="_Yo_11_Text_bullet_lvl_1"/>
    <w:basedOn w:val="Yo1Textpara"/>
    <w:pPr>
      <w:numPr>
        <w:numId w:val="1"/>
      </w:numPr>
      <w:tabs>
        <w:tab w:val="clear" w:pos="4253"/>
        <w:tab w:val="left" w:pos="426"/>
      </w:tabs>
      <w:spacing w:before="120"/>
    </w:pPr>
    <w:rPr>
      <w:lang w:val="en-US"/>
    </w:rPr>
  </w:style>
  <w:style w:type="paragraph" w:customStyle="1" w:styleId="Yo11Textbulletlvl2">
    <w:name w:val="_Yo_11_Text_bullet_lvl_2"/>
    <w:basedOn w:val="Yo1Textpara"/>
    <w:pPr>
      <w:numPr>
        <w:numId w:val="2"/>
      </w:numPr>
      <w:tabs>
        <w:tab w:val="clear" w:pos="4253"/>
        <w:tab w:val="left" w:pos="709"/>
      </w:tabs>
      <w:spacing w:before="100" w:line="264" w:lineRule="auto"/>
    </w:pPr>
    <w:rPr>
      <w:lang w:val="en-US"/>
    </w:rPr>
  </w:style>
  <w:style w:type="paragraph" w:customStyle="1" w:styleId="Yo11Textbulletlvl3">
    <w:name w:val="_Yo_11_Text_bullet_lvl_3"/>
    <w:basedOn w:val="Yo1Textpara"/>
    <w:pPr>
      <w:numPr>
        <w:numId w:val="3"/>
      </w:numPr>
      <w:tabs>
        <w:tab w:val="clear" w:pos="4253"/>
        <w:tab w:val="left" w:pos="981"/>
      </w:tabs>
      <w:spacing w:before="100" w:after="20"/>
    </w:pPr>
    <w:rPr>
      <w:rFonts w:ascii="Arial Narrow" w:hAnsi="Arial Narrow"/>
    </w:rPr>
  </w:style>
  <w:style w:type="paragraph" w:customStyle="1" w:styleId="Yo11TextNum1">
    <w:name w:val="_Yo_11_Text_Num_1"/>
    <w:basedOn w:val="Yo1Textpara"/>
    <w:next w:val="Normal"/>
    <w:pPr>
      <w:numPr>
        <w:numId w:val="4"/>
      </w:numPr>
      <w:tabs>
        <w:tab w:val="clear" w:pos="4253"/>
        <w:tab w:val="left" w:pos="426"/>
      </w:tabs>
      <w:spacing w:after="120"/>
    </w:pPr>
    <w:rPr>
      <w:rFonts w:eastAsia="Times New Roman"/>
      <w:color w:val="1F497D"/>
      <w:lang w:val="fr-FR"/>
    </w:rPr>
  </w:style>
  <w:style w:type="paragraph" w:customStyle="1" w:styleId="Yo11TextNum2">
    <w:name w:val="_Yo_11_Text_Num_2"/>
    <w:basedOn w:val="Yo1Textpara"/>
    <w:next w:val="Normal"/>
    <w:pPr>
      <w:numPr>
        <w:numId w:val="5"/>
      </w:numPr>
      <w:tabs>
        <w:tab w:val="clear" w:pos="4253"/>
        <w:tab w:val="left" w:pos="709"/>
      </w:tabs>
      <w:spacing w:before="120" w:after="120"/>
    </w:pPr>
    <w:rPr>
      <w:rFonts w:eastAsia="Times New Roman"/>
      <w:color w:val="1F497D"/>
      <w:lang w:val="fr-FR"/>
    </w:rPr>
  </w:style>
  <w:style w:type="paragraph" w:customStyle="1" w:styleId="Yo11TextNum3">
    <w:name w:val="_Yo_11_Text_Num_3"/>
    <w:basedOn w:val="Yo1Textpara"/>
    <w:next w:val="Normal"/>
    <w:pPr>
      <w:numPr>
        <w:numId w:val="6"/>
      </w:numPr>
      <w:tabs>
        <w:tab w:val="clear" w:pos="4253"/>
        <w:tab w:val="left" w:pos="993"/>
      </w:tabs>
      <w:spacing w:before="120" w:after="120"/>
    </w:pPr>
    <w:rPr>
      <w:rFonts w:eastAsia="Times New Roman"/>
      <w:color w:val="1F497D"/>
      <w:lang w:val="fr-FR"/>
    </w:rPr>
  </w:style>
  <w:style w:type="paragraph" w:customStyle="1" w:styleId="Yo12Encart">
    <w:name w:val="_Yo_12_Encart"/>
    <w:qFormat/>
    <w:pPr>
      <w:jc w:val="both"/>
    </w:pPr>
    <w:rPr>
      <w:i/>
      <w:szCs w:val="24"/>
      <w:lang w:eastAsia="en-US"/>
    </w:rPr>
  </w:style>
  <w:style w:type="paragraph" w:customStyle="1" w:styleId="Yo12Example">
    <w:name w:val="_Yo_12_Example"/>
    <w:pPr>
      <w:spacing w:before="120" w:line="300" w:lineRule="auto"/>
      <w:ind w:left="369"/>
      <w:jc w:val="both"/>
    </w:pPr>
    <w:rPr>
      <w:rFonts w:ascii="Arial Narrow" w:hAnsi="Arial Narrow"/>
      <w:color w:val="1F497D"/>
      <w:sz w:val="18"/>
      <w:szCs w:val="24"/>
      <w:lang w:eastAsia="en-US"/>
    </w:rPr>
  </w:style>
  <w:style w:type="paragraph" w:customStyle="1" w:styleId="Yo12TextParaForeword">
    <w:name w:val="_Yo_12_Text_Para_Foreword"/>
    <w:qFormat/>
    <w:pPr>
      <w:spacing w:before="240" w:line="360" w:lineRule="auto"/>
      <w:jc w:val="both"/>
    </w:pPr>
    <w:rPr>
      <w:rFonts w:ascii="Arial" w:eastAsia="Times New Roman" w:hAnsi="Arial" w:cs="Arial"/>
      <w:color w:val="1F497D"/>
      <w:lang w:eastAsia="en-US"/>
    </w:rPr>
  </w:style>
  <w:style w:type="paragraph" w:customStyle="1" w:styleId="Yo4centeredHeader">
    <w:name w:val="_Yo_4_centered_Header"/>
    <w:qFormat/>
    <w:pPr>
      <w:pBdr>
        <w:bottom w:val="single" w:sz="4" w:space="5" w:color="C00000"/>
      </w:pBdr>
      <w:jc w:val="center"/>
    </w:pPr>
    <w:rPr>
      <w:rFonts w:ascii="Arial Narrow" w:hAnsi="Arial Narrow" w:cs="Arial"/>
      <w:color w:val="000000"/>
      <w:spacing w:val="20"/>
      <w:sz w:val="18"/>
      <w:lang w:val="en-US" w:eastAsia="en-US"/>
    </w:rPr>
  </w:style>
  <w:style w:type="paragraph" w:customStyle="1" w:styleId="Yo4Headereven">
    <w:name w:val="_Yo_4_Header_even"/>
    <w:pPr>
      <w:spacing w:after="60"/>
    </w:pPr>
    <w:rPr>
      <w:rFonts w:ascii="Arial Narrow" w:hAnsi="Arial Narrow" w:cs="Arial"/>
      <w:color w:val="DA1E48"/>
      <w:spacing w:val="20"/>
      <w:sz w:val="22"/>
      <w:lang w:eastAsia="en-US"/>
    </w:rPr>
  </w:style>
  <w:style w:type="paragraph" w:customStyle="1" w:styleId="Yo4Headerodd">
    <w:name w:val="_Yo_4_Header_odd"/>
    <w:basedOn w:val="Yo4Headereven"/>
    <w:pPr>
      <w:jc w:val="right"/>
    </w:pPr>
    <w:rPr>
      <w:lang w:val="en-US"/>
    </w:rPr>
  </w:style>
  <w:style w:type="paragraph" w:customStyle="1" w:styleId="Yo5TextbaseTable">
    <w:name w:val="_Yo_5_Text_base_Table"/>
    <w:qFormat/>
    <w:pPr>
      <w:tabs>
        <w:tab w:val="left" w:pos="1985"/>
      </w:tabs>
    </w:pPr>
    <w:rPr>
      <w:rFonts w:ascii="Arial" w:eastAsia="Times New Roman" w:hAnsi="Arial" w:cs="Arial"/>
      <w:snapToGrid w:val="0"/>
      <w:color w:val="1F497D"/>
      <w:sz w:val="16"/>
      <w:szCs w:val="16"/>
      <w:lang w:val="en-US" w:eastAsia="en-US"/>
    </w:rPr>
  </w:style>
  <w:style w:type="paragraph" w:customStyle="1" w:styleId="Yo5TextNotes">
    <w:name w:val="_Yo_5_Text_Notes"/>
    <w:pPr>
      <w:widowControl w:val="0"/>
      <w:tabs>
        <w:tab w:val="left" w:pos="1985"/>
      </w:tabs>
      <w:jc w:val="both"/>
    </w:pPr>
    <w:rPr>
      <w:rFonts w:ascii="Verdana" w:eastAsia="Times New Roman" w:hAnsi="Verdana" w:cs="Arial"/>
      <w:snapToGrid w:val="0"/>
      <w:sz w:val="14"/>
      <w:szCs w:val="16"/>
      <w:lang w:val="fr-FR" w:eastAsia="en-US"/>
    </w:rPr>
  </w:style>
  <w:style w:type="paragraph" w:customStyle="1" w:styleId="Yo5TextNotesafter">
    <w:name w:val="_Yo_5_Text_Notes_after"/>
    <w:basedOn w:val="Yo5TextNotes"/>
    <w:pPr>
      <w:tabs>
        <w:tab w:val="left" w:pos="5103"/>
      </w:tabs>
      <w:spacing w:after="60"/>
    </w:pPr>
    <w:rPr>
      <w:lang w:val="en-US"/>
    </w:rPr>
  </w:style>
  <w:style w:type="paragraph" w:customStyle="1" w:styleId="Yo5TextNotesbefore">
    <w:name w:val="_Yo_5_Text_Notes_before"/>
    <w:basedOn w:val="Yo5TextNotesafter"/>
    <w:pPr>
      <w:spacing w:before="120" w:after="0"/>
    </w:pPr>
  </w:style>
  <w:style w:type="paragraph" w:customStyle="1" w:styleId="Yo5TextNotesbeforeafter">
    <w:name w:val="_Yo_5_Text_Notes_before_after"/>
    <w:basedOn w:val="Yo5TextNotes"/>
    <w:pPr>
      <w:spacing w:before="60" w:after="60"/>
    </w:pPr>
  </w:style>
  <w:style w:type="paragraph" w:customStyle="1" w:styleId="Yo5TitleFigure">
    <w:name w:val="_Yo_5_Title_Figure"/>
    <w:pPr>
      <w:keepNext/>
      <w:spacing w:before="200" w:after="240" w:line="276" w:lineRule="auto"/>
    </w:pPr>
    <w:rPr>
      <w:rFonts w:ascii="Verdana" w:eastAsia="Cambria" w:hAnsi="Verdana" w:cs="Calibri"/>
      <w:bCs/>
      <w:noProof/>
      <w:color w:val="7F7F7F"/>
      <w:w w:val="80"/>
      <w:sz w:val="22"/>
      <w:szCs w:val="22"/>
      <w:lang w:eastAsia="en-US"/>
    </w:rPr>
  </w:style>
  <w:style w:type="paragraph" w:customStyle="1" w:styleId="Yo5TitleFigureend">
    <w:name w:val="_Yo_5_Title_Figure_end"/>
    <w:basedOn w:val="Yo5TitleFigure"/>
    <w:qFormat/>
    <w:pPr>
      <w:pBdr>
        <w:bottom w:val="single" w:sz="8" w:space="1" w:color="C00000"/>
        <w:right w:val="single" w:sz="8" w:space="4" w:color="C00000"/>
      </w:pBdr>
      <w:spacing w:before="0"/>
    </w:pPr>
  </w:style>
  <w:style w:type="paragraph" w:customStyle="1" w:styleId="Yo5TitleNotes">
    <w:name w:val="_Yo_5_Title_Notes"/>
    <w:pPr>
      <w:keepNext/>
      <w:spacing w:before="100" w:after="60"/>
    </w:pPr>
    <w:rPr>
      <w:rFonts w:ascii="Arial" w:eastAsia="Times New Roman" w:hAnsi="Arial" w:cs="Arial"/>
      <w:b/>
      <w:bCs/>
      <w:color w:val="C00000"/>
      <w:sz w:val="18"/>
      <w:u w:val="single"/>
      <w:lang w:val="fr-FR" w:eastAsia="en-US"/>
    </w:rPr>
  </w:style>
  <w:style w:type="paragraph" w:customStyle="1" w:styleId="Yo5TitleNotesbefore">
    <w:name w:val="_Yo_5_Title_Notes_before"/>
    <w:basedOn w:val="Yo5TextNotes"/>
    <w:next w:val="Yo5TextNotes"/>
    <w:pPr>
      <w:widowControl/>
      <w:tabs>
        <w:tab w:val="clear" w:pos="1985"/>
      </w:tabs>
      <w:spacing w:before="60"/>
    </w:pPr>
    <w:rPr>
      <w:snapToGrid/>
      <w:sz w:val="17"/>
      <w:szCs w:val="17"/>
    </w:rPr>
  </w:style>
  <w:style w:type="paragraph" w:customStyle="1" w:styleId="Yo6TOFTextTab">
    <w:name w:val="_Yo_6_TOF_Text_Tab"/>
    <w:qFormat/>
    <w:rPr>
      <w:rFonts w:ascii="Arial Narrow" w:eastAsia="Times New Roman" w:hAnsi="Arial Narrow" w:cs="Arial"/>
      <w:sz w:val="17"/>
      <w:szCs w:val="17"/>
      <w:lang w:eastAsia="en-US"/>
    </w:rPr>
  </w:style>
  <w:style w:type="paragraph" w:customStyle="1" w:styleId="Yo6TOFnumero">
    <w:name w:val="_Yo_6_TOF_numero"/>
    <w:basedOn w:val="Yo6TOFTextTab"/>
    <w:qFormat/>
    <w:pPr>
      <w:jc w:val="center"/>
    </w:pPr>
    <w:rPr>
      <w:sz w:val="16"/>
      <w:szCs w:val="16"/>
    </w:rPr>
  </w:style>
  <w:style w:type="paragraph" w:customStyle="1" w:styleId="Yo7ackCountries">
    <w:name w:val="_Yo_7_ack_Countries"/>
    <w:pPr>
      <w:pBdr>
        <w:top w:val="single" w:sz="4" w:space="3" w:color="C00000"/>
        <w:bottom w:val="single" w:sz="4" w:space="3" w:color="C00000"/>
      </w:pBdr>
      <w:spacing w:before="100" w:after="60"/>
    </w:pPr>
    <w:rPr>
      <w:rFonts w:ascii="Arial Narrow" w:eastAsia="Times New Roman" w:hAnsi="Arial Narrow"/>
      <w:b/>
      <w:color w:val="C00000"/>
      <w:sz w:val="18"/>
      <w:szCs w:val="18"/>
      <w:lang w:val="fr-FR" w:eastAsia="en-US"/>
    </w:rPr>
  </w:style>
  <w:style w:type="paragraph" w:customStyle="1" w:styleId="Yo7ackCountriesaddresses">
    <w:name w:val="_Yo_7_ack_Countries_addresses"/>
    <w:rPr>
      <w:rFonts w:ascii="Arial" w:eastAsia="Times New Roman" w:hAnsi="Arial" w:cs="Arial"/>
      <w:sz w:val="16"/>
      <w:szCs w:val="16"/>
      <w:lang w:val="fr-FR" w:eastAsia="en-US"/>
    </w:rPr>
  </w:style>
  <w:style w:type="paragraph" w:customStyle="1" w:styleId="Yo7ackeurydice">
    <w:name w:val="_Yo_7_ack_eurydice"/>
    <w:qFormat/>
    <w:pPr>
      <w:spacing w:before="240" w:line="300" w:lineRule="auto"/>
      <w:jc w:val="center"/>
    </w:pPr>
    <w:rPr>
      <w:rFonts w:ascii="Arial" w:eastAsia="Times New Roman" w:hAnsi="Arial" w:cs="Arial"/>
      <w:b/>
      <w:bCs/>
      <w:color w:val="C00000"/>
      <w:sz w:val="32"/>
      <w:lang w:eastAsia="en-US"/>
    </w:rPr>
  </w:style>
  <w:style w:type="paragraph" w:customStyle="1" w:styleId="Yo7ackFunctions">
    <w:name w:val="_Yo_7_ack_Functions"/>
    <w:qFormat/>
    <w:pPr>
      <w:spacing w:before="320" w:after="60"/>
      <w:jc w:val="center"/>
    </w:pPr>
    <w:rPr>
      <w:rFonts w:ascii="Arial" w:eastAsia="Times New Roman" w:hAnsi="Arial" w:cs="Arial"/>
      <w:b/>
      <w:bCs/>
      <w:color w:val="C00000"/>
      <w:sz w:val="24"/>
      <w:szCs w:val="24"/>
      <w:lang w:eastAsia="en-US"/>
    </w:rPr>
  </w:style>
  <w:style w:type="paragraph" w:customStyle="1" w:styleId="Yo7ackSubTitle">
    <w:name w:val="_Yo_7_ack_SubTitle"/>
    <w:qFormat/>
    <w:pPr>
      <w:spacing w:before="200" w:after="120"/>
      <w:jc w:val="center"/>
    </w:pPr>
    <w:rPr>
      <w:rFonts w:ascii="Arial" w:eastAsia="Times New Roman" w:hAnsi="Arial" w:cs="Arial"/>
      <w:b/>
      <w:bCs/>
      <w:color w:val="C00000"/>
      <w:sz w:val="28"/>
      <w:szCs w:val="28"/>
      <w:lang w:val="fr-FR" w:eastAsia="en-US"/>
    </w:rPr>
  </w:style>
  <w:style w:type="paragraph" w:customStyle="1" w:styleId="Yo7ackTextParacentered">
    <w:name w:val="_Yo_7_ack_Text_Para_centered"/>
    <w:qFormat/>
    <w:pPr>
      <w:spacing w:before="240" w:line="300" w:lineRule="auto"/>
      <w:jc w:val="center"/>
    </w:pPr>
    <w:rPr>
      <w:rFonts w:ascii="Arial" w:eastAsia="Times New Roman" w:hAnsi="Arial" w:cs="Arial"/>
      <w:lang w:val="fr-FR" w:eastAsia="en-US"/>
    </w:rPr>
  </w:style>
  <w:style w:type="paragraph" w:styleId="Header">
    <w:name w:val="header"/>
    <w:basedOn w:val="Normal"/>
    <w:link w:val="HeaderChar"/>
    <w:unhideWhenUsed/>
    <w:pPr>
      <w:tabs>
        <w:tab w:val="center" w:pos="4536"/>
        <w:tab w:val="right" w:pos="9072"/>
      </w:tabs>
    </w:pPr>
    <w:rPr>
      <w:lang w:val="x-none"/>
    </w:rPr>
  </w:style>
  <w:style w:type="character" w:customStyle="1" w:styleId="HeaderChar">
    <w:name w:val="Header Char"/>
    <w:link w:val="Header"/>
    <w:rPr>
      <w:sz w:val="22"/>
      <w:szCs w:val="22"/>
      <w:lang w:eastAsia="en-US"/>
    </w:rPr>
  </w:style>
  <w:style w:type="paragraph" w:styleId="Footer">
    <w:name w:val="footer"/>
    <w:basedOn w:val="Normal"/>
    <w:link w:val="FooterChar"/>
    <w:uiPriority w:val="99"/>
    <w:unhideWhenUsed/>
    <w:pPr>
      <w:tabs>
        <w:tab w:val="center" w:pos="4536"/>
        <w:tab w:val="right" w:pos="9072"/>
      </w:tabs>
    </w:pPr>
    <w:rPr>
      <w:lang w:val="x-none"/>
    </w:rPr>
  </w:style>
  <w:style w:type="character" w:customStyle="1" w:styleId="FooterChar">
    <w:name w:val="Footer Char"/>
    <w:link w:val="Footer"/>
    <w:uiPriority w:val="99"/>
    <w:rPr>
      <w:sz w:val="22"/>
      <w:szCs w:val="22"/>
      <w:lang w:eastAsia="en-US"/>
    </w:rPr>
  </w:style>
  <w:style w:type="character" w:styleId="PageNumber">
    <w:name w:val="page number"/>
    <w:uiPriority w:val="99"/>
    <w:rPr>
      <w:rFonts w:ascii="Calibri" w:hAnsi="Calibri"/>
      <w:sz w:val="24"/>
    </w:rPr>
  </w:style>
  <w:style w:type="paragraph" w:styleId="FootnoteText">
    <w:name w:val="footnote text"/>
    <w:basedOn w:val="Normal"/>
    <w:link w:val="FootnoteTextChar"/>
    <w:uiPriority w:val="99"/>
    <w:rPr>
      <w:sz w:val="20"/>
      <w:szCs w:val="20"/>
      <w:lang w:val="x-none"/>
    </w:rPr>
  </w:style>
  <w:style w:type="character" w:customStyle="1" w:styleId="FootnoteTextChar">
    <w:name w:val="Footnote Text Char"/>
    <w:link w:val="FootnoteText"/>
    <w:uiPriority w:val="99"/>
    <w:rPr>
      <w:lang w:eastAsia="en-US"/>
    </w:rPr>
  </w:style>
  <w:style w:type="character" w:styleId="FootnoteReference">
    <w:name w:val="footnote reference"/>
    <w:uiPriority w:val="99"/>
    <w:rPr>
      <w:vertAlign w:val="superscript"/>
    </w:rPr>
  </w:style>
  <w:style w:type="paragraph" w:customStyle="1" w:styleId="Yo4FootnoteSeparator">
    <w:name w:val="_Yo_4_Footnote_Separator"/>
    <w:qFormat/>
    <w:rPr>
      <w:color w:val="DA1E48"/>
      <w:sz w:val="22"/>
      <w:szCs w:val="22"/>
      <w:lang w:val="fr-BE" w:eastAsia="en-US"/>
    </w:rPr>
  </w:style>
  <w:style w:type="character" w:styleId="Hyperlink">
    <w:name w:val="Hyperlink"/>
    <w:uiPriority w:val="99"/>
    <w:unhideWhenUsed/>
    <w:rPr>
      <w:color w:val="0000FF"/>
      <w:u w:val="single"/>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lang w:val="en-GB"/>
    </w:rPr>
  </w:style>
  <w:style w:type="character" w:customStyle="1" w:styleId="CommentTextChar">
    <w:name w:val="Comment Text Char"/>
    <w:link w:val="CommentText"/>
    <w:uiPriority w:val="99"/>
    <w:semiHidden/>
    <w:rPr>
      <w:lang w:val="en-GB" w:eastAsia="en-US"/>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Pr>
      <w:rFonts w:ascii="Tahoma" w:hAnsi="Tahoma" w:cs="Tahoma"/>
      <w:sz w:val="16"/>
      <w:szCs w:val="16"/>
      <w:lang w:eastAsia="en-U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90H2">
    <w:name w:val="_p9_0_H2"/>
    <w:pPr>
      <w:spacing w:before="360" w:after="160"/>
      <w:ind w:left="426" w:hanging="426"/>
    </w:pPr>
    <w:rPr>
      <w:rFonts w:ascii="Arial" w:hAnsi="Arial" w:cs="Arial"/>
      <w:b/>
      <w:bCs/>
      <w:color w:val="C00000"/>
      <w:sz w:val="24"/>
      <w:szCs w:val="24"/>
      <w:lang w:eastAsia="en-US"/>
    </w:rPr>
  </w:style>
  <w:style w:type="paragraph" w:customStyle="1" w:styleId="p92TitleFigure">
    <w:name w:val="_p9_2_Title_Figure"/>
    <w:pPr>
      <w:keepNext/>
      <w:spacing w:before="200" w:after="100" w:line="276" w:lineRule="auto"/>
      <w:ind w:left="142"/>
    </w:pPr>
    <w:rPr>
      <w:rFonts w:ascii="Arial Narrow" w:eastAsia="Cambria" w:hAnsi="Arial Narrow" w:cs="Arial"/>
      <w:b/>
      <w:bCs/>
      <w:noProof/>
      <w:color w:val="C00000"/>
      <w:lang w:eastAsia="en-US"/>
    </w:rPr>
  </w:style>
  <w:style w:type="paragraph" w:styleId="CommentSubject">
    <w:name w:val="annotation subject"/>
    <w:basedOn w:val="CommentText"/>
    <w:next w:val="CommentText"/>
    <w:link w:val="CommentSubjectChar"/>
    <w:uiPriority w:val="99"/>
    <w:semiHidden/>
    <w:unhideWhenUsed/>
    <w:rPr>
      <w:b/>
      <w:bCs/>
      <w:lang w:val="fr-BE"/>
    </w:rPr>
  </w:style>
  <w:style w:type="character" w:customStyle="1" w:styleId="CommentSubjectChar">
    <w:name w:val="Comment Subject Char"/>
    <w:link w:val="CommentSubject"/>
    <w:uiPriority w:val="99"/>
    <w:semiHidden/>
    <w:rPr>
      <w:b/>
      <w:bCs/>
      <w:lang w:val="fr-BE" w:eastAsia="en-US"/>
    </w:rPr>
  </w:style>
  <w:style w:type="paragraph" w:styleId="Revision">
    <w:name w:val="Revision"/>
    <w:hidden/>
    <w:uiPriority w:val="99"/>
    <w:semiHidden/>
    <w:rPr>
      <w:sz w:val="22"/>
      <w:szCs w:val="22"/>
      <w:lang w:val="fr-BE" w:eastAsia="en-US"/>
    </w:rPr>
  </w:style>
  <w:style w:type="paragraph" w:customStyle="1" w:styleId="Yo5TextEUYouthTOC">
    <w:name w:val="_Yo_5_Text_EU_Youth_TOC"/>
    <w:pPr>
      <w:keepNext/>
      <w:framePr w:hSpace="180" w:wrap="around" w:vAnchor="text" w:hAnchor="margin" w:x="108" w:y="100"/>
    </w:pPr>
    <w:rPr>
      <w:rFonts w:ascii="Arial Narrow" w:eastAsia="Cambria" w:hAnsi="Arial Narrow" w:cs="Arial"/>
      <w:b/>
      <w:bCs/>
      <w:noProof/>
      <w:color w:val="C00000"/>
      <w:lang w:eastAsia="en-US"/>
    </w:rPr>
  </w:style>
  <w:style w:type="paragraph" w:customStyle="1" w:styleId="Yo5TextEUYouth">
    <w:name w:val="_Yo_5_Text_EU_Youth"/>
    <w:basedOn w:val="Yo5TextNotes"/>
    <w:qFormat/>
    <w:pPr>
      <w:framePr w:hSpace="180" w:wrap="around" w:vAnchor="text" w:hAnchor="margin" w:x="108" w:y="100"/>
    </w:pPr>
    <w:rPr>
      <w:b/>
      <w:color w:val="C00000"/>
      <w:sz w:val="22"/>
    </w:rPr>
  </w:style>
  <w:style w:type="paragraph" w:customStyle="1" w:styleId="p91Textpara">
    <w:name w:val="_p9_1_Text_para"/>
    <w:pPr>
      <w:tabs>
        <w:tab w:val="left" w:pos="4253"/>
      </w:tabs>
      <w:spacing w:before="160" w:line="300" w:lineRule="auto"/>
      <w:jc w:val="both"/>
    </w:pPr>
    <w:rPr>
      <w:rFonts w:ascii="Arial" w:hAnsi="Arial" w:cs="Arial"/>
      <w:color w:val="1F497D"/>
      <w:lang w:eastAsia="en-US"/>
    </w:rPr>
  </w:style>
  <w:style w:type="paragraph" w:customStyle="1" w:styleId="Yo13YouthIndicator">
    <w:name w:val="_Yo_13_Youth_Indicator"/>
    <w:qFormat/>
    <w:pPr>
      <w:spacing w:line="300" w:lineRule="auto"/>
      <w:ind w:left="113" w:right="113"/>
    </w:pPr>
    <w:rPr>
      <w:b/>
      <w:color w:val="FFFFFF"/>
      <w:sz w:val="16"/>
      <w:szCs w:val="22"/>
      <w:lang w:eastAsia="en-US"/>
    </w:rPr>
  </w:style>
  <w:style w:type="paragraph" w:customStyle="1" w:styleId="Default">
    <w:name w:val="Default"/>
    <w:pPr>
      <w:autoSpaceDE w:val="0"/>
      <w:autoSpaceDN w:val="0"/>
      <w:adjustRightInd w:val="0"/>
    </w:pPr>
    <w:rPr>
      <w:rFonts w:ascii="Times New Roman" w:hAnsi="Times New Roman"/>
      <w:color w:val="000000"/>
      <w:sz w:val="24"/>
      <w:szCs w:val="24"/>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Yo0H1Char">
    <w:name w:val="_Yo_0_H1 Char"/>
    <w:link w:val="Yo0H1"/>
    <w:rPr>
      <w:rFonts w:ascii="Verdana" w:eastAsia="Times New Roman" w:hAnsi="Verdana" w:cs="MyriadPro-Bold"/>
      <w:b/>
      <w:bCs w:val="0"/>
      <w:color w:val="DB1E48"/>
      <w:sz w:val="44"/>
      <w:szCs w:val="44"/>
      <w:lang w:val="en-US" w:eastAsia="fr-BE"/>
    </w:rPr>
  </w:style>
  <w:style w:type="character" w:customStyle="1" w:styleId="FooterCoverPageChar">
    <w:name w:val="Footer Cover Page Char"/>
    <w:link w:val="FooterCoverPage"/>
    <w:rPr>
      <w:rFonts w:ascii="Times New Roman" w:hAnsi="Times New Roman"/>
      <w:sz w:val="24"/>
      <w:szCs w:val="22"/>
      <w:lang w:val="fr-BE"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FooterSensitivityChar">
    <w:name w:val="Footer Sensitivity Char"/>
    <w:link w:val="FooterSensitivity"/>
    <w:rPr>
      <w:rFonts w:ascii="Times New Roman" w:hAnsi="Times New Roman"/>
      <w:b/>
      <w:sz w:val="32"/>
      <w:szCs w:val="22"/>
      <w:lang w:val="fr-BE"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lang w:val="fr-BE"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link w:val="HeaderSensitivity"/>
    <w:rPr>
      <w:rFonts w:ascii="Times New Roman" w:hAnsi="Times New Roman"/>
      <w:b/>
      <w:sz w:val="32"/>
      <w:szCs w:val="22"/>
      <w:lang w:val="fr-BE" w:eastAsia="en-US"/>
    </w:rPr>
  </w:style>
  <w:style w:type="paragraph" w:styleId="TOCHeading">
    <w:name w:val="TOC Heading"/>
    <w:basedOn w:val="Heading1"/>
    <w:next w:val="Normal"/>
    <w:uiPriority w:val="39"/>
    <w:unhideWhenUsed/>
    <w:qFormat/>
    <w:pPr>
      <w:spacing w:before="240" w:line="259" w:lineRule="auto"/>
      <w:outlineLvl w:val="9"/>
    </w:pPr>
    <w:rPr>
      <w:rFonts w:ascii="Calibri Light" w:hAnsi="Calibri Light"/>
      <w:b w:val="0"/>
      <w:bCs w:val="0"/>
      <w:color w:val="2E74B5"/>
      <w:sz w:val="32"/>
      <w:szCs w:val="32"/>
      <w:lang w:val="en-US" w:eastAsia="en-US"/>
    </w:rPr>
  </w:style>
  <w:style w:type="paragraph" w:styleId="TOC1">
    <w:name w:val="toc 1"/>
    <w:basedOn w:val="Normal"/>
    <w:next w:val="Normal"/>
    <w:autoRedefine/>
    <w:uiPriority w:val="39"/>
    <w:unhideWhenUsed/>
  </w:style>
  <w:style w:type="paragraph" w:styleId="TOC2">
    <w:name w:val="toc 2"/>
    <w:basedOn w:val="Normal"/>
    <w:next w:val="Normal"/>
    <w:autoRedefine/>
    <w:uiPriority w:val="39"/>
    <w:unhideWhenUsed/>
    <w:pPr>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8795">
      <w:bodyDiv w:val="1"/>
      <w:marLeft w:val="0"/>
      <w:marRight w:val="0"/>
      <w:marTop w:val="0"/>
      <w:marBottom w:val="0"/>
      <w:divBdr>
        <w:top w:val="none" w:sz="0" w:space="0" w:color="auto"/>
        <w:left w:val="none" w:sz="0" w:space="0" w:color="auto"/>
        <w:bottom w:val="none" w:sz="0" w:space="0" w:color="auto"/>
        <w:right w:val="none" w:sz="0" w:space="0" w:color="auto"/>
      </w:divBdr>
    </w:div>
    <w:div w:id="295987586">
      <w:bodyDiv w:val="1"/>
      <w:marLeft w:val="0"/>
      <w:marRight w:val="0"/>
      <w:marTop w:val="0"/>
      <w:marBottom w:val="0"/>
      <w:divBdr>
        <w:top w:val="none" w:sz="0" w:space="0" w:color="auto"/>
        <w:left w:val="none" w:sz="0" w:space="0" w:color="auto"/>
        <w:bottom w:val="none" w:sz="0" w:space="0" w:color="auto"/>
        <w:right w:val="none" w:sz="0" w:space="0" w:color="auto"/>
      </w:divBdr>
    </w:div>
    <w:div w:id="548030065">
      <w:bodyDiv w:val="1"/>
      <w:marLeft w:val="0"/>
      <w:marRight w:val="0"/>
      <w:marTop w:val="0"/>
      <w:marBottom w:val="0"/>
      <w:divBdr>
        <w:top w:val="none" w:sz="0" w:space="0" w:color="auto"/>
        <w:left w:val="none" w:sz="0" w:space="0" w:color="auto"/>
        <w:bottom w:val="none" w:sz="0" w:space="0" w:color="auto"/>
        <w:right w:val="none" w:sz="0" w:space="0" w:color="auto"/>
      </w:divBdr>
      <w:divsChild>
        <w:div w:id="926116742">
          <w:marLeft w:val="0"/>
          <w:marRight w:val="0"/>
          <w:marTop w:val="0"/>
          <w:marBottom w:val="0"/>
          <w:divBdr>
            <w:top w:val="none" w:sz="0" w:space="0" w:color="auto"/>
            <w:left w:val="none" w:sz="0" w:space="0" w:color="auto"/>
            <w:bottom w:val="none" w:sz="0" w:space="0" w:color="auto"/>
            <w:right w:val="none" w:sz="0" w:space="0" w:color="auto"/>
          </w:divBdr>
        </w:div>
      </w:divsChild>
    </w:div>
    <w:div w:id="81201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8.png"/><Relationship Id="rId39" Type="http://schemas.openxmlformats.org/officeDocument/2006/relationships/image" Target="media/image16.jpeg"/><Relationship Id="rId21" Type="http://schemas.openxmlformats.org/officeDocument/2006/relationships/image" Target="file:///\\s-eacea-fs03-p\EACEA.A7\Youth\04_Reports\a_EU_Youth_Reports\2018\03_graph\5_C_EU_citizenship.jpg" TargetMode="External"/><Relationship Id="rId34" Type="http://schemas.openxmlformats.org/officeDocument/2006/relationships/image" Target="file:///\\s-eacea-fs03-p\EACEA.A7\Youth\04_Reports\a_EU_Youth_Reports\2018\03_graph\5_G_2009.emf" TargetMode="External"/><Relationship Id="rId42" Type="http://schemas.openxmlformats.org/officeDocument/2006/relationships/image" Target="file:///\\s-eacea-fs03-p\EACEA.A7\Youth\04_Reports\a_EU_Youth_Reports\2018\03_graph\7_H_political_organisation.jpg" TargetMode="External"/><Relationship Id="rId47" Type="http://schemas.openxmlformats.org/officeDocument/2006/relationships/image" Target="media/image20.jpeg"/><Relationship Id="rId50" Type="http://schemas.openxmlformats.org/officeDocument/2006/relationships/image" Target="file:///\\s-eacea-fs03-p\EACEA.A7\Youth\04_Reports\a_EU_Youth_Reports\2018\03_graph\5_J_internet_interactions_gender.jpg" TargetMode="External"/><Relationship Id="rId55" Type="http://schemas.openxmlformats.org/officeDocument/2006/relationships/header" Target="header4.xml"/><Relationship Id="rId63" Type="http://schemas.openxmlformats.org/officeDocument/2006/relationships/footer" Target="footer7.xml"/><Relationship Id="rId68" Type="http://schemas.openxmlformats.org/officeDocument/2006/relationships/image" Target="file:///\\s-eacea-fs03-p\EACEA.A7\Youth\04_Reports\a_EU_Youth_Reports\2018\03_graph\6_A_participation_voluntary_gender_EU28.jpg" TargetMode="External"/><Relationship Id="rId76" Type="http://schemas.openxmlformats.org/officeDocument/2006/relationships/image" Target="file:///\\s-eacea-fs03-p\EACEA.A7\Youth\04_Reports\a_EU_Youth_Reports\2018\03_graph\6_C_local_community_gender.jpg" TargetMode="External"/><Relationship Id="rId84" Type="http://schemas.openxmlformats.org/officeDocument/2006/relationships/image" Target="file:///\\s-eacea-fs03-p\EACEA.A7\Youth\04_Reports\a_EU_Youth_Reports\2018\03_graph\6_F_going_abroad.jpg" TargetMode="External"/><Relationship Id="rId89" Type="http://schemas.openxmlformats.org/officeDocument/2006/relationships/header" Target="header10.xml"/><Relationship Id="rId7" Type="http://schemas.openxmlformats.org/officeDocument/2006/relationships/footnotes" Target="footnotes.xml"/><Relationship Id="rId71" Type="http://schemas.openxmlformats.org/officeDocument/2006/relationships/image" Target="media/image26.jpeg"/><Relationship Id="rId92"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0.jpeg"/><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file:///\\s-eacea-fs03-p\EACEA.A7\Youth\04_Reports\a_EU_Youth_Reports\2018\03_graph\5_F_voting_by_election.jpg" TargetMode="External"/><Relationship Id="rId37" Type="http://schemas.openxmlformats.org/officeDocument/2006/relationships/image" Target="media/image14.emf"/><Relationship Id="rId40" Type="http://schemas.openxmlformats.org/officeDocument/2006/relationships/image" Target="file:///\\s-eacea-fs03-p\EACEA.A7\Youth\04_Reports\a_EU_Youth_Reports\2018\03_graph\5_H_political_organisation_gender.jpg" TargetMode="External"/><Relationship Id="rId45" Type="http://schemas.openxmlformats.org/officeDocument/2006/relationships/image" Target="media/image19.jpeg"/><Relationship Id="rId53" Type="http://schemas.openxmlformats.org/officeDocument/2006/relationships/image" Target="media/image23.jpeg"/><Relationship Id="rId58" Type="http://schemas.openxmlformats.org/officeDocument/2006/relationships/footer" Target="footer5.xml"/><Relationship Id="rId66" Type="http://schemas.openxmlformats.org/officeDocument/2006/relationships/footer" Target="footer9.xml"/><Relationship Id="rId74" Type="http://schemas.openxmlformats.org/officeDocument/2006/relationships/image" Target="file:///\\s-eacea-fs03-p\EACEA.A7\Youth\04_Reports\a_EU_Youth_Reports\2018\03_graph\6_C_solidarity.jpg" TargetMode="External"/><Relationship Id="rId79" Type="http://schemas.openxmlformats.org/officeDocument/2006/relationships/image" Target="media/image30.jpeg"/><Relationship Id="rId87" Type="http://schemas.openxmlformats.org/officeDocument/2006/relationships/image" Target="media/image34.jpeg"/><Relationship Id="rId5" Type="http://schemas.openxmlformats.org/officeDocument/2006/relationships/settings" Target="settings.xml"/><Relationship Id="rId61" Type="http://schemas.openxmlformats.org/officeDocument/2006/relationships/header" Target="header7.xml"/><Relationship Id="rId82" Type="http://schemas.openxmlformats.org/officeDocument/2006/relationships/image" Target="file:///\\s-eacea-fs03-p\EACEA.A7\Youth\04_Reports\a_EU_Youth_Reports\2018\03_graph\6_F_going_abroad_gender.jpg" TargetMode="External"/><Relationship Id="rId90" Type="http://schemas.openxmlformats.org/officeDocument/2006/relationships/header" Target="header11.xml"/><Relationship Id="rId95" Type="http://schemas.openxmlformats.org/officeDocument/2006/relationships/fontTable" Target="fontTable.xml"/><Relationship Id="rId19" Type="http://schemas.openxmlformats.org/officeDocument/2006/relationships/image" Target="file:///\\s-eacea-fs03-p\EACEA.A7\Youth\04_Reports\a_EU_Youth_Reports\2018\03_graph\5_B_Interest_in_politics_age_groups.jpg" TargetMode="External"/><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file:///\\s-eacea-fs03-p\EACEA.A7\Youth\04_Reports\a_EU_Youth_Reports\2018\03_graph\7_E_voting.jpg" TargetMode="External"/><Relationship Id="rId35" Type="http://schemas.openxmlformats.org/officeDocument/2006/relationships/image" Target="media/image13.emf"/><Relationship Id="rId43" Type="http://schemas.openxmlformats.org/officeDocument/2006/relationships/image" Target="media/image18.jpeg"/><Relationship Id="rId48" Type="http://schemas.openxmlformats.org/officeDocument/2006/relationships/image" Target="file:///\\s-eacea-fs03-p\EACEA.A7\Youth\04_Reports\a_EU_Youth_Reports\2018\03_graph\5_J_internet_interactions.jpg" TargetMode="External"/><Relationship Id="rId56" Type="http://schemas.openxmlformats.org/officeDocument/2006/relationships/header" Target="header5.xml"/><Relationship Id="rId64" Type="http://schemas.openxmlformats.org/officeDocument/2006/relationships/footer" Target="footer8.xml"/><Relationship Id="rId69" Type="http://schemas.openxmlformats.org/officeDocument/2006/relationships/image" Target="media/image25.jpeg"/><Relationship Id="rId77"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image" Target="file:///\\s-eacea-fs03-p\EACEA.A7\Youth\04_Reports\a_EU_Youth_Reports\2018\03_graph\6_B_participation_voluntary_age_groups.jpg" TargetMode="External"/><Relationship Id="rId80" Type="http://schemas.openxmlformats.org/officeDocument/2006/relationships/image" Target="file:///\\s-eacea-fs03-p\EACEA.A7\Youth\04_Reports\a_EU_Youth_Reports\2018\03_graph\6_E_aim_voluntary_activity.jpg" TargetMode="External"/><Relationship Id="rId85" Type="http://schemas.openxmlformats.org/officeDocument/2006/relationships/image" Target="media/image33.jpeg"/><Relationship Id="rId93" Type="http://schemas.openxmlformats.org/officeDocument/2006/relationships/header" Target="header1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file:///\\s-eacea-fs03-p\EACEA.A7\Youth\04_Reports\a_EU_Youth_Reports\2018\03_graph\5_A_Interest_in_politics.jpg" TargetMode="External"/><Relationship Id="rId25" Type="http://schemas.openxmlformats.org/officeDocument/2006/relationships/image" Target="media/image7.png"/><Relationship Id="rId33" Type="http://schemas.openxmlformats.org/officeDocument/2006/relationships/image" Target="media/image12.emf"/><Relationship Id="rId38" Type="http://schemas.openxmlformats.org/officeDocument/2006/relationships/image" Target="media/image15.emf"/><Relationship Id="rId46" Type="http://schemas.openxmlformats.org/officeDocument/2006/relationships/image" Target="file:///\\s-eacea-fs03-p\EACEA.A7\Youth\04_Reports\a_EU_Youth_Reports\2018\03_graph\7_I_organisations_local_community.jpg" TargetMode="External"/><Relationship Id="rId59" Type="http://schemas.openxmlformats.org/officeDocument/2006/relationships/header" Target="header6.xml"/><Relationship Id="rId67" Type="http://schemas.openxmlformats.org/officeDocument/2006/relationships/image" Target="media/image24.jpeg"/><Relationship Id="rId20" Type="http://schemas.openxmlformats.org/officeDocument/2006/relationships/image" Target="media/image4.jpeg"/><Relationship Id="rId41" Type="http://schemas.openxmlformats.org/officeDocument/2006/relationships/image" Target="media/image17.jpeg"/><Relationship Id="rId54" Type="http://schemas.openxmlformats.org/officeDocument/2006/relationships/image" Target="file:///\\s-eacea-fs03-p\EACEA.A7\Youth\04_Reports\a_EU_Youth_Reports\2018\03_graph\5_K_posting_opinions_gender.jpg" TargetMode="External"/><Relationship Id="rId62" Type="http://schemas.openxmlformats.org/officeDocument/2006/relationships/header" Target="header8.xml"/><Relationship Id="rId70" Type="http://schemas.openxmlformats.org/officeDocument/2006/relationships/image" Target="file:///\\s-eacea-fs03-p\EACEA.A7\Youth\04_Reports\a_EU_Youth_Reports\2018\03_graph\6_A_participation_voluntary_activities.jpg" TargetMode="External"/><Relationship Id="rId75" Type="http://schemas.openxmlformats.org/officeDocument/2006/relationships/image" Target="media/image28.jpeg"/><Relationship Id="rId83" Type="http://schemas.openxmlformats.org/officeDocument/2006/relationships/image" Target="media/image32.jpeg"/><Relationship Id="rId88" Type="http://schemas.openxmlformats.org/officeDocument/2006/relationships/image" Target="file:///\\s-eacea-fs03-p\EACEA.A7\Youth\04_Reports\a_EU_Youth_Reports\2018\03_graph\6_G_certificate.jpg" TargetMode="External"/><Relationship Id="rId91" Type="http://schemas.openxmlformats.org/officeDocument/2006/relationships/footer" Target="footer10.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file:///\\s-eacea-fs03-p\EACEA.A7\Youth\04_Reports\a_EU_Youth_Reports\2018\03_graph\5_D_Priorities.jpg" TargetMode="External"/><Relationship Id="rId28" Type="http://schemas.openxmlformats.org/officeDocument/2006/relationships/image" Target="file:///\\s-eacea-fs03-p\EACEA.A7\Youth\04_Reports\a_EU_Youth_Reports\2018\03_graph\5_E_Voting_gender.jpg" TargetMode="External"/><Relationship Id="rId36" Type="http://schemas.openxmlformats.org/officeDocument/2006/relationships/image" Target="file:///\\s-eacea-fs03-p\EACEA.A7\Youth\04_Reports\a_EU_Youth_Reports\2018\03_graph\5_G_2014.emf" TargetMode="External"/><Relationship Id="rId49" Type="http://schemas.openxmlformats.org/officeDocument/2006/relationships/image" Target="media/image21.jpeg"/><Relationship Id="rId57" Type="http://schemas.openxmlformats.org/officeDocument/2006/relationships/footer" Target="footer4.xml"/><Relationship Id="rId10" Type="http://schemas.openxmlformats.org/officeDocument/2006/relationships/header" Target="header1.xml"/><Relationship Id="rId31" Type="http://schemas.openxmlformats.org/officeDocument/2006/relationships/image" Target="media/image11.jpeg"/><Relationship Id="rId44" Type="http://schemas.openxmlformats.org/officeDocument/2006/relationships/image" Target="file:///\\s-eacea-fs03-p\EACEA.A7\Youth\04_Reports\a_EU_Youth_Reports\2018\03_graph\5_I_organisations_local_community_gender.jpg" TargetMode="External"/><Relationship Id="rId52" Type="http://schemas.openxmlformats.org/officeDocument/2006/relationships/image" Target="file:///\\s-eacea-fs03-p\EACEA.A7\Youth\04_Reports\a_EU_Youth_Reports\2018\03_graph\5_K_posting_opinions.jpg" TargetMode="External"/><Relationship Id="rId60" Type="http://schemas.openxmlformats.org/officeDocument/2006/relationships/footer" Target="footer6.xml"/><Relationship Id="rId65" Type="http://schemas.openxmlformats.org/officeDocument/2006/relationships/header" Target="header9.xml"/><Relationship Id="rId73" Type="http://schemas.openxmlformats.org/officeDocument/2006/relationships/image" Target="media/image27.jpeg"/><Relationship Id="rId78" Type="http://schemas.openxmlformats.org/officeDocument/2006/relationships/image" Target="file:///\\s-eacea-fs03-p\EACEA.A7\Youth\04_Reports\a_EU_Youth_Reports\2018\03_graph\6_D_local_community.jpg" TargetMode="External"/><Relationship Id="rId81" Type="http://schemas.openxmlformats.org/officeDocument/2006/relationships/image" Target="media/image31.jpeg"/><Relationship Id="rId86" Type="http://schemas.openxmlformats.org/officeDocument/2006/relationships/image" Target="file:///\\s-eacea-fs03-p\EACEA.A7\Youth\04_Reports\a_EU_Youth_Reports\2018\03_graph\6_G_certificate_gender.jpg" TargetMode="External"/><Relationship Id="rId94"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emf"/></Relationships>
</file>

<file path=word/_rels/footnotes.xml.rels><?xml version="1.0" encoding="UTF-8" standalone="yes"?>
<Relationships xmlns="http://schemas.openxmlformats.org/package/2006/relationships"><Relationship Id="rId3" Type="http://schemas.openxmlformats.org/officeDocument/2006/relationships/hyperlink" Target="https://eacea.ec.europa.eu/national-policies/en/youthwiki" TargetMode="External"/><Relationship Id="rId2" Type="http://schemas.openxmlformats.org/officeDocument/2006/relationships/hyperlink" Target="http://ec.europa.eu/eurostat/statistics-explained/index.php/Internet_access_and_use_statistics_-_households_and_individuals" TargetMode="External"/><Relationship Id="rId1" Type="http://schemas.openxmlformats.org/officeDocument/2006/relationships/hyperlink" Target="http://europa.eu/youreurope/citizens/residence/elections-abroad/ep-elections/index_e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45E75-68F0-4F2F-B4FD-DACB301F0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6484</Words>
  <Characters>35473</Characters>
  <Application>Microsoft Office Word</Application>
  <DocSecurity>0</DocSecurity>
  <Lines>709</Lines>
  <Paragraphs>241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41716</CharactersWithSpaces>
  <SharedDoc>false</SharedDoc>
  <HLinks>
    <vt:vector size="186" baseType="variant">
      <vt:variant>
        <vt:i4>786433</vt:i4>
      </vt:variant>
      <vt:variant>
        <vt:i4>6</vt:i4>
      </vt:variant>
      <vt:variant>
        <vt:i4>0</vt:i4>
      </vt:variant>
      <vt:variant>
        <vt:i4>5</vt:i4>
      </vt:variant>
      <vt:variant>
        <vt:lpwstr>https://eacea.ec.europa.eu/national-policies/en/youthwiki</vt:lpwstr>
      </vt:variant>
      <vt:variant>
        <vt:lpwstr/>
      </vt:variant>
      <vt:variant>
        <vt:i4>5439575</vt:i4>
      </vt:variant>
      <vt:variant>
        <vt:i4>3</vt:i4>
      </vt:variant>
      <vt:variant>
        <vt:i4>0</vt:i4>
      </vt:variant>
      <vt:variant>
        <vt:i4>5</vt:i4>
      </vt:variant>
      <vt:variant>
        <vt:lpwstr>http://ec.europa.eu/eurostat/statistics-explained/index.php/Internet_access_and_use_statistics_-_households_and_individuals</vt:lpwstr>
      </vt:variant>
      <vt:variant>
        <vt:lpwstr/>
      </vt:variant>
      <vt:variant>
        <vt:i4>4980770</vt:i4>
      </vt:variant>
      <vt:variant>
        <vt:i4>0</vt:i4>
      </vt:variant>
      <vt:variant>
        <vt:i4>0</vt:i4>
      </vt:variant>
      <vt:variant>
        <vt:i4>5</vt:i4>
      </vt:variant>
      <vt:variant>
        <vt:lpwstr>http://europa.eu/youreurope/citizens/residence/elections-abroad/ep-elections/index_en.htm</vt:lpwstr>
      </vt:variant>
      <vt:variant>
        <vt:lpwstr/>
      </vt:variant>
      <vt:variant>
        <vt:i4>8060984</vt:i4>
      </vt:variant>
      <vt:variant>
        <vt:i4>5188</vt:i4>
      </vt:variant>
      <vt:variant>
        <vt:i4>1026</vt:i4>
      </vt:variant>
      <vt:variant>
        <vt:i4>1</vt:i4>
      </vt:variant>
      <vt:variant>
        <vt:lpwstr>\\s-eacea-fs03-p\EACEA.A7\Youth\04_Reports\a_EU_Youth_Reports\2018\03_graph\5_A_Interest_in_politics.jpg</vt:lpwstr>
      </vt:variant>
      <vt:variant>
        <vt:lpwstr/>
      </vt:variant>
      <vt:variant>
        <vt:i4>5505052</vt:i4>
      </vt:variant>
      <vt:variant>
        <vt:i4>6852</vt:i4>
      </vt:variant>
      <vt:variant>
        <vt:i4>1027</vt:i4>
      </vt:variant>
      <vt:variant>
        <vt:i4>1</vt:i4>
      </vt:variant>
      <vt:variant>
        <vt:lpwstr>\\s-eacea-fs03-p\EACEA.A7\Youth\04_Reports\a_EU_Youth_Reports\2018\03_graph\5_B_Interest_in_politics_age_groups.jpg</vt:lpwstr>
      </vt:variant>
      <vt:variant>
        <vt:lpwstr/>
      </vt:variant>
      <vt:variant>
        <vt:i4>2424921</vt:i4>
      </vt:variant>
      <vt:variant>
        <vt:i4>8236</vt:i4>
      </vt:variant>
      <vt:variant>
        <vt:i4>1028</vt:i4>
      </vt:variant>
      <vt:variant>
        <vt:i4>1</vt:i4>
      </vt:variant>
      <vt:variant>
        <vt:lpwstr>\\s-eacea-fs03-p\EACEA.A7\Youth\04_Reports\a_EU_Youth_Reports\2018\03_graph\5_C_EU_citizenship.jpg</vt:lpwstr>
      </vt:variant>
      <vt:variant>
        <vt:lpwstr/>
      </vt:variant>
      <vt:variant>
        <vt:i4>2424929</vt:i4>
      </vt:variant>
      <vt:variant>
        <vt:i4>10297</vt:i4>
      </vt:variant>
      <vt:variant>
        <vt:i4>1029</vt:i4>
      </vt:variant>
      <vt:variant>
        <vt:i4>1</vt:i4>
      </vt:variant>
      <vt:variant>
        <vt:lpwstr>\\s-eacea-fs03-p\EACEA.A7\Youth\04_Reports\a_EU_Youth_Reports\2018\03_graph\5_D_Priorities.jpg</vt:lpwstr>
      </vt:variant>
      <vt:variant>
        <vt:lpwstr/>
      </vt:variant>
      <vt:variant>
        <vt:i4>2752628</vt:i4>
      </vt:variant>
      <vt:variant>
        <vt:i4>13519</vt:i4>
      </vt:variant>
      <vt:variant>
        <vt:i4>1033</vt:i4>
      </vt:variant>
      <vt:variant>
        <vt:i4>1</vt:i4>
      </vt:variant>
      <vt:variant>
        <vt:lpwstr>\\s-eacea-fs03-p\EACEA.A7\Youth\04_Reports\a_EU_Youth_Reports\2018\03_graph\7_E_voting.jpg</vt:lpwstr>
      </vt:variant>
      <vt:variant>
        <vt:lpwstr/>
      </vt:variant>
      <vt:variant>
        <vt:i4>2031688</vt:i4>
      </vt:variant>
      <vt:variant>
        <vt:i4>15046</vt:i4>
      </vt:variant>
      <vt:variant>
        <vt:i4>1034</vt:i4>
      </vt:variant>
      <vt:variant>
        <vt:i4>1</vt:i4>
      </vt:variant>
      <vt:variant>
        <vt:lpwstr>\\s-eacea-fs03-p\EACEA.A7\Youth\04_Reports\a_EU_Youth_Reports\2018\03_graph\5_F_voting_by_election.jpg</vt:lpwstr>
      </vt:variant>
      <vt:variant>
        <vt:lpwstr/>
      </vt:variant>
      <vt:variant>
        <vt:i4>4980743</vt:i4>
      </vt:variant>
      <vt:variant>
        <vt:i4>17454</vt:i4>
      </vt:variant>
      <vt:variant>
        <vt:i4>1035</vt:i4>
      </vt:variant>
      <vt:variant>
        <vt:i4>1</vt:i4>
      </vt:variant>
      <vt:variant>
        <vt:lpwstr>\\s-eacea-fs03-p\EACEA.A7\Youth\04_Reports\a_EU_Youth_Reports\2018\03_graph\5_G_2009.emf</vt:lpwstr>
      </vt:variant>
      <vt:variant>
        <vt:lpwstr/>
      </vt:variant>
      <vt:variant>
        <vt:i4>4259846</vt:i4>
      </vt:variant>
      <vt:variant>
        <vt:i4>17517</vt:i4>
      </vt:variant>
      <vt:variant>
        <vt:i4>1036</vt:i4>
      </vt:variant>
      <vt:variant>
        <vt:i4>1</vt:i4>
      </vt:variant>
      <vt:variant>
        <vt:lpwstr>\\s-eacea-fs03-p\EACEA.A7\Youth\04_Reports\a_EU_Youth_Reports\2018\03_graph\5_G_2014.emf</vt:lpwstr>
      </vt:variant>
      <vt:variant>
        <vt:lpwstr/>
      </vt:variant>
      <vt:variant>
        <vt:i4>393340</vt:i4>
      </vt:variant>
      <vt:variant>
        <vt:i4>19145</vt:i4>
      </vt:variant>
      <vt:variant>
        <vt:i4>1039</vt:i4>
      </vt:variant>
      <vt:variant>
        <vt:i4>1</vt:i4>
      </vt:variant>
      <vt:variant>
        <vt:lpwstr>\\s-eacea-fs03-p\EACEA.A7\Youth\04_Reports\a_EU_Youth_Reports\2018\03_graph\7_H_political_organisation.jpg</vt:lpwstr>
      </vt:variant>
      <vt:variant>
        <vt:lpwstr/>
      </vt:variant>
      <vt:variant>
        <vt:i4>1179733</vt:i4>
      </vt:variant>
      <vt:variant>
        <vt:i4>21397</vt:i4>
      </vt:variant>
      <vt:variant>
        <vt:i4>1040</vt:i4>
      </vt:variant>
      <vt:variant>
        <vt:i4>1</vt:i4>
      </vt:variant>
      <vt:variant>
        <vt:lpwstr>\\s-eacea-fs03-p\EACEA.A7\Youth\04_Reports\a_EU_Youth_Reports\2018\03_graph\7_I_organisations_local_community.jpg</vt:lpwstr>
      </vt:variant>
      <vt:variant>
        <vt:lpwstr/>
      </vt:variant>
      <vt:variant>
        <vt:i4>131190</vt:i4>
      </vt:variant>
      <vt:variant>
        <vt:i4>23815</vt:i4>
      </vt:variant>
      <vt:variant>
        <vt:i4>1041</vt:i4>
      </vt:variant>
      <vt:variant>
        <vt:i4>1</vt:i4>
      </vt:variant>
      <vt:variant>
        <vt:lpwstr>\\s-eacea-fs03-p\EACEA.A7\Youth\04_Reports\a_EU_Youth_Reports\2018\03_graph\5_J_internet_interactions.jpg</vt:lpwstr>
      </vt:variant>
      <vt:variant>
        <vt:lpwstr/>
      </vt:variant>
      <vt:variant>
        <vt:i4>8192046</vt:i4>
      </vt:variant>
      <vt:variant>
        <vt:i4>23934</vt:i4>
      </vt:variant>
      <vt:variant>
        <vt:i4>1042</vt:i4>
      </vt:variant>
      <vt:variant>
        <vt:i4>1</vt:i4>
      </vt:variant>
      <vt:variant>
        <vt:lpwstr>\\s-eacea-fs03-p\EACEA.A7\Youth\04_Reports\a_EU_Youth_Reports\2018\03_graph\5_J_internet_interactions_gender.jpg</vt:lpwstr>
      </vt:variant>
      <vt:variant>
        <vt:lpwstr/>
      </vt:variant>
      <vt:variant>
        <vt:i4>6488088</vt:i4>
      </vt:variant>
      <vt:variant>
        <vt:i4>26280</vt:i4>
      </vt:variant>
      <vt:variant>
        <vt:i4>1043</vt:i4>
      </vt:variant>
      <vt:variant>
        <vt:i4>1</vt:i4>
      </vt:variant>
      <vt:variant>
        <vt:lpwstr>\\s-eacea-fs03-p\EACEA.A7\Youth\04_Reports\a_EU_Youth_Reports\2018\03_graph\5_K_posting_opinions.jpg</vt:lpwstr>
      </vt:variant>
      <vt:variant>
        <vt:lpwstr/>
      </vt:variant>
      <vt:variant>
        <vt:i4>6029312</vt:i4>
      </vt:variant>
      <vt:variant>
        <vt:i4>26395</vt:i4>
      </vt:variant>
      <vt:variant>
        <vt:i4>1044</vt:i4>
      </vt:variant>
      <vt:variant>
        <vt:i4>1</vt:i4>
      </vt:variant>
      <vt:variant>
        <vt:lpwstr>\\s-eacea-fs03-p\EACEA.A7\Youth\04_Reports\a_EU_Youth_Reports\2018\03_graph\5_K_posting_opinions_gender.jpg</vt:lpwstr>
      </vt:variant>
      <vt:variant>
        <vt:lpwstr/>
      </vt:variant>
      <vt:variant>
        <vt:i4>3342439</vt:i4>
      </vt:variant>
      <vt:variant>
        <vt:i4>32166</vt:i4>
      </vt:variant>
      <vt:variant>
        <vt:i4>1045</vt:i4>
      </vt:variant>
      <vt:variant>
        <vt:i4>1</vt:i4>
      </vt:variant>
      <vt:variant>
        <vt:lpwstr>\\s-eacea-fs03-p\EACEA.A7\Youth\04_Reports\a_EU_Youth_Reports\2018\03_graph\6_A_participation_voluntary_activities.jpg</vt:lpwstr>
      </vt:variant>
      <vt:variant>
        <vt:lpwstr/>
      </vt:variant>
      <vt:variant>
        <vt:i4>393322</vt:i4>
      </vt:variant>
      <vt:variant>
        <vt:i4>34264</vt:i4>
      </vt:variant>
      <vt:variant>
        <vt:i4>1046</vt:i4>
      </vt:variant>
      <vt:variant>
        <vt:i4>1</vt:i4>
      </vt:variant>
      <vt:variant>
        <vt:lpwstr>\\s-eacea-fs03-p\EACEA.A7\Youth\04_Reports\a_EU_Youth_Reports\2018\03_graph\6_B_participation_voluntary_age_groups.jpg</vt:lpwstr>
      </vt:variant>
      <vt:variant>
        <vt:lpwstr/>
      </vt:variant>
      <vt:variant>
        <vt:i4>3932258</vt:i4>
      </vt:variant>
      <vt:variant>
        <vt:i4>35526</vt:i4>
      </vt:variant>
      <vt:variant>
        <vt:i4>1047</vt:i4>
      </vt:variant>
      <vt:variant>
        <vt:i4>1</vt:i4>
      </vt:variant>
      <vt:variant>
        <vt:lpwstr>\\s-eacea-fs03-p\EACEA.A7\Youth\04_Reports\a_EU_Youth_Reports\2018\03_graph\6_C_solidarity.jpg</vt:lpwstr>
      </vt:variant>
      <vt:variant>
        <vt:lpwstr/>
      </vt:variant>
      <vt:variant>
        <vt:i4>5308452</vt:i4>
      </vt:variant>
      <vt:variant>
        <vt:i4>37144</vt:i4>
      </vt:variant>
      <vt:variant>
        <vt:i4>1048</vt:i4>
      </vt:variant>
      <vt:variant>
        <vt:i4>1</vt:i4>
      </vt:variant>
      <vt:variant>
        <vt:lpwstr>\\s-eacea-fs03-p\EACEA.A7\Youth\04_Reports\a_EU_Youth_Reports\2018\03_graph\6_D_local_community.jpg</vt:lpwstr>
      </vt:variant>
      <vt:variant>
        <vt:lpwstr/>
      </vt:variant>
      <vt:variant>
        <vt:i4>2359406</vt:i4>
      </vt:variant>
      <vt:variant>
        <vt:i4>37887</vt:i4>
      </vt:variant>
      <vt:variant>
        <vt:i4>1049</vt:i4>
      </vt:variant>
      <vt:variant>
        <vt:i4>1</vt:i4>
      </vt:variant>
      <vt:variant>
        <vt:lpwstr>\\s-eacea-fs03-p\EACEA.A7\Youth\04_Reports\a_EU_Youth_Reports\2018\03_graph\6_E_aim_voluntary_activity.jpg</vt:lpwstr>
      </vt:variant>
      <vt:variant>
        <vt:lpwstr/>
      </vt:variant>
      <vt:variant>
        <vt:i4>8126465</vt:i4>
      </vt:variant>
      <vt:variant>
        <vt:i4>38640</vt:i4>
      </vt:variant>
      <vt:variant>
        <vt:i4>1050</vt:i4>
      </vt:variant>
      <vt:variant>
        <vt:i4>1</vt:i4>
      </vt:variant>
      <vt:variant>
        <vt:lpwstr>\\s-eacea-fs03-p\EACEA.A7\Youth\04_Reports\a_EU_Youth_Reports\2018\03_graph\6_F_going_abroad.jpg</vt:lpwstr>
      </vt:variant>
      <vt:variant>
        <vt:lpwstr/>
      </vt:variant>
      <vt:variant>
        <vt:i4>7864378</vt:i4>
      </vt:variant>
      <vt:variant>
        <vt:i4>42956</vt:i4>
      </vt:variant>
      <vt:variant>
        <vt:i4>1051</vt:i4>
      </vt:variant>
      <vt:variant>
        <vt:i4>1</vt:i4>
      </vt:variant>
      <vt:variant>
        <vt:lpwstr>\\s-eacea-fs03-p\EACEA.A7\Youth\04_Reports\a_EU_Youth_Reports\2018\03_graph\6_G_certificate.jpg</vt:lpwstr>
      </vt:variant>
      <vt:variant>
        <vt:lpwstr/>
      </vt:variant>
      <vt:variant>
        <vt:i4>1376366</vt:i4>
      </vt:variant>
      <vt:variant>
        <vt:i4>48480</vt:i4>
      </vt:variant>
      <vt:variant>
        <vt:i4>1052</vt:i4>
      </vt:variant>
      <vt:variant>
        <vt:i4>1</vt:i4>
      </vt:variant>
      <vt:variant>
        <vt:lpwstr>\\s-eacea-fs03-p\EACEA.A7\Youth\04_Reports\a_EU_Youth_Reports\2018\03_graph\5_E_Voting_gender.jpg</vt:lpwstr>
      </vt:variant>
      <vt:variant>
        <vt:lpwstr/>
      </vt:variant>
      <vt:variant>
        <vt:i4>3735654</vt:i4>
      </vt:variant>
      <vt:variant>
        <vt:i4>48582</vt:i4>
      </vt:variant>
      <vt:variant>
        <vt:i4>1053</vt:i4>
      </vt:variant>
      <vt:variant>
        <vt:i4>1</vt:i4>
      </vt:variant>
      <vt:variant>
        <vt:lpwstr>\\s-eacea-fs03-p\EACEA.A7\Youth\04_Reports\a_EU_Youth_Reports\2018\03_graph\5_H_political_organisation_gender.jpg</vt:lpwstr>
      </vt:variant>
      <vt:variant>
        <vt:lpwstr/>
      </vt:variant>
      <vt:variant>
        <vt:i4>7143439</vt:i4>
      </vt:variant>
      <vt:variant>
        <vt:i4>48691</vt:i4>
      </vt:variant>
      <vt:variant>
        <vt:i4>1054</vt:i4>
      </vt:variant>
      <vt:variant>
        <vt:i4>1</vt:i4>
      </vt:variant>
      <vt:variant>
        <vt:lpwstr>\\s-eacea-fs03-p\EACEA.A7\Youth\04_Reports\a_EU_Youth_Reports\2018\03_graph\5_I_organisations_local_community_gender.jpg</vt:lpwstr>
      </vt:variant>
      <vt:variant>
        <vt:lpwstr/>
      </vt:variant>
      <vt:variant>
        <vt:i4>3997791</vt:i4>
      </vt:variant>
      <vt:variant>
        <vt:i4>48789</vt:i4>
      </vt:variant>
      <vt:variant>
        <vt:i4>1055</vt:i4>
      </vt:variant>
      <vt:variant>
        <vt:i4>1</vt:i4>
      </vt:variant>
      <vt:variant>
        <vt:lpwstr>\\s-eacea-fs03-p\EACEA.A7\Youth\04_Reports\a_EU_Youth_Reports\2018\03_graph\6_A_participation_voluntary_gender_EU28.jpg</vt:lpwstr>
      </vt:variant>
      <vt:variant>
        <vt:lpwstr/>
      </vt:variant>
      <vt:variant>
        <vt:i4>3014779</vt:i4>
      </vt:variant>
      <vt:variant>
        <vt:i4>48874</vt:i4>
      </vt:variant>
      <vt:variant>
        <vt:i4>1056</vt:i4>
      </vt:variant>
      <vt:variant>
        <vt:i4>1</vt:i4>
      </vt:variant>
      <vt:variant>
        <vt:lpwstr>\\s-eacea-fs03-p\EACEA.A7\Youth\04_Reports\a_EU_Youth_Reports\2018\03_graph\6_C_local_community_gender.jpg</vt:lpwstr>
      </vt:variant>
      <vt:variant>
        <vt:lpwstr/>
      </vt:variant>
      <vt:variant>
        <vt:i4>4390937</vt:i4>
      </vt:variant>
      <vt:variant>
        <vt:i4>48956</vt:i4>
      </vt:variant>
      <vt:variant>
        <vt:i4>1057</vt:i4>
      </vt:variant>
      <vt:variant>
        <vt:i4>1</vt:i4>
      </vt:variant>
      <vt:variant>
        <vt:lpwstr>\\s-eacea-fs03-p\EACEA.A7\Youth\04_Reports\a_EU_Youth_Reports\2018\03_graph\6_F_going_abroad_gender.jpg</vt:lpwstr>
      </vt:variant>
      <vt:variant>
        <vt:lpwstr/>
      </vt:variant>
      <vt:variant>
        <vt:i4>458850</vt:i4>
      </vt:variant>
      <vt:variant>
        <vt:i4>49047</vt:i4>
      </vt:variant>
      <vt:variant>
        <vt:i4>1058</vt:i4>
      </vt:variant>
      <vt:variant>
        <vt:i4>1</vt:i4>
      </vt:variant>
      <vt:variant>
        <vt:lpwstr>\\s-eacea-fs03-p\EACEA.A7\Youth\04_Reports\a_EU_Youth_Reports\2018\03_graph\6_G_certificate_gender.jpg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17</cp:revision>
  <cp:lastPrinted>2018-01-11T13:42:00Z</cp:lastPrinted>
  <dcterms:created xsi:type="dcterms:W3CDTF">2018-04-27T12:39:00Z</dcterms:created>
  <dcterms:modified xsi:type="dcterms:W3CDTF">2018-05-18T07:28:00Z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5</vt:lpwstr>
  </property>
  <property fmtid="{D5CDD505-2E9C-101B-9397-08002B2CF9AE}" pid="4" name="Total parts">
    <vt:lpwstr>7</vt:lpwstr>
  </property>
  <property fmtid="{D5CDD505-2E9C-101B-9397-08002B2CF9AE}" pid="5" name="DocStatus">
    <vt:lpwstr>Green</vt:lpwstr>
  </property>
</Properties>
</file>