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80A03EFE-2C71-4945-896C-E057970B724B" style="width:450.75pt;height:425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Законодателна финансова обосновка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РАМКА НА ПРЕДЛОЖЕНИЕТО/ИНИЦИАТИВАТА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1.1.</w:t>
      </w:r>
      <w:r>
        <w:rPr>
          <w:noProof/>
        </w:rPr>
        <w:tab/>
      </w:r>
      <w:r>
        <w:rPr>
          <w:b w:val="0"/>
          <w:noProof/>
        </w:rPr>
        <w:t xml:space="preserve">Наименование на предложението/инициативата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1.2.</w:t>
      </w:r>
      <w:r>
        <w:rPr>
          <w:noProof/>
        </w:rPr>
        <w:tab/>
      </w:r>
      <w:r>
        <w:rPr>
          <w:b w:val="0"/>
          <w:noProof/>
        </w:rPr>
        <w:t>Засегнати области на политиката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1.3.</w:t>
      </w:r>
      <w:r>
        <w:rPr>
          <w:noProof/>
        </w:rPr>
        <w:tab/>
      </w:r>
      <w:r>
        <w:rPr>
          <w:b w:val="0"/>
          <w:noProof/>
        </w:rPr>
        <w:t xml:space="preserve">Естество на предложението/инициативата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1.4.</w:t>
      </w:r>
      <w:r>
        <w:rPr>
          <w:noProof/>
        </w:rPr>
        <w:tab/>
      </w:r>
      <w:r>
        <w:rPr>
          <w:b w:val="0"/>
          <w:noProof/>
        </w:rPr>
        <w:t xml:space="preserve">Цели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1.5.</w:t>
      </w:r>
      <w:r>
        <w:rPr>
          <w:noProof/>
        </w:rPr>
        <w:tab/>
      </w:r>
      <w:r>
        <w:rPr>
          <w:b w:val="0"/>
          <w:noProof/>
        </w:rPr>
        <w:t xml:space="preserve">Мотиви за предложението/инициативата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1.6.</w:t>
      </w:r>
      <w:r>
        <w:rPr>
          <w:noProof/>
        </w:rPr>
        <w:tab/>
      </w:r>
      <w:r>
        <w:rPr>
          <w:b w:val="0"/>
          <w:noProof/>
        </w:rPr>
        <w:t xml:space="preserve">Срок на действие и финансово отражение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1.7.</w:t>
      </w:r>
      <w:r>
        <w:rPr>
          <w:noProof/>
        </w:rPr>
        <w:tab/>
      </w:r>
      <w:r>
        <w:rPr>
          <w:b w:val="0"/>
          <w:noProof/>
        </w:rPr>
        <w:t xml:space="preserve">Планирани методи на управление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МЕРКИ ЗА УПРАВЛЕНИЕ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2.1.</w:t>
      </w:r>
      <w:r>
        <w:rPr>
          <w:noProof/>
        </w:rPr>
        <w:tab/>
      </w:r>
      <w:r>
        <w:rPr>
          <w:b w:val="0"/>
          <w:noProof/>
        </w:rPr>
        <w:t xml:space="preserve">Правила за мониторинг и докладване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2.2.</w:t>
      </w:r>
      <w:r>
        <w:rPr>
          <w:noProof/>
        </w:rPr>
        <w:tab/>
      </w:r>
      <w:r>
        <w:rPr>
          <w:b w:val="0"/>
          <w:noProof/>
        </w:rPr>
        <w:t xml:space="preserve">Система за управление и контрол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2.3.</w:t>
      </w:r>
      <w:r>
        <w:rPr>
          <w:noProof/>
        </w:rPr>
        <w:tab/>
      </w:r>
      <w:r>
        <w:rPr>
          <w:b w:val="0"/>
          <w:noProof/>
        </w:rPr>
        <w:t xml:space="preserve">Мерки за предотвратяване на измами и нередности 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ОЧАКВАНО ФИНАНСОВО ОТРАЖЕНИЕ НА ПРЕДЛОЖЕНИЕТО/ИНИЦИАТИВАТА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3.1.</w:t>
      </w:r>
      <w:r>
        <w:rPr>
          <w:noProof/>
        </w:rPr>
        <w:tab/>
      </w:r>
      <w:r>
        <w:rPr>
          <w:b w:val="0"/>
          <w:noProof/>
        </w:rPr>
        <w:t xml:space="preserve">Съответни функции от многогодишната финансова рамка и разходни бюджетни редове </w:t>
      </w:r>
    </w:p>
    <w:p>
      <w:pPr>
        <w:pStyle w:val="ManualHeading2"/>
        <w:rPr>
          <w:noProof/>
        </w:rPr>
      </w:pPr>
      <w:r>
        <w:rPr>
          <w:noProof/>
        </w:rPr>
        <w:tab/>
      </w:r>
      <w:r>
        <w:rPr>
          <w:b w:val="0"/>
          <w:noProof/>
        </w:rPr>
        <w:t>3.2.</w:t>
      </w:r>
      <w:r>
        <w:rPr>
          <w:noProof/>
        </w:rPr>
        <w:tab/>
      </w:r>
      <w:r>
        <w:rPr>
          <w:b w:val="0"/>
          <w:noProof/>
        </w:rPr>
        <w:t>Очаквано отражение върху разходите</w:t>
      </w:r>
      <w:r>
        <w:rPr>
          <w:noProof/>
        </w:rPr>
        <w:t xml:space="preserve"> </w:t>
      </w:r>
    </w:p>
    <w:p>
      <w:pPr>
        <w:pStyle w:val="ManualHeading3"/>
        <w:rPr>
          <w:noProof/>
        </w:rPr>
      </w:pPr>
      <w:r>
        <w:rPr>
          <w:noProof/>
        </w:rPr>
        <w:tab/>
        <w:t>3.2.1.</w:t>
      </w:r>
      <w:r>
        <w:rPr>
          <w:noProof/>
        </w:rPr>
        <w:tab/>
        <w:t xml:space="preserve">Обобщение на очакваното отражение върху разходите </w:t>
      </w:r>
    </w:p>
    <w:p>
      <w:pPr>
        <w:pStyle w:val="ManualHeading3"/>
        <w:rPr>
          <w:noProof/>
        </w:rPr>
      </w:pPr>
      <w:r>
        <w:rPr>
          <w:noProof/>
        </w:rPr>
        <w:tab/>
        <w:t>3.2.2.</w:t>
      </w:r>
      <w:r>
        <w:rPr>
          <w:noProof/>
        </w:rPr>
        <w:tab/>
        <w:t xml:space="preserve">Очаквано въздействие върху бюджетните кредити за оперативни разходи </w:t>
      </w:r>
    </w:p>
    <w:p>
      <w:pPr>
        <w:pStyle w:val="ManualHeading3"/>
        <w:rPr>
          <w:noProof/>
        </w:rPr>
      </w:pPr>
      <w:r>
        <w:rPr>
          <w:noProof/>
        </w:rPr>
        <w:tab/>
        <w:t>3.2.3.</w:t>
      </w:r>
      <w:r>
        <w:rPr>
          <w:noProof/>
        </w:rPr>
        <w:tab/>
        <w:t>Очаквано въздействие върху бюджетните кредити за административни разходи</w:t>
      </w:r>
    </w:p>
    <w:p>
      <w:pPr>
        <w:pStyle w:val="ManualHeading3"/>
        <w:rPr>
          <w:noProof/>
        </w:rPr>
      </w:pPr>
      <w:r>
        <w:rPr>
          <w:noProof/>
        </w:rPr>
        <w:tab/>
        <w:t>3.2.4.</w:t>
      </w:r>
      <w:r>
        <w:rPr>
          <w:noProof/>
        </w:rPr>
        <w:tab/>
        <w:t>Съвместимост с настоящата многогодишна финансова рамка</w:t>
      </w:r>
    </w:p>
    <w:p>
      <w:pPr>
        <w:pStyle w:val="ManualHeading3"/>
        <w:rPr>
          <w:noProof/>
        </w:rPr>
      </w:pPr>
      <w:r>
        <w:rPr>
          <w:noProof/>
        </w:rPr>
        <w:tab/>
        <w:t>3.2.5.</w:t>
      </w:r>
      <w:r>
        <w:rPr>
          <w:noProof/>
        </w:rPr>
        <w:tab/>
        <w:t xml:space="preserve">Участие на трети страни във финансирането </w:t>
      </w:r>
    </w:p>
    <w:p>
      <w:pPr>
        <w:pStyle w:val="ManualHeading2"/>
        <w:jc w:val="left"/>
        <w:rPr>
          <w:b w:val="0"/>
          <w:noProof/>
        </w:rPr>
        <w:sectPr>
          <w:footerReference w:type="default" r:id="rId15"/>
          <w:footerReference w:type="first" r:id="rId16"/>
          <w:pgSz w:w="11907" w:h="16840" w:code="9"/>
          <w:pgMar w:top="1134" w:right="1418" w:bottom="1134" w:left="1418" w:header="709" w:footer="709" w:gutter="0"/>
          <w:pgNumType w:start="1"/>
          <w:cols w:space="720"/>
          <w:docGrid w:linePitch="360"/>
        </w:sectPr>
      </w:pPr>
      <w:r>
        <w:rPr>
          <w:noProof/>
        </w:rPr>
        <w:tab/>
      </w:r>
      <w:r>
        <w:rPr>
          <w:b w:val="0"/>
          <w:noProof/>
        </w:rPr>
        <w:t>3.3.</w:t>
      </w:r>
      <w:r>
        <w:rPr>
          <w:noProof/>
        </w:rPr>
        <w:tab/>
      </w:r>
      <w:r>
        <w:rPr>
          <w:b w:val="0"/>
          <w:noProof/>
        </w:rPr>
        <w:t>Очаквано отражение върху приходите</w:t>
      </w: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lastRenderedPageBreak/>
        <w:t>ЗАКОНОДАТЕЛНА ФИНАНСОВА ОБОСНОВКА</w:t>
      </w:r>
    </w:p>
    <w:p>
      <w:pPr>
        <w:pStyle w:val="Heading1"/>
        <w:numPr>
          <w:ilvl w:val="0"/>
          <w:numId w:val="13"/>
        </w:numPr>
        <w:rPr>
          <w:noProof/>
        </w:rPr>
      </w:pPr>
      <w:r>
        <w:rPr>
          <w:noProof/>
        </w:rPr>
        <w:t xml:space="preserve">РАМКА НА ПРЕДЛОЖЕНИЕТО/ИНИЦИАТИВАТА </w:t>
      </w:r>
    </w:p>
    <w:p>
      <w:pPr>
        <w:pStyle w:val="Heading2"/>
        <w:rPr>
          <w:noProof/>
        </w:rPr>
      </w:pPr>
      <w:r>
        <w:rPr>
          <w:noProof/>
        </w:rPr>
        <w:t xml:space="preserve">Наименование на предложението/инициативата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3"/>
          <w:szCs w:val="23"/>
        </w:rPr>
      </w:pPr>
      <w:r>
        <w:rPr>
          <w:noProof/>
          <w:sz w:val="23"/>
        </w:rPr>
        <w:t>Предложение за регламент на Европейския парламент и на Съвета относно реализацията и функционирането на домейна от първо ниво .eu и за отмяна на Регламент (ЕО) № 733/2002 и Регламент (ЕО) № 874/2004 на Комисията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Cs w:val="24"/>
        </w:rPr>
      </w:pPr>
      <w:r>
        <w:rPr>
          <w:noProof/>
        </w:rPr>
        <w:t>Засегнати области на политиката</w:t>
      </w:r>
      <w:r>
        <w:rPr>
          <w:i/>
          <w:noProof/>
        </w:rPr>
        <w:t xml:space="preserve">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3"/>
          <w:szCs w:val="23"/>
        </w:rPr>
      </w:pPr>
      <w:r>
        <w:rPr>
          <w:noProof/>
          <w:sz w:val="23"/>
        </w:rPr>
        <w:t xml:space="preserve">Област на политика: 09 — Комуникационни мрежи, съдържание и технологии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  <w:sz w:val="23"/>
        </w:rPr>
        <w:t>Дейност: 09.02 цифров единен пазар</w:t>
      </w:r>
    </w:p>
    <w:p>
      <w:pPr>
        <w:pStyle w:val="Heading2"/>
        <w:rPr>
          <w:bCs w:val="0"/>
          <w:noProof/>
          <w:szCs w:val="24"/>
        </w:rPr>
      </w:pPr>
      <w:r>
        <w:rPr>
          <w:noProof/>
        </w:rPr>
        <w:t xml:space="preserve">Естество на предложението/инициативата </w:t>
      </w:r>
    </w:p>
    <w:p>
      <w:pPr>
        <w:pStyle w:val="Text1"/>
        <w:rPr>
          <w:b/>
          <w:noProof/>
          <w:sz w:val="22"/>
        </w:rPr>
      </w:pPr>
      <w:r>
        <w:rPr>
          <w:noProof/>
          <w:sz w:val="22"/>
        </w:rPr>
        <w:sym w:font="Wingdings" w:char="F0A8"/>
      </w:r>
      <w:r>
        <w:rPr>
          <w:noProof/>
        </w:rPr>
        <w:t xml:space="preserve"> Предложението/инициативата е във връзка с </w:t>
      </w:r>
      <w:r>
        <w:rPr>
          <w:b/>
          <w:noProof/>
        </w:rPr>
        <w:t>нова дейност</w:t>
      </w:r>
      <w:r>
        <w:rPr>
          <w:b/>
          <w:noProof/>
          <w:sz w:val="22"/>
        </w:rPr>
        <w:t xml:space="preserve"> </w:t>
      </w:r>
    </w:p>
    <w:p>
      <w:pPr>
        <w:pStyle w:val="Text1"/>
        <w:rPr>
          <w:noProof/>
          <w:sz w:val="22"/>
        </w:rPr>
      </w:pPr>
      <w:r>
        <w:rPr>
          <w:noProof/>
          <w:sz w:val="22"/>
        </w:rPr>
        <w:sym w:font="Wingdings" w:char="F0A8"/>
      </w:r>
      <w:r>
        <w:rPr>
          <w:noProof/>
        </w:rPr>
        <w:t xml:space="preserve"> Предложението/инициативата е във връзка с </w:t>
      </w:r>
      <w:r>
        <w:rPr>
          <w:b/>
          <w:noProof/>
        </w:rPr>
        <w:t>нова дейност след пилотен проект/подготвителна дейност</w:t>
      </w:r>
      <w:r>
        <w:rPr>
          <w:rStyle w:val="FootnoteReference"/>
          <w:b/>
          <w:noProof/>
        </w:rPr>
        <w:footnoteReference w:id="1"/>
      </w:r>
      <w:r>
        <w:rPr>
          <w:noProof/>
          <w:sz w:val="22"/>
        </w:rPr>
        <w:t xml:space="preserve"> </w:t>
      </w:r>
    </w:p>
    <w:p>
      <w:pPr>
        <w:pStyle w:val="Text1"/>
        <w:rPr>
          <w:noProof/>
          <w:sz w:val="22"/>
        </w:rPr>
      </w:pPr>
      <w:r>
        <w:rPr>
          <w:noProof/>
          <w:sz w:val="22"/>
        </w:rPr>
        <w:sym w:font="Wingdings" w:char="F0FD"/>
      </w:r>
      <w:r>
        <w:rPr>
          <w:noProof/>
        </w:rPr>
        <w:t xml:space="preserve"> Предложението/инициативата е във връзка с </w:t>
      </w:r>
      <w:r>
        <w:rPr>
          <w:b/>
          <w:noProof/>
        </w:rPr>
        <w:t>продължаване на съществуваща дейност</w:t>
      </w:r>
      <w:r>
        <w:rPr>
          <w:noProof/>
        </w:rPr>
        <w:t xml:space="preserve"> [</w:t>
      </w:r>
      <w:r>
        <w:rPr>
          <w:i/>
          <w:noProof/>
          <w:sz w:val="22"/>
        </w:rPr>
        <w:t>инициатива по REFIT</w:t>
      </w:r>
      <w:r>
        <w:rPr>
          <w:noProof/>
        </w:rPr>
        <w:t>]</w:t>
      </w:r>
    </w:p>
    <w:p>
      <w:pPr>
        <w:pStyle w:val="Text1"/>
        <w:rPr>
          <w:noProof/>
        </w:rPr>
      </w:pPr>
      <w:r>
        <w:rPr>
          <w:noProof/>
          <w:sz w:val="22"/>
        </w:rPr>
        <w:sym w:font="Wingdings" w:char="F0A8"/>
      </w:r>
      <w:r>
        <w:rPr>
          <w:noProof/>
        </w:rPr>
        <w:t xml:space="preserve"> Предложението/инициативата е във връзка с </w:t>
      </w:r>
      <w:r>
        <w:rPr>
          <w:b/>
          <w:noProof/>
        </w:rPr>
        <w:t>дейност, пренасочена към нова дейност</w:t>
      </w:r>
      <w:r>
        <w:rPr>
          <w:noProof/>
        </w:rPr>
        <w:t xml:space="preserve"> </w:t>
      </w:r>
    </w:p>
    <w:p>
      <w:pPr>
        <w:pStyle w:val="Heading2"/>
        <w:rPr>
          <w:bCs w:val="0"/>
          <w:noProof/>
          <w:szCs w:val="24"/>
        </w:rPr>
      </w:pPr>
      <w:r>
        <w:rPr>
          <w:noProof/>
        </w:rPr>
        <w:t>Цели</w:t>
      </w:r>
    </w:p>
    <w:p>
      <w:pPr>
        <w:pStyle w:val="Heading3"/>
        <w:rPr>
          <w:noProof/>
        </w:rPr>
      </w:pPr>
      <w:r>
        <w:rPr>
          <w:noProof/>
        </w:rPr>
        <w:t xml:space="preserve">Многогодишни стратегически цели на Комисията, за чието изпълнение е предназначено предложението/инициативата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Общата цел на инициативата е да се гарантира стабилността и устойчивостта на домейна от първо ниво .eu, за да може той по-добре да изпълни определената си мисия: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да насърчава трансграничните дейности онлайн в Европа и да подпомага цифровия единен пазар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да подпомогне/изгради европейска идентичност онлайн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>
      <w:pPr>
        <w:pStyle w:val="Heading3"/>
        <w:rPr>
          <w:bCs w:val="0"/>
          <w:noProof/>
          <w:szCs w:val="24"/>
        </w:rPr>
      </w:pPr>
      <w:r>
        <w:rPr>
          <w:noProof/>
        </w:rPr>
        <w:t xml:space="preserve">Конкретни цели и конкретна цел № [ ]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u w:val="single"/>
        </w:rPr>
      </w:pPr>
      <w:r>
        <w:rPr>
          <w:noProof/>
          <w:u w:val="single"/>
        </w:rPr>
        <w:t>Конкретни цели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Конкретна цел № 1: да се премахнат остарелите правни/административни изисквания.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Конкретна цел № 2: да се гарантира, че правилата са съобразени с бъдещето и дават възможност домейнът .eu да се приспособи към бързото развитие на пазара на домейни от първо ниво и динамичната цифрова среда, като същевременно включват и насърчават приоритетите на ЕС в интернет средата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lastRenderedPageBreak/>
        <w:t>Конкретна цел № 3: да се осигури структура на управление, която отразява най-добрите технически и управленски практики и същевременно служи на обществения интерес в ЕС.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Конкретна цел № 4: да се популяризира привлекателността на домейна .eu.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</w:rPr>
      </w:pPr>
      <w:r>
        <w:rPr>
          <w:b/>
          <w:noProof/>
        </w:rPr>
        <w:t>В останалата част на документа ще се концентрираме върху конкретна цел № 3.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>
      <w:pPr>
        <w:pStyle w:val="Heading3"/>
        <w:rPr>
          <w:bCs w:val="0"/>
          <w:noProof/>
          <w:szCs w:val="24"/>
        </w:rPr>
      </w:pPr>
      <w:r>
        <w:rPr>
          <w:noProof/>
        </w:rPr>
        <w:br w:type="page"/>
      </w:r>
      <w:r>
        <w:rPr>
          <w:noProof/>
        </w:rPr>
        <w:lastRenderedPageBreak/>
        <w:t>Очаквани резултати и отражение</w:t>
      </w:r>
    </w:p>
    <w:p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>Да се посочи въздействието на предложението/инициативата върху бенефициерите/ целевите групи.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Във връзка с конкретна цел № 3 предложението въвежда отделна рамка за управление: макар че възлагането на ежедневните оперативни дейности на външен оператор ще продължи, предвижда се създаването на отделен орган с консултативна функция с участието на множество заинтересовани страни. Въвеждането на орган с участието на множество заинтересовани страни (многостранен съвет за домейна .eu) на практика ще укрепи и разшири приноса за доброто управление на регистъра на домейна .eu и ще увеличи прозрачността на неговото корпоративно управление.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Ще бъде необходимо многостранният съвет за домейна .eu да получи подходящи ресурси. Разходите се оценяват на около 50 000 EUR годишно (за възстановяване на пътните и дневните разходи на експертите, организиране на заседания, както и разходи във връзка с дейности като изготвянето на външни доклади и проучвания) и ще бъдат поети от Комисията.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>
      <w:pPr>
        <w:pStyle w:val="Heading3"/>
        <w:rPr>
          <w:bCs w:val="0"/>
          <w:noProof/>
          <w:szCs w:val="24"/>
        </w:rPr>
      </w:pPr>
      <w:r>
        <w:rPr>
          <w:noProof/>
        </w:rPr>
        <w:t xml:space="preserve">Показатели за резултатите и за отражението </w:t>
      </w:r>
    </w:p>
    <w:p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>Да се посочат показателите, които позволяват да се проследи изпълнението на предложението/инициативата.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За конкретна цел № 3: Брой и значимост на констатациите от външни одити на регистъра на домейна .eu.; Здравина и устойчивост на техническата инфраструктура; Годишни резултати от изпитванията за уязвимост и проникване; Показатели за дългосрочна финансова устойчивост, включително процент на неизправните длъжници; Брой на оценените рискове, брой на годишните упражнения по плановете за непрекъснатост на дейността, установени отклонения по време на тези упражнения; Срокове за възстановяване при катастрофично събитие; Брой съдебни производства годишно и евентуални финансови разходи по тях.</w:t>
      </w:r>
    </w:p>
    <w:p>
      <w:pPr>
        <w:pStyle w:val="Heading2"/>
        <w:rPr>
          <w:bCs w:val="0"/>
          <w:noProof/>
          <w:szCs w:val="24"/>
        </w:rPr>
      </w:pPr>
      <w:r>
        <w:rPr>
          <w:noProof/>
        </w:rPr>
        <w:t xml:space="preserve">Мотиви за предложението/инициативата </w:t>
      </w:r>
    </w:p>
    <w:p>
      <w:pPr>
        <w:pStyle w:val="Heading3"/>
        <w:rPr>
          <w:noProof/>
        </w:rPr>
      </w:pPr>
      <w:r>
        <w:rPr>
          <w:noProof/>
        </w:rPr>
        <w:t xml:space="preserve">Нужди, които трябва да бъдат задоволени в краткосрочен или дългосрочен план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noProof/>
        </w:rPr>
      </w:pPr>
      <w:r>
        <w:rPr>
          <w:noProof/>
        </w:rPr>
        <w:t>Въвеждането на орган с участието на множество заинтересовани страни на практика ще укрепи и разшири приноса за доброто управление на регистъра на домейна .eu и ще увеличи прозрачността на неговото корпоративно управление, като бъде устроен така, че да отразява многостранния подход. Това ще съгласува модела с обявената политика на Комисията относно управлението на интернет.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Представители на всички заинтересовани страни ще могат да участват в диалога и да хвърлят повече светлина върху евентуалните последици от решенията, както и да дадат становища за реализацията на домейна от първо ниво с код за страна (ccTLD) .eu. Членовете на новия управленски орган ще бъде назначавани от Комисията на основа на открита и прозрачна процедура, </w:t>
      </w:r>
      <w:r>
        <w:rPr>
          <w:noProof/>
        </w:rPr>
        <w:lastRenderedPageBreak/>
        <w:t>насочена към ограничаване на рисковете от потенциални конфликти на интереси.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noProof/>
        </w:rPr>
      </w:pPr>
    </w:p>
    <w:p>
      <w:pPr>
        <w:pStyle w:val="Heading3"/>
        <w:rPr>
          <w:bCs w:val="0"/>
          <w:noProof/>
          <w:szCs w:val="24"/>
        </w:rPr>
      </w:pPr>
      <w:r>
        <w:rPr>
          <w:noProof/>
        </w:rPr>
        <w:t>Добавена стойност от намесата на Съюза (може да е в резултат от различни фактори, например ползи от координиране, правна сигурност, по-добра ефективност или взаимно допълване). За целите на тази точка „добавена стойност от намесата на Съюза“ е стойността, която е резултат от намесата на ЕС и е допълнителна спрямо стойността, която би била създадена само от отделните държави членки.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Очаквана добавена стойност от участието на ЕС (ex-post): Съществуването на домейна от първо ниво .eu има висока символична стойност и отразява съществуването на европейска онлайн общност (на гражданите, институциите и предприятията), която желае да бъде ясно идентифицирана като такава. Домейнът от първо ниво .eu придава на потребителите, желаещи да упражняват дейност на целия единен пазар, конкретно европейско измерение, което се разпознава в световен план. 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Регулаторната рамка на равнище ЕС за домейна .eu е от полза за трайното осигуряване и разширяване на пространството с имена на домейни в рамките на домейна от първо ниво .eu в интернет, в което ще се прилага съответното законодателство на ЕС в областта на защитата на данните и потребителите.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Регулаторните действия на равнище държави членки няма да могат да осигурят резултати по основните цели зад създаването и управлението на сигурно и новаторско пространство с имена в ЕС, нито да популяризират Европейския съюз в интернет или да осигурят добавена стойност от гледна точка на увеличаване на избора на потребителите в допълнение към националните домейни от първо ниво с код за страна.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>
      <w:pPr>
        <w:pStyle w:val="Heading3"/>
        <w:rPr>
          <w:bCs w:val="0"/>
          <w:noProof/>
          <w:szCs w:val="24"/>
        </w:rPr>
      </w:pPr>
      <w:r>
        <w:rPr>
          <w:noProof/>
        </w:rPr>
        <w:t>Изводи от подобен опит в миналото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Настоящата нормативна уредба не осигурява оптимална структура за управление от гледна точка на надзора и отчетността в съответствие с декларирания подход на Комисията към управлението на интернет.</w:t>
      </w:r>
    </w:p>
    <w:p>
      <w:pPr>
        <w:pStyle w:val="Heading3"/>
        <w:rPr>
          <w:bCs w:val="0"/>
          <w:noProof/>
          <w:szCs w:val="24"/>
        </w:rPr>
      </w:pPr>
      <w:r>
        <w:rPr>
          <w:noProof/>
        </w:rPr>
        <w:t>Съвместимост и евентуална синергия с други подходящи инструменти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>
      <w:pPr>
        <w:pStyle w:val="Heading2"/>
        <w:rPr>
          <w:bCs w:val="0"/>
          <w:noProof/>
          <w:szCs w:val="24"/>
        </w:rPr>
      </w:pPr>
      <w:r>
        <w:rPr>
          <w:noProof/>
        </w:rPr>
        <w:br w:type="page"/>
      </w:r>
      <w:r>
        <w:rPr>
          <w:noProof/>
        </w:rPr>
        <w:lastRenderedPageBreak/>
        <w:t xml:space="preserve">Срок на действие и финансово отражение </w:t>
      </w:r>
    </w:p>
    <w:p>
      <w:pPr>
        <w:pStyle w:val="Text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Предложение/инициатива с </w:t>
      </w:r>
      <w:r>
        <w:rPr>
          <w:b/>
          <w:noProof/>
        </w:rPr>
        <w:t xml:space="preserve">ограничен срок на действие 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Предложение/инициатива в сила от [ДД/ММГГГГ] до [ДД/ММГГГГ] 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Финансово въздействие от ГГГГ до ГГГГ </w:t>
      </w:r>
    </w:p>
    <w:p>
      <w:pPr>
        <w:pStyle w:val="Text1"/>
        <w:rPr>
          <w:noProof/>
        </w:rPr>
      </w:pPr>
      <w:r>
        <w:rPr>
          <w:noProof/>
        </w:rPr>
        <w:sym w:font="Wingdings" w:char="F0FD"/>
      </w:r>
      <w:r>
        <w:rPr>
          <w:noProof/>
        </w:rPr>
        <w:t xml:space="preserve"> Предложение/инициатива с </w:t>
      </w:r>
      <w:r>
        <w:rPr>
          <w:b/>
          <w:noProof/>
        </w:rPr>
        <w:t>неограничен срок на действие</w:t>
      </w:r>
      <w:r>
        <w:rPr>
          <w:rStyle w:val="FootnoteReference"/>
          <w:b/>
          <w:noProof/>
        </w:rPr>
        <w:footnoteReference w:id="2"/>
      </w:r>
    </w:p>
    <w:p>
      <w:pPr>
        <w:pStyle w:val="ListDash1"/>
        <w:rPr>
          <w:noProof/>
        </w:rPr>
      </w:pPr>
      <w:r>
        <w:rPr>
          <w:noProof/>
        </w:rPr>
        <w:t>Осъществяване с период на започване на дейност от 2020 г. до 2020 г.,</w:t>
      </w:r>
    </w:p>
    <w:p>
      <w:pPr>
        <w:pStyle w:val="ListDash1"/>
        <w:rPr>
          <w:noProof/>
        </w:rPr>
      </w:pPr>
      <w:r>
        <w:rPr>
          <w:noProof/>
        </w:rPr>
        <w:t>последван от функциониране с пълен капацитет.</w:t>
      </w:r>
    </w:p>
    <w:p>
      <w:pPr>
        <w:pStyle w:val="Heading2"/>
        <w:rPr>
          <w:bCs w:val="0"/>
          <w:noProof/>
          <w:szCs w:val="24"/>
        </w:rPr>
      </w:pPr>
      <w:r>
        <w:rPr>
          <w:noProof/>
        </w:rPr>
        <w:t>Планирани методи на управление</w:t>
      </w:r>
      <w:r>
        <w:rPr>
          <w:rStyle w:val="FootnoteReference"/>
          <w:noProof/>
        </w:rPr>
        <w:footnoteReference w:id="3"/>
      </w:r>
      <w:r>
        <w:rPr>
          <w:rStyle w:val="FootnoteReference"/>
          <w:noProof/>
        </w:rPr>
        <w:t xml:space="preserve"> </w:t>
      </w:r>
    </w:p>
    <w:p>
      <w:pPr>
        <w:pStyle w:val="Text1"/>
        <w:rPr>
          <w:noProof/>
        </w:rPr>
      </w:pPr>
      <w:r>
        <w:rPr>
          <w:noProof/>
        </w:rPr>
        <w:sym w:font="Wingdings" w:char="F0FD"/>
      </w:r>
      <w:r>
        <w:rPr>
          <w:noProof/>
        </w:rPr>
        <w:t xml:space="preserve"> </w:t>
      </w:r>
      <w:r>
        <w:rPr>
          <w:b/>
          <w:noProof/>
        </w:rPr>
        <w:t>Пряко управление</w:t>
      </w:r>
      <w:r>
        <w:rPr>
          <w:noProof/>
        </w:rPr>
        <w:t xml:space="preserve"> от Комисията</w:t>
      </w:r>
    </w:p>
    <w:p>
      <w:pPr>
        <w:pStyle w:val="ListDash2"/>
        <w:rPr>
          <w:rFonts w:cs="EUAlbertina"/>
          <w:noProof/>
        </w:rPr>
      </w:pPr>
      <w:r>
        <w:rPr>
          <w:noProof/>
        </w:rPr>
        <w:sym w:font="Wingdings" w:char="F0FD"/>
      </w:r>
      <w:r>
        <w:rPr>
          <w:noProof/>
        </w:rPr>
        <w:t xml:space="preserve"> от нейните служби, включително от нейния персонал в делегациите на Съюза; 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от изпълнителните агенции </w:t>
      </w:r>
    </w:p>
    <w:p>
      <w:pPr>
        <w:pStyle w:val="Text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b/>
          <w:noProof/>
        </w:rPr>
        <w:t>Споделено управление</w:t>
      </w:r>
      <w:r>
        <w:rPr>
          <w:noProof/>
        </w:rPr>
        <w:t xml:space="preserve"> с държавите членки </w:t>
      </w:r>
    </w:p>
    <w:p>
      <w:pPr>
        <w:pStyle w:val="Text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b/>
          <w:noProof/>
        </w:rPr>
        <w:t>Непряко управление</w:t>
      </w:r>
      <w:r>
        <w:rPr>
          <w:noProof/>
        </w:rPr>
        <w:t xml:space="preserve"> чрез възлагане на задачи по изпълнението на бюджета на: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трети държави или на органите, определени от тях;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международни организации и техните агенции (да се уточни);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ЕИБ и Европейския инвестиционен фонд;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органите, посочени в членове 208 и 209 от Финансовия регламент;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публичноправни органи;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частноправни органи със задължение за обществена услуга, доколкото предоставят подходящи финансови гаранции;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органи, уредени в частното право на държава членка, на които е възложено осъществяването на публично-частно партньорство и които предоставят подходящи финансови гаранции;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лица, на които е възложено изпълнението на специфични дейности в областта на ОВППС съгласно дял V от ДЕС и които са посочени в съответния основен акт.</w:t>
      </w:r>
    </w:p>
    <w:p>
      <w:pPr>
        <w:pStyle w:val="ListDash2"/>
        <w:rPr>
          <w:i/>
          <w:noProof/>
          <w:sz w:val="18"/>
          <w:u w:val="single"/>
        </w:rPr>
      </w:pPr>
      <w:r>
        <w:rPr>
          <w:i/>
          <w:noProof/>
          <w:sz w:val="18"/>
        </w:rPr>
        <w:t>Ако е посочен повече от един метод на управление, пояснете в частта „Забележки“.</w:t>
      </w:r>
    </w:p>
    <w:p>
      <w:pPr>
        <w:rPr>
          <w:noProof/>
        </w:rPr>
      </w:pPr>
      <w:r>
        <w:rPr>
          <w:noProof/>
        </w:rPr>
        <w:t xml:space="preserve">Бележки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  <w:r>
        <w:rPr>
          <w:noProof/>
        </w:rPr>
        <w:t xml:space="preserve"> </w:t>
      </w:r>
    </w:p>
    <w:p>
      <w:pPr>
        <w:pStyle w:val="Heading1"/>
        <w:rPr>
          <w:bCs w:val="0"/>
          <w:noProof/>
          <w:szCs w:val="24"/>
        </w:rPr>
      </w:pPr>
      <w:r>
        <w:rPr>
          <w:noProof/>
        </w:rPr>
        <w:lastRenderedPageBreak/>
        <w:t xml:space="preserve">МЕРКИ ЗА УПРАВЛЕНИЕ </w:t>
      </w:r>
    </w:p>
    <w:p>
      <w:pPr>
        <w:pStyle w:val="Heading2"/>
        <w:rPr>
          <w:noProof/>
        </w:rPr>
      </w:pPr>
      <w:r>
        <w:rPr>
          <w:noProof/>
        </w:rPr>
        <w:t xml:space="preserve">Правила за мониторинг и докладване </w:t>
      </w:r>
    </w:p>
    <w:p>
      <w:pPr>
        <w:pStyle w:val="Text1"/>
        <w:rPr>
          <w:i/>
          <w:noProof/>
          <w:sz w:val="20"/>
          <w:u w:val="single"/>
        </w:rPr>
      </w:pPr>
      <w:r>
        <w:rPr>
          <w:i/>
          <w:noProof/>
          <w:sz w:val="20"/>
        </w:rPr>
        <w:t>Да се посочат честотата и условията.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Комисията ще наблюдава прилагането на регламента и ще представя доклад с оценката си на Европейския парламент, на Съвета и на Европейския икономически и социален комитет не по-късно от пет години след датата на прилагане на настоящия регламент.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В допълнение на това напредъкът на домейна от първо ниво .eu ще бъде редовно наблюдаван чрез представянето на доклад до Европейския парламент и Съвета относно реализацията, ефективността и функционирането на името на домейна три години след представянето на горепосочената оценка и на всеки три години след това.</w:t>
      </w:r>
    </w:p>
    <w:p>
      <w:pPr>
        <w:pStyle w:val="Heading2"/>
        <w:rPr>
          <w:bCs w:val="0"/>
          <w:noProof/>
          <w:szCs w:val="24"/>
        </w:rPr>
      </w:pPr>
      <w:r>
        <w:rPr>
          <w:noProof/>
        </w:rPr>
        <w:t xml:space="preserve">Система за управление и контрол </w:t>
      </w:r>
    </w:p>
    <w:p>
      <w:pPr>
        <w:pStyle w:val="Heading3"/>
        <w:rPr>
          <w:noProof/>
        </w:rPr>
      </w:pPr>
      <w:r>
        <w:rPr>
          <w:noProof/>
        </w:rPr>
        <w:t xml:space="preserve">Установени рискове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Установените рискове са свързани с необходимостта да се гарантира независимостта от регистъра на домейна .eu и с възможни конфликти на интереси на експертите, които членуват в многостранния съвет за домейна .eu.</w:t>
      </w:r>
    </w:p>
    <w:p>
      <w:pPr>
        <w:pStyle w:val="Heading3"/>
        <w:rPr>
          <w:bCs w:val="0"/>
          <w:noProof/>
          <w:szCs w:val="24"/>
        </w:rPr>
      </w:pPr>
      <w:r>
        <w:rPr>
          <w:noProof/>
        </w:rPr>
        <w:t>Информация за структурата на системата за вътрешен контрол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Основните практически аспекти на създаването на отделния орган са посочени в правния текст на регламента. Многостранният съвет за домейна .eu ще бъде създаден от Комисията, като се прилагат установените принципи относно експертните групи. Правните изисквания ще включват: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а)</w:t>
      </w:r>
      <w:r>
        <w:rPr>
          <w:noProof/>
        </w:rPr>
        <w:tab/>
        <w:t>мерки, които да гарантират, че новосъздадената управленска структура има необходимата автономност и независимост от регистъра;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б)</w:t>
      </w:r>
      <w:r>
        <w:rPr>
          <w:noProof/>
        </w:rPr>
        <w:tab/>
        <w:t>гаранции, че новосъздадената управленска структура ще работи съгласно целите и политиките на Комисията;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в)</w:t>
      </w:r>
      <w:r>
        <w:rPr>
          <w:noProof/>
        </w:rPr>
        <w:tab/>
        <w:t>основните задачи (по принцип само консултативни), поверени на новосъздадената управленска структура, и нейните връзки с Комисията и регистъра;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г)</w:t>
      </w:r>
      <w:r>
        <w:rPr>
          <w:noProof/>
        </w:rPr>
        <w:tab/>
        <w:t>ролята и правомощията на Комисията по отношение на регистъра и новосъздадената управленска структура (напр. правомощията за надзор на Комисията над регистъра).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>
      <w:pPr>
        <w:pStyle w:val="Heading3"/>
        <w:rPr>
          <w:noProof/>
        </w:rPr>
      </w:pPr>
      <w:r>
        <w:rPr>
          <w:noProof/>
        </w:rPr>
        <w:t xml:space="preserve">Оценка на разходите и ползите от проверките и на очакваната степен на риск от грешка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Функционирането на многостранния съвет за домейна .eu следва правилата за създаването и дейността на експертните групи на Комисията.</w:t>
      </w:r>
    </w:p>
    <w:p>
      <w:pPr>
        <w:pStyle w:val="Heading2"/>
        <w:rPr>
          <w:bCs w:val="0"/>
          <w:noProof/>
          <w:szCs w:val="24"/>
        </w:rPr>
      </w:pPr>
      <w:r>
        <w:rPr>
          <w:noProof/>
        </w:rPr>
        <w:t xml:space="preserve">Мерки за предотвратяване на измами и нередности </w:t>
      </w:r>
    </w:p>
    <w:p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>Да се посочат съществуващите или планираните мерки за предотвратяване и защита.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В член 13 от законодателното предложение за домейна от първо ниво с код за страна .eu се предвиждат конкретни надзорни правомощия на Комисията по отношение на оператора на регистъра, които ще включват мерки за предотвратяване на измами и нередности.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Освен това договорът с регистъра включва подробни разпоредби за предотвратяване на измамите и нередностите.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noProof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Heading1"/>
        <w:rPr>
          <w:bCs w:val="0"/>
          <w:noProof/>
          <w:szCs w:val="24"/>
        </w:rPr>
      </w:pPr>
      <w:r>
        <w:rPr>
          <w:noProof/>
        </w:rPr>
        <w:t xml:space="preserve">ОЧАКВАНО ФИНАНСОВО ОТРАЖЕНИЕ НА ПРЕДЛОЖЕНИЕТО/ИНИЦИАТИВАТА </w:t>
      </w:r>
    </w:p>
    <w:p>
      <w:pPr>
        <w:pStyle w:val="Heading2"/>
        <w:rPr>
          <w:noProof/>
        </w:rPr>
      </w:pPr>
      <w:r>
        <w:rPr>
          <w:noProof/>
        </w:rPr>
        <w:t xml:space="preserve">Съответни функции от многогодишната финансова рамка и разходни бюджетни редове </w:t>
      </w:r>
    </w:p>
    <w:p>
      <w:pPr>
        <w:pStyle w:val="ListBullet1"/>
        <w:rPr>
          <w:noProof/>
        </w:rPr>
      </w:pPr>
      <w:r>
        <w:rPr>
          <w:noProof/>
        </w:rPr>
        <w:t xml:space="preserve">Съществуващи бюджетни редове </w:t>
      </w:r>
    </w:p>
    <w:p>
      <w:pPr>
        <w:pStyle w:val="Text1"/>
        <w:rPr>
          <w:noProof/>
        </w:rPr>
      </w:pPr>
      <w:r>
        <w:rPr>
          <w:noProof/>
          <w:u w:val="single"/>
        </w:rPr>
        <w:t>По реда</w:t>
      </w:r>
      <w:r>
        <w:rPr>
          <w:noProof/>
        </w:rPr>
        <w:t xml:space="preserve"> на функциите от многогодишната финансова рамка и на бюджетните редове.</w:t>
      </w: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1701"/>
        <w:gridCol w:w="1134"/>
        <w:gridCol w:w="992"/>
        <w:gridCol w:w="1276"/>
        <w:gridCol w:w="955"/>
        <w:gridCol w:w="1448"/>
      </w:tblGrid>
      <w:tr>
        <w:tc>
          <w:tcPr>
            <w:tcW w:w="3054" w:type="dxa"/>
            <w:vMerge w:val="restart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Функция от многогодишната финансова рамка</w:t>
            </w:r>
          </w:p>
        </w:tc>
        <w:tc>
          <w:tcPr>
            <w:tcW w:w="1701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Бюджетен ред</w:t>
            </w:r>
          </w:p>
        </w:tc>
        <w:tc>
          <w:tcPr>
            <w:tcW w:w="1134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Вид на</w:t>
            </w:r>
            <w:r>
              <w:rPr>
                <w:noProof/>
              </w:rPr>
              <w:t xml:space="preserve"> </w:t>
            </w:r>
            <w:r>
              <w:rPr>
                <w:noProof/>
                <w:sz w:val="18"/>
              </w:rPr>
              <w:t>разхода</w:t>
            </w:r>
          </w:p>
        </w:tc>
        <w:tc>
          <w:tcPr>
            <w:tcW w:w="4671" w:type="dxa"/>
            <w:gridSpan w:val="4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0"/>
              </w:rPr>
              <w:t xml:space="preserve">Вноска </w:t>
            </w:r>
          </w:p>
        </w:tc>
      </w:tr>
      <w:tr>
        <w:tc>
          <w:tcPr>
            <w:tcW w:w="3054" w:type="dxa"/>
            <w:vMerge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noProof/>
              </w:rPr>
            </w:pPr>
            <w:r>
              <w:rPr>
                <w:noProof/>
                <w:sz w:val="20"/>
              </w:rPr>
              <w:t xml:space="preserve">Номер функция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Многогод./едногод</w:t>
            </w:r>
            <w:r>
              <w:rPr>
                <w:noProof/>
              </w:rPr>
              <w:t>.</w:t>
            </w:r>
            <w:r>
              <w:rPr>
                <w:rStyle w:val="FootnoteReference"/>
                <w:noProof/>
              </w:rPr>
              <w:footnoteReference w:id="4"/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от държави от ЕАСТ</w:t>
            </w:r>
            <w:r>
              <w:rPr>
                <w:rStyle w:val="FootnoteReference"/>
                <w:noProof/>
                <w:sz w:val="18"/>
              </w:rPr>
              <w:footnoteReference w:id="5"/>
            </w:r>
          </w:p>
          <w:p>
            <w:pPr>
              <w:spacing w:before="0" w:after="0"/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от държави кандидатки</w:t>
            </w:r>
            <w:r>
              <w:rPr>
                <w:rStyle w:val="FootnoteReference"/>
                <w:noProof/>
                <w:sz w:val="18"/>
              </w:rPr>
              <w:footnoteReference w:id="6"/>
            </w:r>
          </w:p>
          <w:p>
            <w:pPr>
              <w:spacing w:before="0" w:after="0"/>
              <w:jc w:val="center"/>
              <w:rPr>
                <w:noProof/>
                <w:sz w:val="18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 трети държави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6"/>
              </w:rPr>
              <w:t xml:space="preserve">по смисъла на член 21, параграф 2, буква б) от Финансовия регламент </w:t>
            </w:r>
          </w:p>
        </w:tc>
      </w:tr>
      <w:tr>
        <w:tc>
          <w:tcPr>
            <w:tcW w:w="3054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Определяне и изпълнение на политиката на Съюза в областта на електронните комуникации</w:t>
            </w:r>
          </w:p>
        </w:tc>
        <w:tc>
          <w:tcPr>
            <w:tcW w:w="1701" w:type="dxa"/>
            <w:vAlign w:val="center"/>
          </w:tcPr>
          <w:p>
            <w:pPr>
              <w:spacing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09.0201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noProof/>
                <w:color w:val="0000FF"/>
              </w:rPr>
            </w:pPr>
            <w:r>
              <w:rPr>
                <w:noProof/>
                <w:sz w:val="22"/>
              </w:rPr>
              <w:t>Многогод.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</w:tr>
    </w:tbl>
    <w:p>
      <w:pPr>
        <w:rPr>
          <w:noProof/>
        </w:rPr>
        <w:sectPr>
          <w:pgSz w:w="11907" w:h="16840" w:code="1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Heading2"/>
        <w:rPr>
          <w:bCs w:val="0"/>
          <w:noProof/>
          <w:szCs w:val="24"/>
        </w:rPr>
      </w:pPr>
      <w:r>
        <w:rPr>
          <w:noProof/>
        </w:rPr>
        <w:t xml:space="preserve">Очаквано отражение върху разходите </w:t>
      </w:r>
    </w:p>
    <w:p>
      <w:pPr>
        <w:pStyle w:val="Text1"/>
        <w:rPr>
          <w:noProof/>
        </w:rPr>
      </w:pPr>
      <w:r>
        <w:rPr>
          <w:noProof/>
          <w:highlight w:val="lightGray"/>
        </w:rPr>
        <w:t>[Тази част следва да бъде попълнена, като се използва</w:t>
      </w:r>
      <w:r>
        <w:rPr>
          <w:noProof/>
        </w:rPr>
        <w:t xml:space="preserve"> </w:t>
      </w:r>
      <w:hyperlink r:id="rId17">
        <w:r>
          <w:rPr>
            <w:rStyle w:val="Hyperlink"/>
            <w:b/>
            <w:noProof/>
            <w:highlight w:val="lightGray"/>
          </w:rPr>
          <w:t>таблицата за бюджетни данни от административно естество</w:t>
        </w:r>
      </w:hyperlink>
      <w:r>
        <w:rPr>
          <w:noProof/>
        </w:rPr>
        <w:t xml:space="preserve"> </w:t>
      </w:r>
      <w:r>
        <w:rPr>
          <w:noProof/>
          <w:highlight w:val="lightGray"/>
        </w:rPr>
        <w:t>(вторият документ в приложението към настоящата финансова обосновка), и качена в DECIDE за провеждането на вътрешни консултации между службите.]</w:t>
      </w:r>
    </w:p>
    <w:p>
      <w:pPr>
        <w:pStyle w:val="Heading3"/>
        <w:rPr>
          <w:noProof/>
          <w:u w:val="single"/>
        </w:rPr>
      </w:pPr>
      <w:r>
        <w:rPr>
          <w:noProof/>
        </w:rPr>
        <w:t xml:space="preserve">Обобщение на очакваното отражение върху разходите </w:t>
      </w:r>
    </w:p>
    <w:p>
      <w:pPr>
        <w:jc w:val="right"/>
        <w:rPr>
          <w:noProof/>
          <w:sz w:val="20"/>
        </w:rPr>
      </w:pPr>
      <w:r>
        <w:rPr>
          <w:noProof/>
          <w:sz w:val="20"/>
        </w:rPr>
        <w:t>млн. евро (до третия знак след десетичната запетая)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080"/>
        <w:gridCol w:w="7817"/>
      </w:tblGrid>
      <w:tr>
        <w:trPr>
          <w:jc w:val="center"/>
        </w:trPr>
        <w:tc>
          <w:tcPr>
            <w:tcW w:w="4744" w:type="dxa"/>
            <w:shd w:val="thinDiagStripe" w:color="C0C0C0" w:fill="auto"/>
            <w:vAlign w:val="center"/>
          </w:tcPr>
          <w:p>
            <w:pPr>
              <w:spacing w:before="60" w:after="6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</w:rPr>
              <w:t>Функция от многогодишната финансова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 xml:space="preserve">рамка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1a</w:t>
            </w:r>
          </w:p>
        </w:tc>
        <w:tc>
          <w:tcPr>
            <w:tcW w:w="7817" w:type="dxa"/>
            <w:vAlign w:val="center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  <w:sz w:val="22"/>
              </w:rPr>
              <w:t xml:space="preserve"> Конкурентоспособност за растеж и заетост </w:t>
            </w:r>
          </w:p>
        </w:tc>
      </w:tr>
    </w:tbl>
    <w:p>
      <w:pPr>
        <w:rPr>
          <w:noProof/>
          <w:sz w:val="1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120"/>
        <w:gridCol w:w="53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</w:rPr>
              <w:t>ГД „Съобщителни мрежи, съдържание и технологии“</w:t>
            </w:r>
          </w:p>
        </w:tc>
        <w:tc>
          <w:tcPr>
            <w:tcW w:w="1560" w:type="dxa"/>
            <w:gridSpan w:val="2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534" w:type="dxa"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Година </w:t>
            </w:r>
            <w:r>
              <w:rPr>
                <w:b/>
                <w:noProof/>
                <w:sz w:val="18"/>
                <w:szCs w:val="18"/>
              </w:rPr>
              <w:t>2019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Година </w:t>
            </w:r>
            <w:r>
              <w:rPr>
                <w:b/>
                <w:noProof/>
                <w:sz w:val="18"/>
                <w:szCs w:val="18"/>
              </w:rPr>
              <w:t>2020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Година </w:t>
            </w:r>
            <w:r>
              <w:rPr>
                <w:b/>
                <w:noProof/>
                <w:sz w:val="18"/>
                <w:szCs w:val="18"/>
              </w:rPr>
              <w:t>2021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Година </w:t>
            </w:r>
            <w:r>
              <w:rPr>
                <w:b/>
                <w:noProof/>
                <w:sz w:val="18"/>
                <w:szCs w:val="18"/>
              </w:rPr>
              <w:t>2022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</w:tr>
      <w:tr>
        <w:tc>
          <w:tcPr>
            <w:tcW w:w="3960" w:type="dxa"/>
            <w:vMerge w:val="restart"/>
            <w:vAlign w:val="center"/>
          </w:tcPr>
          <w:p>
            <w:pPr>
              <w:rPr>
                <w:noProof/>
              </w:rPr>
            </w:pPr>
            <w:r>
              <w:rPr>
                <w:noProof/>
                <w:sz w:val="20"/>
              </w:rPr>
              <w:t>09 02 01</w:t>
            </w: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(1a)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0,050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0,050</w:t>
            </w:r>
          </w:p>
        </w:tc>
      </w:tr>
      <w:tr>
        <w:tc>
          <w:tcPr>
            <w:tcW w:w="3960" w:type="dxa"/>
            <w:vMerge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(2a)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0,025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0,025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0,050</w:t>
            </w:r>
          </w:p>
        </w:tc>
      </w:tr>
      <w:tr>
        <w:trPr>
          <w:trHeight w:val="231"/>
        </w:trPr>
        <w:tc>
          <w:tcPr>
            <w:tcW w:w="6054" w:type="dxa"/>
            <w:gridSpan w:val="4"/>
            <w:vAlign w:val="center"/>
          </w:tcPr>
          <w:p>
            <w:pPr>
              <w:spacing w:before="20" w:after="20"/>
              <w:rPr>
                <w:noProof/>
              </w:rPr>
            </w:pPr>
            <w:r>
              <w:rPr>
                <w:noProof/>
                <w:sz w:val="21"/>
              </w:rPr>
              <w:t>Бюджетни кредити за административни разходи, финансирани от пакета за конкретни програми</w:t>
            </w:r>
            <w:r>
              <w:rPr>
                <w:rStyle w:val="FootnoteReference"/>
                <w:noProof/>
                <w:sz w:val="21"/>
              </w:rPr>
              <w:footnoteReference w:id="7"/>
            </w:r>
            <w:r>
              <w:rPr>
                <w:noProof/>
                <w:sz w:val="21"/>
              </w:rPr>
              <w:t xml:space="preserve"> </w:t>
            </w:r>
          </w:p>
          <w:p>
            <w:pPr>
              <w:spacing w:before="0" w:after="0"/>
              <w:rPr>
                <w:noProof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</w:tr>
      <w:tr>
        <w:trPr>
          <w:trHeight w:val="319"/>
        </w:trPr>
        <w:tc>
          <w:tcPr>
            <w:tcW w:w="3960" w:type="dxa"/>
            <w:vAlign w:val="center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  <w:sz w:val="20"/>
              </w:rPr>
              <w:t>Номер на бюджетния ред</w:t>
            </w:r>
          </w:p>
        </w:tc>
        <w:tc>
          <w:tcPr>
            <w:tcW w:w="1440" w:type="dxa"/>
            <w:vAlign w:val="center"/>
          </w:tcPr>
          <w:p>
            <w:pPr>
              <w:spacing w:before="40" w:after="40"/>
              <w:jc w:val="right"/>
              <w:rPr>
                <w:noProof/>
                <w:sz w:val="18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(3)</w:t>
            </w: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</w:tr>
      <w:tr>
        <w:tc>
          <w:tcPr>
            <w:tcW w:w="3960" w:type="dxa"/>
            <w:vMerge w:val="restart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</w:rPr>
              <w:t>ОБЩО бюджетни кредити</w:t>
            </w:r>
            <w:r>
              <w:rPr>
                <w:b/>
                <w:noProof/>
                <w:sz w:val="22"/>
              </w:rPr>
              <w:br/>
              <w:t>за ГД „Съобщителни мрежи, съдържание и технологии“</w:t>
            </w: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=1+1а +3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0,050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0,050</w:t>
            </w:r>
          </w:p>
        </w:tc>
      </w:tr>
      <w:tr>
        <w:tc>
          <w:tcPr>
            <w:tcW w:w="3960" w:type="dxa"/>
            <w:vMerge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=2+2а</w:t>
            </w:r>
          </w:p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+3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0,025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0,025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0,050</w:t>
            </w:r>
          </w:p>
        </w:tc>
      </w:tr>
    </w:tbl>
    <w:p>
      <w:pPr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65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>
        <w:trPr>
          <w:trHeight w:val="277"/>
        </w:trPr>
        <w:tc>
          <w:tcPr>
            <w:tcW w:w="3960" w:type="dxa"/>
            <w:vMerge w:val="restart"/>
            <w:vAlign w:val="center"/>
          </w:tcPr>
          <w:p>
            <w:pPr>
              <w:spacing w:before="20" w:after="20"/>
              <w:rPr>
                <w:noProof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</w:rPr>
              <w:t xml:space="preserve"> ОБЩО бюджетни кредити за оперативни разходи</w:t>
            </w:r>
          </w:p>
        </w:tc>
        <w:tc>
          <w:tcPr>
            <w:tcW w:w="1440" w:type="dxa"/>
            <w:vAlign w:val="center"/>
          </w:tcPr>
          <w:p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(4)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0,050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0,050</w:t>
            </w:r>
          </w:p>
        </w:tc>
      </w:tr>
      <w:tr>
        <w:tc>
          <w:tcPr>
            <w:tcW w:w="3960" w:type="dxa"/>
            <w:vMerge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(5)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0,025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0,025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0,050</w:t>
            </w:r>
          </w:p>
        </w:tc>
      </w:tr>
      <w:tr>
        <w:trPr>
          <w:trHeight w:val="533"/>
        </w:trPr>
        <w:tc>
          <w:tcPr>
            <w:tcW w:w="5400" w:type="dxa"/>
            <w:gridSpan w:val="2"/>
            <w:vAlign w:val="center"/>
          </w:tcPr>
          <w:p>
            <w:pPr>
              <w:spacing w:beforeLines="20" w:before="48" w:afterLines="20" w:after="48"/>
              <w:rPr>
                <w:noProof/>
              </w:rPr>
            </w:pP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</w:rPr>
              <w:t xml:space="preserve"> ОБЩО бюджетни кредити за административни разходи, финансирани от пакета за определени програми</w:t>
            </w:r>
          </w:p>
        </w:tc>
        <w:tc>
          <w:tcPr>
            <w:tcW w:w="654" w:type="dxa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(6)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c>
          <w:tcPr>
            <w:tcW w:w="3960" w:type="dxa"/>
            <w:vMerge w:val="restart"/>
            <w:shd w:val="thinDiagStripe" w:color="C0C0C0" w:fill="auto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за ФУНКЦИЯ &lt;1а.&gt;</w:t>
            </w:r>
            <w:r>
              <w:rPr>
                <w:noProof/>
                <w:sz w:val="22"/>
              </w:rPr>
              <w:t xml:space="preserve"> от многогодишната финансова рамка</w:t>
            </w: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=4+ 6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0,050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0,050</w:t>
            </w:r>
          </w:p>
        </w:tc>
      </w:tr>
      <w:tr>
        <w:tc>
          <w:tcPr>
            <w:tcW w:w="3960" w:type="dxa"/>
            <w:vMerge/>
            <w:shd w:val="thinDiagStripe" w:color="C0C0C0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=5+ 6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0,025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0,025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0,050</w:t>
            </w:r>
          </w:p>
        </w:tc>
      </w:tr>
    </w:tbl>
    <w:p>
      <w:pPr>
        <w:spacing w:after="40"/>
        <w:rPr>
          <w:b/>
          <w:noProof/>
          <w:sz w:val="22"/>
          <w:u w:val="single"/>
        </w:rPr>
      </w:pPr>
      <w:r>
        <w:rPr>
          <w:b/>
          <w:noProof/>
          <w:sz w:val="22"/>
          <w:u w:val="single"/>
        </w:rPr>
        <w:t>Ако предложението/инициативата има отражение върху повече от една функция:</w:t>
      </w:r>
    </w:p>
    <w:tbl>
      <w:tblPr>
        <w:tblW w:w="0" w:type="auto"/>
        <w:tblInd w:w="-25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65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>
        <w:trPr>
          <w:trHeight w:val="277"/>
        </w:trPr>
        <w:tc>
          <w:tcPr>
            <w:tcW w:w="3960" w:type="dxa"/>
            <w:vMerge w:val="restart"/>
            <w:tcBorders>
              <w:top w:val="single" w:sz="4" w:space="0" w:color="FF0000"/>
              <w:left w:val="single" w:sz="4" w:space="0" w:color="auto"/>
              <w:bottom w:val="single" w:sz="4" w:space="0" w:color="FF0000"/>
            </w:tcBorders>
            <w:vAlign w:val="center"/>
          </w:tcPr>
          <w:p>
            <w:pPr>
              <w:spacing w:before="20" w:after="20"/>
              <w:rPr>
                <w:noProof/>
              </w:rPr>
            </w:pP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</w:rPr>
              <w:t xml:space="preserve"> ОБЩО бюджетни кредити за оперативни разходи</w:t>
            </w:r>
          </w:p>
        </w:tc>
        <w:tc>
          <w:tcPr>
            <w:tcW w:w="1440" w:type="dxa"/>
            <w:tcBorders>
              <w:top w:val="single" w:sz="4" w:space="0" w:color="FF0000"/>
            </w:tcBorders>
            <w:vAlign w:val="center"/>
          </w:tcPr>
          <w:p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tcBorders>
              <w:top w:val="single" w:sz="4" w:space="0" w:color="FF0000"/>
            </w:tcBorders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(4)</w:t>
            </w:r>
          </w:p>
        </w:tc>
        <w:tc>
          <w:tcPr>
            <w:tcW w:w="868" w:type="dxa"/>
            <w:tcBorders>
              <w:top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0,050</w:t>
            </w:r>
          </w:p>
        </w:tc>
        <w:tc>
          <w:tcPr>
            <w:tcW w:w="868" w:type="dxa"/>
            <w:tcBorders>
              <w:top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FF0000"/>
              <w:right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0,050</w:t>
            </w:r>
          </w:p>
        </w:tc>
      </w:tr>
      <w:tr>
        <w:tc>
          <w:tcPr>
            <w:tcW w:w="3960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FF0000"/>
            </w:tcBorders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(5)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0,025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0,025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0,050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3"/>
        </w:trPr>
        <w:tc>
          <w:tcPr>
            <w:tcW w:w="5400" w:type="dxa"/>
            <w:gridSpan w:val="2"/>
            <w:vAlign w:val="center"/>
          </w:tcPr>
          <w:p>
            <w:pPr>
              <w:spacing w:beforeLines="20" w:before="48" w:afterLines="20" w:after="48"/>
              <w:rPr>
                <w:noProof/>
              </w:rPr>
            </w:pP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</w:rPr>
              <w:t xml:space="preserve"> ОБЩО бюджетни кредити за административни разходи, финансирани от пакета за определени програми</w:t>
            </w:r>
          </w:p>
        </w:tc>
        <w:tc>
          <w:tcPr>
            <w:tcW w:w="654" w:type="dxa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(6)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c>
          <w:tcPr>
            <w:tcW w:w="3960" w:type="dxa"/>
            <w:vMerge w:val="restart"/>
            <w:tcBorders>
              <w:top w:val="single" w:sz="4" w:space="0" w:color="FF0000"/>
              <w:left w:val="single" w:sz="4" w:space="0" w:color="auto"/>
              <w:bottom w:val="single" w:sz="4" w:space="0" w:color="FF0000"/>
            </w:tcBorders>
            <w:shd w:val="thinDiagStripe" w:color="C0C0C0" w:fill="auto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за ФУНКЦИИ 1—4</w:t>
            </w:r>
            <w:r>
              <w:rPr>
                <w:noProof/>
                <w:sz w:val="22"/>
              </w:rPr>
              <w:br/>
              <w:t>от многогодишната финансова рамка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20"/>
              </w:rPr>
              <w:t>(Референтна стойност)</w:t>
            </w: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=4+ 6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0,050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0,050</w:t>
            </w:r>
          </w:p>
        </w:tc>
      </w:tr>
      <w:tr>
        <w:tc>
          <w:tcPr>
            <w:tcW w:w="3960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FF0000"/>
            </w:tcBorders>
            <w:shd w:val="thinDiagStripe" w:color="C0C0C0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FF0000"/>
            </w:tcBorders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tcBorders>
              <w:bottom w:val="single" w:sz="4" w:space="0" w:color="FF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=5+ 6</w:t>
            </w:r>
          </w:p>
        </w:tc>
        <w:tc>
          <w:tcPr>
            <w:tcW w:w="868" w:type="dxa"/>
            <w:tcBorders>
              <w:bottom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0,025</w:t>
            </w:r>
          </w:p>
        </w:tc>
        <w:tc>
          <w:tcPr>
            <w:tcW w:w="868" w:type="dxa"/>
            <w:tcBorders>
              <w:bottom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0,025</w:t>
            </w:r>
          </w:p>
        </w:tc>
        <w:tc>
          <w:tcPr>
            <w:tcW w:w="868" w:type="dxa"/>
            <w:tcBorders>
              <w:bottom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FF0000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tcBorders>
              <w:bottom w:val="single" w:sz="4" w:space="0" w:color="FF0000"/>
              <w:right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0,050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080"/>
        <w:gridCol w:w="7817"/>
      </w:tblGrid>
      <w:tr>
        <w:trPr>
          <w:jc w:val="center"/>
        </w:trPr>
        <w:tc>
          <w:tcPr>
            <w:tcW w:w="4744" w:type="dxa"/>
            <w:shd w:val="thinDiagStripe" w:color="C0C0C0" w:fill="auto"/>
            <w:vAlign w:val="center"/>
          </w:tcPr>
          <w:p>
            <w:pPr>
              <w:spacing w:before="60" w:after="60"/>
              <w:jc w:val="center"/>
              <w:rPr>
                <w:b/>
                <w:noProof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  <w:sz w:val="22"/>
              </w:rPr>
              <w:t>Функция от многогодишната финансова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 xml:space="preserve">рамка </w:t>
            </w:r>
          </w:p>
        </w:tc>
        <w:tc>
          <w:tcPr>
            <w:tcW w:w="1080" w:type="dxa"/>
            <w:shd w:val="thinDiagStripe" w:color="C0C0C0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b/>
                <w:noProof/>
                <w:sz w:val="22"/>
              </w:rPr>
              <w:t>5</w:t>
            </w:r>
          </w:p>
        </w:tc>
        <w:tc>
          <w:tcPr>
            <w:tcW w:w="7817" w:type="dxa"/>
            <w:vAlign w:val="center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  <w:sz w:val="22"/>
              </w:rPr>
              <w:t>„Административни разходи“</w:t>
            </w:r>
          </w:p>
        </w:tc>
      </w:tr>
    </w:tbl>
    <w:p>
      <w:pPr>
        <w:jc w:val="right"/>
        <w:rPr>
          <w:noProof/>
          <w:sz w:val="20"/>
        </w:rPr>
      </w:pPr>
      <w:r>
        <w:rPr>
          <w:noProof/>
          <w:sz w:val="20"/>
        </w:rPr>
        <w:t>млн. евро (до третия знак след десетичната запетая)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560"/>
        <w:gridCol w:w="53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</w:tcBorders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ГодинаN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ГодинаN+1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ГодинаN+2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ГодинаN+3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Да се добавят толкова години, колкото е необходимо, за да се обхване продължителността на отражението (вж. точка 1.6) 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</w:tr>
      <w:tr>
        <w:trPr>
          <w:gridAfter w:val="10"/>
          <w:wAfter w:w="9947" w:type="dxa"/>
        </w:trPr>
        <w:tc>
          <w:tcPr>
            <w:tcW w:w="3960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 xml:space="preserve">ГД: </w:t>
            </w:r>
          </w:p>
        </w:tc>
      </w:tr>
      <w:tr>
        <w:trPr>
          <w:trHeight w:val="313"/>
        </w:trPr>
        <w:tc>
          <w:tcPr>
            <w:tcW w:w="6054" w:type="dxa"/>
            <w:gridSpan w:val="3"/>
            <w:vAlign w:val="center"/>
          </w:tcPr>
          <w:p>
            <w:pPr>
              <w:spacing w:before="20" w:after="20"/>
              <w:rPr>
                <w:noProof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center"/>
              <w:rPr>
                <w:b/>
                <w:noProof/>
                <w:sz w:val="20"/>
              </w:rPr>
            </w:pPr>
          </w:p>
        </w:tc>
      </w:tr>
      <w:tr>
        <w:trPr>
          <w:trHeight w:val="351"/>
        </w:trPr>
        <w:tc>
          <w:tcPr>
            <w:tcW w:w="6054" w:type="dxa"/>
            <w:gridSpan w:val="3"/>
            <w:vAlign w:val="center"/>
          </w:tcPr>
          <w:p>
            <w:pPr>
              <w:spacing w:before="20" w:after="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sym w:font="Wingdings" w:char="F09F"/>
            </w:r>
            <w:r>
              <w:rPr>
                <w:noProof/>
              </w:rPr>
              <w:t xml:space="preserve"> Други административни разходи</w:t>
            </w:r>
          </w:p>
          <w:p>
            <w:pPr>
              <w:spacing w:before="20" w:after="20"/>
              <w:rPr>
                <w:noProof/>
                <w:sz w:val="22"/>
              </w:rPr>
            </w:pPr>
          </w:p>
          <w:p>
            <w:pPr>
              <w:spacing w:before="20" w:after="20"/>
              <w:rPr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(Многостранен съвет за домейна .eu)</w:t>
            </w:r>
          </w:p>
          <w:p>
            <w:pPr>
              <w:spacing w:before="20" w:after="20"/>
              <w:rPr>
                <w:i/>
                <w:noProof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rPr>
                <w:b/>
                <w:noProof/>
                <w:sz w:val="20"/>
              </w:rPr>
            </w:pPr>
          </w:p>
        </w:tc>
      </w:tr>
      <w:tr>
        <w:tc>
          <w:tcPr>
            <w:tcW w:w="3960" w:type="dxa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</w:rPr>
              <w:t>ОБЩО</w:t>
            </w:r>
            <w:r>
              <w:rPr>
                <w:noProof/>
              </w:rPr>
              <w:t xml:space="preserve"> ГД „Съобщителни мрежи, съдържание и технологии“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rPr>
                <w:noProof/>
                <w:sz w:val="1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209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shd w:val="thinDiagStripe" w:color="C0C0C0" w:fill="auto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по ФУНКЦИЯ 5</w:t>
            </w:r>
            <w:r>
              <w:rPr>
                <w:noProof/>
                <w:sz w:val="22"/>
              </w:rPr>
              <w:br/>
              <w:t>от многогодишната финансова рамка</w:t>
            </w:r>
            <w:r>
              <w:rPr>
                <w:b/>
                <w:noProof/>
                <w:sz w:val="22"/>
              </w:rPr>
              <w:t xml:space="preserve"> </w:t>
            </w:r>
          </w:p>
        </w:tc>
        <w:tc>
          <w:tcPr>
            <w:tcW w:w="2094" w:type="dxa"/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  <w:sz w:val="18"/>
              </w:rPr>
              <w:t>(Общо поети задължения = Общо плащания)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center"/>
              <w:rPr>
                <w:b/>
                <w:noProof/>
                <w:sz w:val="20"/>
              </w:rPr>
            </w:pPr>
          </w:p>
        </w:tc>
      </w:tr>
    </w:tbl>
    <w:p>
      <w:pPr>
        <w:jc w:val="right"/>
        <w:rPr>
          <w:noProof/>
          <w:sz w:val="20"/>
        </w:rPr>
      </w:pPr>
      <w:r>
        <w:rPr>
          <w:noProof/>
          <w:sz w:val="20"/>
        </w:rPr>
        <w:t>млн. евро (до третия знак след десетичната запетая)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560"/>
        <w:gridCol w:w="53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</w:tcBorders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Година </w:t>
            </w:r>
            <w:r>
              <w:rPr>
                <w:b/>
                <w:noProof/>
                <w:sz w:val="18"/>
                <w:szCs w:val="18"/>
              </w:rPr>
              <w:t>2019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Година </w:t>
            </w:r>
            <w:r>
              <w:rPr>
                <w:b/>
                <w:noProof/>
                <w:sz w:val="18"/>
                <w:szCs w:val="18"/>
              </w:rPr>
              <w:t>2020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Година </w:t>
            </w:r>
            <w:r>
              <w:rPr>
                <w:b/>
                <w:noProof/>
                <w:sz w:val="18"/>
                <w:szCs w:val="18"/>
              </w:rPr>
              <w:t>2021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Година </w:t>
            </w:r>
            <w:r>
              <w:rPr>
                <w:b/>
                <w:noProof/>
                <w:sz w:val="18"/>
                <w:szCs w:val="18"/>
              </w:rPr>
              <w:t>2022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</w:tr>
      <w:tr>
        <w:tc>
          <w:tcPr>
            <w:tcW w:w="3960" w:type="dxa"/>
            <w:vMerge w:val="restart"/>
            <w:shd w:val="clear" w:color="auto" w:fill="C0C0C0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за ФУНКЦИИ 1—5</w:t>
            </w:r>
            <w:r>
              <w:rPr>
                <w:noProof/>
                <w:sz w:val="22"/>
              </w:rPr>
              <w:br/>
              <w:t>от многогодишната финансова рамка</w:t>
            </w:r>
            <w:r>
              <w:rPr>
                <w:b/>
                <w:noProof/>
                <w:sz w:val="22"/>
              </w:rPr>
              <w:t xml:space="preserve"> 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rPr>
                <w:noProof/>
                <w:sz w:val="14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0,050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60" w:after="6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0,050</w:t>
            </w:r>
          </w:p>
        </w:tc>
      </w:tr>
      <w:tr>
        <w:tc>
          <w:tcPr>
            <w:tcW w:w="3960" w:type="dxa"/>
            <w:vMerge/>
            <w:shd w:val="clear" w:color="auto" w:fill="C0C0C0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rPr>
                <w:noProof/>
                <w:sz w:val="14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0,025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0,025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60" w:after="6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0,050</w:t>
            </w:r>
          </w:p>
        </w:tc>
      </w:tr>
    </w:tbl>
    <w:p>
      <w:pPr>
        <w:rPr>
          <w:noProof/>
        </w:rPr>
        <w:sectPr>
          <w:headerReference w:type="default" r:id="rId18"/>
          <w:footerReference w:type="default" r:id="rId19"/>
          <w:headerReference w:type="first" r:id="rId20"/>
          <w:footerReference w:type="first" r:id="rId21"/>
          <w:pgSz w:w="16840" w:h="11907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Heading3"/>
        <w:rPr>
          <w:bCs w:val="0"/>
          <w:noProof/>
          <w:szCs w:val="24"/>
        </w:rPr>
      </w:pPr>
      <w:r>
        <w:rPr>
          <w:noProof/>
        </w:rPr>
        <w:t xml:space="preserve">Очаквано въздействие върху бюджетните кредити за оперативни разходи 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Предложението/инициативата не налага използване на бюджетни кредити за оперативни разходи </w:t>
      </w:r>
    </w:p>
    <w:p>
      <w:pPr>
        <w:pStyle w:val="ListDash1"/>
        <w:rPr>
          <w:noProof/>
        </w:rPr>
      </w:pPr>
      <w:r>
        <w:rPr>
          <w:noProof/>
        </w:rPr>
        <w:sym w:font="Wingdings" w:char="F0FD"/>
      </w:r>
      <w:r>
        <w:rPr>
          <w:noProof/>
        </w:rPr>
        <w:tab/>
        <w:t>Предложението/инициативата налага използване на бюджетни кредити за оперативни разходи съгласно обяснението по-долу:</w:t>
      </w:r>
    </w:p>
    <w:p>
      <w:pPr>
        <w:jc w:val="right"/>
        <w:rPr>
          <w:noProof/>
          <w:sz w:val="20"/>
        </w:rPr>
      </w:pPr>
      <w:r>
        <w:rPr>
          <w:noProof/>
          <w:sz w:val="20"/>
        </w:rPr>
        <w:t>Бюджетни кредити за поети задължения в млн. евро (до третия знак след десетичната запетая)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720"/>
        <w:gridCol w:w="701"/>
        <w:gridCol w:w="504"/>
        <w:gridCol w:w="720"/>
        <w:gridCol w:w="540"/>
        <w:gridCol w:w="720"/>
        <w:gridCol w:w="720"/>
        <w:gridCol w:w="720"/>
        <w:gridCol w:w="900"/>
        <w:gridCol w:w="720"/>
        <w:gridCol w:w="540"/>
        <w:gridCol w:w="648"/>
        <w:gridCol w:w="432"/>
        <w:gridCol w:w="720"/>
        <w:gridCol w:w="540"/>
        <w:gridCol w:w="720"/>
        <w:gridCol w:w="720"/>
        <w:gridCol w:w="900"/>
      </w:tblGrid>
      <w:tr>
        <w:trPr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ind w:right="-29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Да се посочат целите и резултатите </w:t>
            </w:r>
          </w:p>
          <w:p>
            <w:pPr>
              <w:ind w:right="-29"/>
              <w:jc w:val="center"/>
              <w:rPr>
                <w:b/>
                <w:noProof/>
                <w:sz w:val="18"/>
                <w:szCs w:val="18"/>
              </w:rPr>
            </w:pPr>
          </w:p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sym w:font="Wingdings" w:char="F0F2"/>
            </w:r>
          </w:p>
        </w:tc>
        <w:tc>
          <w:tcPr>
            <w:tcW w:w="720" w:type="dxa"/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left w:val="nil"/>
            </w:tcBorders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Година </w:t>
            </w:r>
            <w:r>
              <w:rPr>
                <w:b/>
                <w:noProof/>
                <w:sz w:val="18"/>
                <w:szCs w:val="18"/>
              </w:rPr>
              <w:t>2020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Година </w:t>
            </w:r>
            <w:r>
              <w:rPr>
                <w:b/>
                <w:noProof/>
                <w:sz w:val="18"/>
                <w:szCs w:val="18"/>
              </w:rPr>
              <w:t>2021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Година </w:t>
            </w:r>
            <w:r>
              <w:rPr>
                <w:b/>
                <w:noProof/>
                <w:sz w:val="18"/>
                <w:szCs w:val="18"/>
              </w:rPr>
              <w:t>2022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Година </w:t>
            </w:r>
            <w:r>
              <w:rPr>
                <w:b/>
                <w:noProof/>
                <w:sz w:val="18"/>
                <w:szCs w:val="18"/>
              </w:rPr>
              <w:t>N+3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  <w:tc>
          <w:tcPr>
            <w:tcW w:w="1620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ОБЩО</w:t>
            </w:r>
          </w:p>
        </w:tc>
      </w:tr>
      <w:tr>
        <w:trPr>
          <w:jc w:val="center"/>
        </w:trPr>
        <w:tc>
          <w:tcPr>
            <w:tcW w:w="1423" w:type="dxa"/>
            <w:vMerge/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185" w:type="dxa"/>
            <w:gridSpan w:val="18"/>
            <w:vAlign w:val="center"/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РЕЗУЛТАТИ</w:t>
            </w:r>
          </w:p>
        </w:tc>
      </w:tr>
      <w:tr>
        <w:trPr>
          <w:cantSplit/>
          <w:trHeight w:val="1134"/>
          <w:jc w:val="center"/>
        </w:trPr>
        <w:tc>
          <w:tcPr>
            <w:tcW w:w="1423" w:type="dxa"/>
            <w:vMerge/>
            <w:vAlign w:val="center"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Вид</w:t>
            </w:r>
            <w:r>
              <w:rPr>
                <w:rStyle w:val="FootnoteReference"/>
                <w:noProof/>
                <w:sz w:val="18"/>
              </w:rPr>
              <w:footnoteReference w:id="8"/>
            </w:r>
          </w:p>
          <w:p>
            <w:pPr>
              <w:spacing w:before="0" w:after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Среден разход</w:t>
            </w:r>
          </w:p>
        </w:tc>
        <w:tc>
          <w:tcPr>
            <w:tcW w:w="504" w:type="dxa"/>
            <w:tcBorders>
              <w:left w:val="nil"/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90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</w:t>
            </w:r>
          </w:p>
        </w:tc>
        <w:tc>
          <w:tcPr>
            <w:tcW w:w="648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432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Общ брой</w:t>
            </w:r>
          </w:p>
        </w:tc>
        <w:tc>
          <w:tcPr>
            <w:tcW w:w="90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Общо разходи</w:t>
            </w:r>
          </w:p>
        </w:tc>
      </w:tr>
      <w:tr>
        <w:trPr>
          <w:jc w:val="center"/>
        </w:trPr>
        <w:tc>
          <w:tcPr>
            <w:tcW w:w="2844" w:type="dxa"/>
            <w:gridSpan w:val="3"/>
            <w:vAlign w:val="center"/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Многостранен съвет за домейна .eu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trHeight w:hRule="exact" w:val="817"/>
          <w:jc w:val="center"/>
        </w:trPr>
        <w:tc>
          <w:tcPr>
            <w:tcW w:w="1423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- възстановяване на разходите на експерти — пътни и дневни</w:t>
            </w: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0,001</w:t>
            </w:r>
          </w:p>
        </w:tc>
        <w:tc>
          <w:tcPr>
            <w:tcW w:w="504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32</w:t>
            </w:r>
          </w:p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0,032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0,032</w:t>
            </w:r>
          </w:p>
        </w:tc>
      </w:tr>
      <w:tr>
        <w:trPr>
          <w:trHeight w:hRule="exact" w:val="559"/>
          <w:jc w:val="center"/>
        </w:trPr>
        <w:tc>
          <w:tcPr>
            <w:tcW w:w="1423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- организиране на заседания</w:t>
            </w: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0,004</w:t>
            </w:r>
          </w:p>
        </w:tc>
        <w:tc>
          <w:tcPr>
            <w:tcW w:w="504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0,008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0,008</w:t>
            </w:r>
          </w:p>
        </w:tc>
      </w:tr>
      <w:tr>
        <w:trPr>
          <w:trHeight w:hRule="exact" w:val="1417"/>
          <w:jc w:val="center"/>
        </w:trPr>
        <w:tc>
          <w:tcPr>
            <w:tcW w:w="1423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- други разходи (външни доклади, проучвания)</w:t>
            </w: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0,005</w:t>
            </w:r>
          </w:p>
        </w:tc>
        <w:tc>
          <w:tcPr>
            <w:tcW w:w="504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0,010</w:t>
            </w:r>
          </w:p>
        </w:tc>
        <w:tc>
          <w:tcPr>
            <w:tcW w:w="54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0,010</w:t>
            </w:r>
          </w:p>
        </w:tc>
      </w:tr>
      <w:tr>
        <w:trPr>
          <w:jc w:val="center"/>
        </w:trPr>
        <w:tc>
          <w:tcPr>
            <w:tcW w:w="2844" w:type="dxa"/>
            <w:gridSpan w:val="3"/>
            <w:tcBorders>
              <w:bottom w:val="single" w:sz="12" w:space="0" w:color="auto"/>
            </w:tcBorders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Междинен сбор за конкретна цел № 3</w:t>
            </w:r>
          </w:p>
        </w:tc>
        <w:tc>
          <w:tcPr>
            <w:tcW w:w="504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0,050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0,050</w:t>
            </w:r>
          </w:p>
        </w:tc>
      </w:tr>
      <w:tr>
        <w:trPr>
          <w:jc w:val="center"/>
        </w:trPr>
        <w:tc>
          <w:tcPr>
            <w:tcW w:w="2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ОБЩО РАЗХОДИ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0,05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0,05</w:t>
            </w:r>
          </w:p>
        </w:tc>
      </w:tr>
    </w:tbl>
    <w:p>
      <w:pPr>
        <w:rPr>
          <w:noProof/>
        </w:rPr>
        <w:sectPr>
          <w:pgSz w:w="16840" w:h="11907" w:orient="landscape" w:code="9"/>
          <w:pgMar w:top="1134" w:right="1418" w:bottom="567" w:left="1418" w:header="709" w:footer="709" w:gutter="0"/>
          <w:cols w:space="708"/>
          <w:docGrid w:linePitch="360"/>
        </w:sectPr>
      </w:pPr>
    </w:p>
    <w:p>
      <w:pPr>
        <w:pStyle w:val="Heading3"/>
        <w:rPr>
          <w:bCs w:val="0"/>
          <w:noProof/>
          <w:szCs w:val="24"/>
        </w:rPr>
      </w:pPr>
      <w:r>
        <w:rPr>
          <w:noProof/>
        </w:rPr>
        <w:t>Очаквано въздействие върху бюджетните кредити за административни разходи</w:t>
      </w:r>
    </w:p>
    <w:p>
      <w:pPr>
        <w:pStyle w:val="Heading4"/>
        <w:rPr>
          <w:noProof/>
        </w:rPr>
      </w:pPr>
      <w:r>
        <w:rPr>
          <w:noProof/>
        </w:rPr>
        <w:t xml:space="preserve">Обобщение </w:t>
      </w:r>
    </w:p>
    <w:p>
      <w:pPr>
        <w:pStyle w:val="ListDash1"/>
        <w:rPr>
          <w:noProof/>
        </w:rPr>
      </w:pPr>
      <w:r>
        <w:rPr>
          <w:noProof/>
        </w:rPr>
        <w:sym w:font="Wingdings" w:char="F0FD"/>
      </w:r>
      <w:r>
        <w:rPr>
          <w:noProof/>
        </w:rPr>
        <w:tab/>
        <w:t xml:space="preserve">Предложението/инициативата не налага използване на бюджетни кредити за административни разходи 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налага използване на бюджетни кредити за административни разходи съгласно обяснението по-долу:</w:t>
      </w:r>
    </w:p>
    <w:p>
      <w:pPr>
        <w:rPr>
          <w:noProof/>
          <w:sz w:val="20"/>
        </w:rPr>
      </w:pPr>
      <w:r>
        <w:rPr>
          <w:noProof/>
          <w:sz w:val="20"/>
        </w:rPr>
        <w:t>млн. евро (до третия знак след десетичната запетая)</w:t>
      </w: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3240"/>
        <w:gridCol w:w="1080"/>
      </w:tblGrid>
      <w:tr>
        <w:trPr>
          <w:trHeight w:val="585"/>
        </w:trPr>
        <w:tc>
          <w:tcPr>
            <w:tcW w:w="1980" w:type="dxa"/>
          </w:tcPr>
          <w:p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Година </w:t>
            </w:r>
            <w:r>
              <w:rPr>
                <w:b/>
                <w:noProof/>
                <w:sz w:val="16"/>
                <w:szCs w:val="16"/>
              </w:rPr>
              <w:t>2019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Година </w:t>
            </w:r>
            <w:r>
              <w:rPr>
                <w:b/>
                <w:noProof/>
                <w:sz w:val="16"/>
                <w:szCs w:val="16"/>
              </w:rPr>
              <w:t>2020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Година </w:t>
            </w:r>
            <w:r>
              <w:rPr>
                <w:b/>
                <w:noProof/>
                <w:sz w:val="16"/>
                <w:szCs w:val="16"/>
              </w:rPr>
              <w:t>2021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Година </w:t>
            </w:r>
            <w:r>
              <w:rPr>
                <w:b/>
                <w:noProof/>
                <w:sz w:val="16"/>
                <w:szCs w:val="16"/>
              </w:rPr>
              <w:t>2022</w:t>
            </w:r>
          </w:p>
        </w:tc>
        <w:tc>
          <w:tcPr>
            <w:tcW w:w="3240" w:type="dxa"/>
            <w:vAlign w:val="center"/>
          </w:tcPr>
          <w:p>
            <w:pPr>
              <w:spacing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</w:tr>
    </w:tbl>
    <w:p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ФУНКЦИЯ 5от многогодишната финансова рамка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Човешки ресурси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20" w:after="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Други разходи с</w:t>
            </w:r>
            <w:r>
              <w:rPr>
                <w:noProof/>
                <w:sz w:val="16"/>
              </w:rPr>
              <w:t xml:space="preserve"> административен характер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 xml:space="preserve">Междинен сбор за ФУНКЦИЯ 5от многогодишната финансова рамка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</w:tbl>
    <w:p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извън ФУНКЦИЯ 5</w:t>
            </w:r>
            <w:r>
              <w:rPr>
                <w:rStyle w:val="FootnoteReference"/>
                <w:b/>
                <w:noProof/>
                <w:sz w:val="16"/>
              </w:rPr>
              <w:footnoteReference w:id="9"/>
            </w:r>
            <w:r>
              <w:rPr>
                <w:b/>
                <w:noProof/>
                <w:sz w:val="16"/>
              </w:rPr>
              <w:t xml:space="preserve">от многогодишната финансова рамка </w:t>
            </w:r>
          </w:p>
          <w:p>
            <w:pPr>
              <w:spacing w:before="0" w:after="0" w:line="200" w:lineRule="exact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Човешки ресурси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Други разходи </w:t>
            </w:r>
            <w:r>
              <w:rPr>
                <w:noProof/>
                <w:sz w:val="16"/>
              </w:rPr>
              <w:t>с административен характер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 xml:space="preserve">Междинен сбор извън ФУНКЦИЯ 5 от многогодишната финансова рамка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</w:tbl>
    <w:p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</w:tbl>
    <w:p>
      <w:pPr>
        <w:rPr>
          <w:noProof/>
          <w:sz w:val="18"/>
        </w:rPr>
        <w:sectPr>
          <w:headerReference w:type="default" r:id="rId22"/>
          <w:footerReference w:type="default" r:id="rId23"/>
          <w:headerReference w:type="first" r:id="rId24"/>
          <w:footerReference w:type="first" r:id="rId25"/>
          <w:pgSz w:w="11907" w:h="16840"/>
          <w:pgMar w:top="1134" w:right="1418" w:bottom="1134" w:left="1418" w:header="709" w:footer="709" w:gutter="0"/>
          <w:cols w:space="708"/>
          <w:docGrid w:linePitch="360"/>
        </w:sectPr>
      </w:pPr>
      <w:r>
        <w:rPr>
          <w:noProof/>
          <w:sz w:val="18"/>
        </w:rPr>
        <w:t>Нуждите от бюджетни кредити за човешки ресурси и за другите разходи с административен характер ще бъдат покрити с бюджетните кредити на ГД, които вече са отпуснати за управлението на действието и/или които са преразпределени в рамките на ГД, при необходимост заедно с всички допълнителни ресурси,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ограничения.</w:t>
      </w:r>
    </w:p>
    <w:p>
      <w:pPr>
        <w:pStyle w:val="Heading4"/>
        <w:rPr>
          <w:bCs w:val="0"/>
          <w:noProof/>
          <w:szCs w:val="24"/>
        </w:rPr>
      </w:pPr>
      <w:r>
        <w:rPr>
          <w:noProof/>
        </w:rPr>
        <w:t>Очаквани нужди от човешки ресурси</w:t>
      </w:r>
    </w:p>
    <w:p>
      <w:pPr>
        <w:pStyle w:val="ListDash1"/>
        <w:rPr>
          <w:noProof/>
        </w:rPr>
      </w:pPr>
      <w:r>
        <w:rPr>
          <w:noProof/>
        </w:rPr>
        <w:sym w:font="Wingdings" w:char="F0FD"/>
      </w:r>
      <w:r>
        <w:rPr>
          <w:noProof/>
        </w:rPr>
        <w:tab/>
        <w:t xml:space="preserve">Предложението/инициативата не налага използване на човешки ресурси. 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налага използване на човешки ресурси съгласно обяснението по-долу:</w:t>
      </w:r>
    </w:p>
    <w:p>
      <w:pPr>
        <w:spacing w:after="60"/>
        <w:jc w:val="right"/>
        <w:rPr>
          <w:i/>
          <w:noProof/>
          <w:sz w:val="20"/>
        </w:rPr>
      </w:pPr>
      <w:r>
        <w:rPr>
          <w:i/>
          <w:noProof/>
          <w:sz w:val="20"/>
        </w:rPr>
        <w:t>Разчетните данни се посочват в еквиваленти на пълно работно време</w:t>
      </w:r>
    </w:p>
    <w:tbl>
      <w:tblPr>
        <w:tblW w:w="554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951"/>
        <w:gridCol w:w="1953"/>
        <w:gridCol w:w="805"/>
        <w:gridCol w:w="851"/>
        <w:gridCol w:w="993"/>
        <w:gridCol w:w="851"/>
        <w:gridCol w:w="2409"/>
        <w:gridCol w:w="237"/>
        <w:gridCol w:w="236"/>
      </w:tblGrid>
      <w:tr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</w:tcPr>
          <w:p>
            <w:pPr>
              <w:pStyle w:val="Text1"/>
              <w:spacing w:before="40" w:after="40"/>
              <w:ind w:left="0"/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Година </w:t>
            </w:r>
            <w:r>
              <w:rPr>
                <w:b/>
                <w:noProof/>
                <w:sz w:val="16"/>
                <w:szCs w:val="16"/>
              </w:rPr>
              <w:t>2019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Година </w:t>
            </w:r>
            <w:r>
              <w:rPr>
                <w:b/>
                <w:noProof/>
                <w:sz w:val="16"/>
                <w:szCs w:val="16"/>
              </w:rPr>
              <w:t>2020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</w:t>
            </w:r>
          </w:p>
          <w:p>
            <w:pPr>
              <w:spacing w:before="20" w:after="2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2021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</w:t>
            </w:r>
          </w:p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2022</w:t>
            </w:r>
          </w:p>
        </w:tc>
        <w:tc>
          <w:tcPr>
            <w:tcW w:w="1398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3183" w:type="pct"/>
            <w:gridSpan w:val="5"/>
            <w:shd w:val="clear" w:color="auto" w:fill="auto"/>
          </w:tcPr>
          <w:p>
            <w:pPr>
              <w:spacing w:before="20" w:after="2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sym w:font="Wingdings" w:char="F09F"/>
            </w:r>
            <w:r>
              <w:rPr>
                <w:b/>
                <w:noProof/>
                <w:sz w:val="16"/>
              </w:rPr>
              <w:t>Длъжности в щатното разписание (длъжностни лица и временно наети лица)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398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01 01 (Централа и представителства на Комисията)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01 02 (Делегации)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05 01 (Непреки научни изследвания)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 01 05 01 (Преки научни изследвания)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After w:val="2"/>
          <w:wAfter w:w="228" w:type="pct"/>
          <w:trHeight w:val="248"/>
          <w:jc w:val="center"/>
        </w:trPr>
        <w:tc>
          <w:tcPr>
            <w:tcW w:w="4772" w:type="pct"/>
            <w:gridSpan w:val="8"/>
            <w:shd w:val="clear" w:color="auto" w:fill="auto"/>
            <w:vAlign w:val="center"/>
          </w:tcPr>
          <w:p>
            <w:pPr>
              <w:pStyle w:val="Text1"/>
              <w:spacing w:before="60" w:after="60"/>
              <w:ind w:left="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sym w:font="Wingdings" w:char="F09F"/>
            </w:r>
            <w:r>
              <w:rPr>
                <w:b/>
                <w:noProof/>
                <w:sz w:val="16"/>
              </w:rPr>
              <w:t>Външен персонал (в еквивалент на пълно работно време — ЕПРВ)</w:t>
            </w:r>
            <w:r>
              <w:rPr>
                <w:rStyle w:val="FootnoteReference"/>
                <w:b/>
                <w:noProof/>
                <w:sz w:val="16"/>
              </w:rPr>
              <w:footnoteReference w:id="10"/>
            </w:r>
          </w:p>
          <w:p>
            <w:pPr>
              <w:pStyle w:val="Text1"/>
              <w:spacing w:before="0" w:after="0"/>
              <w:ind w:left="0"/>
              <w:jc w:val="left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02 01 (ДНП, КНЕ, ПНА от общия финансов пакет)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02 02 (ДНП, МП, КНЕ, ПНА и МЕД в делегациите)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948" w:type="pct"/>
            <w:vMerge w:val="restar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XX</w:t>
            </w:r>
            <w:r>
              <w:rPr>
                <w:noProof/>
                <w:sz w:val="16"/>
              </w:rPr>
              <w:t xml:space="preserve"> 01 04 </w:t>
            </w:r>
            <w:r>
              <w:rPr>
                <w:b/>
                <w:noProof/>
                <w:sz w:val="16"/>
              </w:rPr>
              <w:t>yy</w:t>
            </w:r>
            <w:r>
              <w:rPr>
                <w:b/>
                <w:i/>
                <w:noProof/>
                <w:sz w:val="16"/>
              </w:rPr>
              <w:t xml:space="preserve"> </w:t>
            </w:r>
            <w:r>
              <w:rPr>
                <w:rStyle w:val="FootnoteReference"/>
                <w:b/>
                <w:i/>
                <w:noProof/>
                <w:sz w:val="16"/>
              </w:rPr>
              <w:footnoteReference w:id="11"/>
            </w:r>
          </w:p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- в централата</w:t>
            </w:r>
          </w:p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0"/>
              <w:rPr>
                <w:noProof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948" w:type="pct"/>
            <w:vMerge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- в делегациите 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0"/>
              <w:rPr>
                <w:noProof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XX</w:t>
            </w:r>
            <w:r>
              <w:rPr>
                <w:noProof/>
                <w:sz w:val="16"/>
                <w:szCs w:val="16"/>
              </w:rPr>
              <w:t xml:space="preserve"> 01 05 02 (ДНП, КНЕ, ПНА — непреки научни изследвания)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 01 05 02 (ДНП, ПНА, КНЕ — преки научни изследвания)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Други бюджетни редове (да се посочат)</w:t>
            </w:r>
          </w:p>
        </w:tc>
        <w:tc>
          <w:tcPr>
            <w:tcW w:w="39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1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8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1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6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  <w:tc>
          <w:tcPr>
            <w:tcW w:w="39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</w:tr>
    </w:tbl>
    <w:p>
      <w:pPr>
        <w:pStyle w:val="Text1"/>
        <w:spacing w:before="60" w:after="60"/>
        <w:ind w:left="851"/>
        <w:rPr>
          <w:noProof/>
          <w:sz w:val="18"/>
          <w:szCs w:val="18"/>
        </w:rPr>
      </w:pPr>
      <w:r>
        <w:rPr>
          <w:b/>
          <w:noProof/>
          <w:sz w:val="18"/>
        </w:rPr>
        <w:t>XX</w:t>
      </w:r>
      <w:r>
        <w:rPr>
          <w:noProof/>
        </w:rPr>
        <w:t xml:space="preserve"> е съответната област на политика или бюджетен дял.</w:t>
      </w:r>
    </w:p>
    <w:p>
      <w:pPr>
        <w:pStyle w:val="Text1"/>
        <w:rPr>
          <w:noProof/>
          <w:sz w:val="18"/>
          <w:szCs w:val="18"/>
        </w:rPr>
      </w:pPr>
      <w:r>
        <w:rPr>
          <w:noProof/>
          <w:sz w:val="18"/>
        </w:rPr>
        <w:t>Нуждите от човешки ресурси ще бъдат покрити от персонала на ГД, на който вече е възложено управлението на дейността и/или който е преразпределен в рамките на ГД, при необходимост заедно с всички допълнителни отпуснати ресурси,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ограничения.</w:t>
      </w:r>
    </w:p>
    <w:p>
      <w:pPr>
        <w:rPr>
          <w:noProof/>
          <w:sz w:val="20"/>
        </w:rPr>
      </w:pPr>
      <w:r>
        <w:rPr>
          <w:noProof/>
          <w:sz w:val="20"/>
        </w:rPr>
        <w:t>Описание на задачите, които трябва да се изпълнят:</w:t>
      </w:r>
    </w:p>
    <w:tbl>
      <w:tblPr>
        <w:tblW w:w="10440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200"/>
      </w:tblGrid>
      <w:tr>
        <w:tc>
          <w:tcPr>
            <w:tcW w:w="3240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Длъжностни лица и срочно наети служители</w:t>
            </w:r>
          </w:p>
        </w:tc>
        <w:tc>
          <w:tcPr>
            <w:tcW w:w="7200" w:type="dxa"/>
          </w:tcPr>
          <w:p>
            <w:pPr>
              <w:rPr>
                <w:noProof/>
                <w:sz w:val="20"/>
              </w:rPr>
            </w:pPr>
          </w:p>
        </w:tc>
      </w:tr>
      <w:tr>
        <w:tc>
          <w:tcPr>
            <w:tcW w:w="3240" w:type="dxa"/>
          </w:tcPr>
          <w:p>
            <w:pPr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Външен персонал</w:t>
            </w:r>
          </w:p>
        </w:tc>
        <w:tc>
          <w:tcPr>
            <w:tcW w:w="7200" w:type="dxa"/>
          </w:tcPr>
          <w:p>
            <w:pPr>
              <w:rPr>
                <w:noProof/>
                <w:sz w:val="20"/>
              </w:rPr>
            </w:pPr>
          </w:p>
        </w:tc>
      </w:tr>
    </w:tbl>
    <w:p>
      <w:pPr>
        <w:rPr>
          <w:noProof/>
        </w:rPr>
        <w:sectPr>
          <w:pgSz w:w="11907" w:h="16840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Heading3"/>
        <w:rPr>
          <w:bCs w:val="0"/>
          <w:noProof/>
          <w:szCs w:val="24"/>
        </w:rPr>
      </w:pPr>
      <w:r>
        <w:rPr>
          <w:noProof/>
        </w:rPr>
        <w:t xml:space="preserve">Съвместимост с настоящата многогодишна финансова рамка </w:t>
      </w:r>
    </w:p>
    <w:p>
      <w:pPr>
        <w:pStyle w:val="ListDash1"/>
        <w:rPr>
          <w:noProof/>
        </w:rPr>
      </w:pPr>
      <w:r>
        <w:rPr>
          <w:noProof/>
        </w:rPr>
        <w:sym w:font="Wingdings" w:char="F0FD"/>
      </w:r>
      <w:r>
        <w:rPr>
          <w:noProof/>
        </w:rPr>
        <w:tab/>
        <w:t>Предложението/инициативата е съвместимо(а) с настоящата многогодишна финансова рамка.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налага препрограмиране на съответната функция от многогодишната финансова рамка.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0"/>
        </w:rPr>
      </w:pPr>
      <w:r>
        <w:rPr>
          <w:noProof/>
          <w:sz w:val="20"/>
        </w:rPr>
        <w:t>Няма да са необходими допълнителни ресурси от бюджета на ЕС в сравнение с вече предвиденото във финансовите програми.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налага да се използва инструментът за гъвкавост или да се преразгледа многогодишната финансова рамка.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0"/>
        </w:rPr>
      </w:pPr>
      <w:r>
        <w:rPr>
          <w:noProof/>
          <w:sz w:val="20"/>
        </w:rPr>
        <w:t>Обяснете какво е необходимо, като посочите съответните функции, бюджетни редове и суми.</w:t>
      </w:r>
    </w:p>
    <w:p>
      <w:pPr>
        <w:pStyle w:val="Heading3"/>
        <w:rPr>
          <w:bCs w:val="0"/>
          <w:noProof/>
          <w:szCs w:val="24"/>
        </w:rPr>
      </w:pPr>
      <w:r>
        <w:rPr>
          <w:noProof/>
        </w:rPr>
        <w:t xml:space="preserve">Участие на трети страни във финансирането </w:t>
      </w:r>
    </w:p>
    <w:p>
      <w:pPr>
        <w:pStyle w:val="ListDash1"/>
        <w:rPr>
          <w:noProof/>
        </w:rPr>
      </w:pPr>
      <w:r>
        <w:rPr>
          <w:noProof/>
        </w:rPr>
        <w:t xml:space="preserve">Предложението/инициативата не предвижда съфинансиране от трети страни. </w:t>
      </w:r>
    </w:p>
    <w:p>
      <w:pPr>
        <w:pStyle w:val="ListDash1"/>
        <w:rPr>
          <w:noProof/>
        </w:rPr>
      </w:pPr>
      <w:r>
        <w:rPr>
          <w:noProof/>
        </w:rPr>
        <w:t>Предложението/инициативата предвижда съфинансиране съгласно следните прогнози:</w:t>
      </w:r>
    </w:p>
    <w:p>
      <w:pPr>
        <w:jc w:val="right"/>
        <w:rPr>
          <w:noProof/>
          <w:sz w:val="20"/>
        </w:rPr>
      </w:pPr>
      <w:r>
        <w:rPr>
          <w:noProof/>
          <w:sz w:val="20"/>
        </w:rPr>
        <w:t>Бюджетни кредити в млн. евро (до третия знак след десетичната запетая)</w:t>
      </w:r>
    </w:p>
    <w:tbl>
      <w:tblPr>
        <w:tblW w:w="10246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964"/>
        <w:gridCol w:w="964"/>
        <w:gridCol w:w="964"/>
        <w:gridCol w:w="964"/>
        <w:gridCol w:w="964"/>
        <w:gridCol w:w="964"/>
        <w:gridCol w:w="964"/>
        <w:gridCol w:w="1158"/>
      </w:tblGrid>
      <w:tr>
        <w:trPr>
          <w:cantSplit/>
        </w:trPr>
        <w:tc>
          <w:tcPr>
            <w:tcW w:w="2340" w:type="dxa"/>
          </w:tcPr>
          <w:p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Година</w:t>
            </w:r>
            <w:r>
              <w:rPr>
                <w:b/>
                <w:noProof/>
                <w:sz w:val="20"/>
                <w:szCs w:val="20"/>
              </w:rPr>
              <w:t>N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Година</w:t>
            </w:r>
            <w:r>
              <w:rPr>
                <w:b/>
                <w:noProof/>
                <w:sz w:val="20"/>
                <w:szCs w:val="20"/>
              </w:rPr>
              <w:t>N+1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Година</w:t>
            </w:r>
            <w:r>
              <w:rPr>
                <w:b/>
                <w:noProof/>
                <w:sz w:val="20"/>
                <w:szCs w:val="20"/>
              </w:rPr>
              <w:t>N+2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Година</w:t>
            </w:r>
            <w:r>
              <w:rPr>
                <w:b/>
                <w:noProof/>
                <w:sz w:val="20"/>
                <w:szCs w:val="20"/>
              </w:rPr>
              <w:t>N+3</w:t>
            </w:r>
          </w:p>
        </w:tc>
        <w:tc>
          <w:tcPr>
            <w:tcW w:w="2892" w:type="dxa"/>
            <w:gridSpan w:val="3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  <w:tc>
          <w:tcPr>
            <w:tcW w:w="1158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Общо</w:t>
            </w:r>
          </w:p>
        </w:tc>
      </w:tr>
      <w:tr>
        <w:trPr>
          <w:cantSplit/>
        </w:trPr>
        <w:tc>
          <w:tcPr>
            <w:tcW w:w="2340" w:type="dxa"/>
          </w:tcPr>
          <w:p>
            <w:pPr>
              <w:rPr>
                <w:noProof/>
              </w:rPr>
            </w:pPr>
            <w:r>
              <w:rPr>
                <w:noProof/>
                <w:sz w:val="20"/>
              </w:rPr>
              <w:t>Да се посочи съфинансиращият орган</w:t>
            </w:r>
            <w:r>
              <w:rPr>
                <w:i/>
                <w:noProof/>
                <w:sz w:val="20"/>
              </w:rPr>
              <w:t xml:space="preserve"> </w:t>
            </w: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>
        <w:trPr>
          <w:cantSplit/>
        </w:trPr>
        <w:tc>
          <w:tcPr>
            <w:tcW w:w="2340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ОБЩО съфинансирани бюджетни кредити </w:t>
            </w: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  <w:r>
        <w:rPr>
          <w:noProof/>
        </w:rPr>
        <w:br/>
      </w:r>
    </w:p>
    <w:p>
      <w:pPr>
        <w:pStyle w:val="Heading2"/>
        <w:rPr>
          <w:bCs w:val="0"/>
          <w:noProof/>
          <w:szCs w:val="24"/>
        </w:rPr>
      </w:pPr>
      <w:r>
        <w:rPr>
          <w:noProof/>
        </w:rPr>
        <w:br w:type="page"/>
        <w:t xml:space="preserve">Очаквано отражение върху приходите </w:t>
      </w:r>
    </w:p>
    <w:p>
      <w:pPr>
        <w:pStyle w:val="ListDash1"/>
        <w:rPr>
          <w:noProof/>
        </w:rPr>
      </w:pPr>
      <w:r>
        <w:rPr>
          <w:noProof/>
        </w:rPr>
        <w:sym w:font="Wingdings" w:char="F0FD"/>
      </w:r>
      <w:r>
        <w:rPr>
          <w:noProof/>
        </w:rPr>
        <w:tab/>
        <w:t>Предложението/инициативата няма финансово въздействие върху приходите.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има следното финансово въздействие:</w:t>
      </w:r>
    </w:p>
    <w:p>
      <w:pPr>
        <w:pStyle w:val="ListNumberLevel3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върху собствените ресурси </w:t>
      </w:r>
    </w:p>
    <w:p>
      <w:pPr>
        <w:pStyle w:val="ListNumberLevel3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върху разните приходи </w:t>
      </w:r>
    </w:p>
    <w:p>
      <w:pPr>
        <w:jc w:val="right"/>
        <w:rPr>
          <w:i/>
          <w:noProof/>
          <w:sz w:val="20"/>
        </w:rPr>
      </w:pPr>
      <w:r>
        <w:rPr>
          <w:noProof/>
        </w:rPr>
        <w:t>млн. евро (до третия знак след десетичната запетая)</w:t>
      </w:r>
    </w:p>
    <w:tbl>
      <w:tblPr>
        <w:tblW w:w="106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1276"/>
        <w:gridCol w:w="1080"/>
        <w:gridCol w:w="900"/>
        <w:gridCol w:w="900"/>
        <w:gridCol w:w="1080"/>
        <w:gridCol w:w="1080"/>
        <w:gridCol w:w="1080"/>
        <w:gridCol w:w="1080"/>
      </w:tblGrid>
      <w:tr>
        <w:trPr>
          <w:trHeight w:val="388"/>
        </w:trPr>
        <w:tc>
          <w:tcPr>
            <w:tcW w:w="2144" w:type="dxa"/>
            <w:vMerge w:val="restart"/>
            <w:vAlign w:val="center"/>
          </w:tcPr>
          <w:p>
            <w:pPr>
              <w:spacing w:before="40" w:after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Приходен бюджетен ред: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Налични бюджетни кредити за текущата финансова година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Въздействие на предложението/инициативата</w:t>
            </w:r>
            <w:r>
              <w:rPr>
                <w:rStyle w:val="FootnoteReference"/>
                <w:noProof/>
                <w:sz w:val="18"/>
              </w:rPr>
              <w:footnoteReference w:id="12"/>
            </w:r>
          </w:p>
        </w:tc>
      </w:tr>
      <w:tr>
        <w:trPr>
          <w:trHeight w:val="388"/>
        </w:trPr>
        <w:tc>
          <w:tcPr>
            <w:tcW w:w="2144" w:type="dxa"/>
            <w:vMerge/>
          </w:tcPr>
          <w:p>
            <w:pPr>
              <w:spacing w:before="40" w:after="40"/>
              <w:rPr>
                <w:noProof/>
                <w:sz w:val="18"/>
              </w:rPr>
            </w:pPr>
          </w:p>
        </w:tc>
        <w:tc>
          <w:tcPr>
            <w:tcW w:w="1276" w:type="dxa"/>
            <w:vMerge/>
          </w:tcPr>
          <w:p>
            <w:pPr>
              <w:spacing w:beforeLines="40" w:before="96" w:afterLines="40" w:after="96"/>
              <w:rPr>
                <w:i/>
                <w:noProof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Година </w:t>
            </w:r>
            <w:r>
              <w:rPr>
                <w:b/>
                <w:noProof/>
                <w:sz w:val="18"/>
                <w:szCs w:val="18"/>
              </w:rPr>
              <w:t>N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Година</w:t>
            </w:r>
            <w:r>
              <w:rPr>
                <w:b/>
                <w:noProof/>
                <w:sz w:val="18"/>
                <w:szCs w:val="18"/>
              </w:rPr>
              <w:t>N+1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Година</w:t>
            </w:r>
            <w:r>
              <w:rPr>
                <w:b/>
                <w:noProof/>
                <w:sz w:val="18"/>
                <w:szCs w:val="18"/>
              </w:rPr>
              <w:t>N+2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Година </w:t>
            </w:r>
            <w:r>
              <w:rPr>
                <w:b/>
                <w:noProof/>
                <w:sz w:val="18"/>
                <w:szCs w:val="18"/>
              </w:rPr>
              <w:t>N+3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</w:tr>
      <w:tr>
        <w:trPr>
          <w:trHeight w:val="388"/>
        </w:trPr>
        <w:tc>
          <w:tcPr>
            <w:tcW w:w="2144" w:type="dxa"/>
            <w:vAlign w:val="center"/>
          </w:tcPr>
          <w:p>
            <w:pPr>
              <w:spacing w:before="40" w:after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Статия …</w:t>
            </w:r>
          </w:p>
        </w:tc>
        <w:tc>
          <w:tcPr>
            <w:tcW w:w="1276" w:type="dxa"/>
          </w:tcPr>
          <w:p>
            <w:pPr>
              <w:spacing w:beforeLines="40" w:before="96" w:afterLines="40" w:after="96"/>
              <w:jc w:val="center"/>
              <w:rPr>
                <w:i/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90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90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</w:tr>
    </w:tbl>
    <w:p>
      <w:pPr>
        <w:pStyle w:val="Text1"/>
        <w:rPr>
          <w:noProof/>
          <w:sz w:val="20"/>
        </w:rPr>
      </w:pPr>
      <w:r>
        <w:rPr>
          <w:noProof/>
          <w:sz w:val="20"/>
        </w:rPr>
        <w:t>За разните „целеви“ приходи да се посочат съответните разходни бюджетни редове.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>
      <w:pPr>
        <w:pStyle w:val="Text1"/>
        <w:rPr>
          <w:noProof/>
        </w:rPr>
      </w:pPr>
      <w:r>
        <w:rPr>
          <w:noProof/>
          <w:sz w:val="20"/>
        </w:rPr>
        <w:t>Да се посочи методът за изчисляване на отражението върху приходите.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Съгласно член 54, параграф 2, буква а) или б) от Финансовия регламент.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Възможното въздействие върху следващата многогодишна финансова рамка (МФР) за периода 2021—2027 г. ще бъде разгледано при преговорите по нея.</w:t>
      </w:r>
    </w:p>
  </w:footnote>
  <w:footnote w:id="3">
    <w:p>
      <w:pPr>
        <w:pStyle w:val="FootnoteText"/>
        <w:jc w:val="left"/>
        <w:rPr>
          <w:szCs w:val="24"/>
        </w:rPr>
      </w:pPr>
      <w:r>
        <w:rPr>
          <w:rStyle w:val="FootnoteReference"/>
        </w:rPr>
        <w:footnoteRef/>
      </w:r>
      <w:r>
        <w:tab/>
        <w:t xml:space="preserve">Информация за методите на управление и позоваванията на Финансовия регламент може да бъде намерена на уебсайта BudgWeb: </w:t>
      </w:r>
      <w:hyperlink r:id="rId1">
        <w:r>
          <w:rPr>
            <w:rStyle w:val="Hyperlink"/>
          </w:rPr>
          <w:t>https://myintracomm.ec.europa.eu/budgweb/EN/man/budgmanag/Pages/budgmanag.aspx</w:t>
        </w:r>
      </w:hyperlink>
      <w:r>
        <w:t xml:space="preserve"> </w:t>
      </w:r>
    </w:p>
  </w:footnote>
  <w:footnote w:id="4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МБК = многогодишни бюджетни кредити / ЕБК = едногодишни бюджетни кредити</w:t>
      </w:r>
    </w:p>
  </w:footnote>
  <w:footnote w:id="5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ЕАСТ: Европейска асоциация за свободна търговия. </w:t>
      </w:r>
    </w:p>
  </w:footnote>
  <w:footnote w:id="6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Държави кандидатки и където е приложимо — потенциални кандидатки от Западните Балкани.</w:t>
      </w:r>
    </w:p>
  </w:footnote>
  <w:footnote w:id="7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Техническа и/или административна помощ и разходи в подкрепа на изпълнението на програми и/или дейности на ЕС (предишни редове BA), непреки научни изследвания, преки научни изследвания.</w:t>
      </w:r>
    </w:p>
  </w:footnote>
  <w:footnote w:id="8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Резултатите са продуктите и услугите, които ще бъдат доставени (напр.: брой финансирани обмени на учащи се, дължина на построените пътища в километри и т.н.).</w:t>
      </w:r>
    </w:p>
  </w:footnote>
  <w:footnote w:id="9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Техническа и/или административна помощ и разходи в подкрепа на изпълнението на програми и/или действия на ЕС (предишни редове BA), непреки научни изследвания, преки научни изследвания.</w:t>
      </w:r>
    </w:p>
  </w:footnote>
  <w:footnote w:id="10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ДНП = договорно нает персонал; МП = местен персонал; КНЕ = командирован национален експерт; ПНА = персонал, нает чрез агенции за временна заетост; МЕД = младши експерт в делегация. </w:t>
      </w:r>
    </w:p>
  </w:footnote>
  <w:footnote w:id="11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Подтаван за външния персонал, покрит с бюджетните кредити за оперативни разходи (предишни редове BA).</w:t>
      </w:r>
    </w:p>
  </w:footnote>
  <w:footnote w:id="12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Що се отнася до традиционните собствени ресурси (мита, налози върху захарта), посочените суми трябва да бъдат нетни, т.е. брутни суми, от които са приспаднати 25 % за разходи по събирането.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14AD7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234F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094A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A9E12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EBA54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7AA4F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9"/>
    <w:multiLevelType w:val="singleLevel"/>
    <w:tmpl w:val="1D14DD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62C6A95"/>
    <w:multiLevelType w:val="singleLevel"/>
    <w:tmpl w:val="02BAFA82"/>
    <w:name w:val="List Bullet 1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2D820C1F"/>
    <w:multiLevelType w:val="singleLevel"/>
    <w:tmpl w:val="7896AADE"/>
    <w:name w:val="List Dash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489D74ED"/>
    <w:multiLevelType w:val="singleLevel"/>
    <w:tmpl w:val="C2E2F936"/>
    <w:name w:val="List Dash 2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7">
    <w:nsid w:val="4D0C058A"/>
    <w:multiLevelType w:val="singleLevel"/>
    <w:tmpl w:val="BAE8D90E"/>
    <w:name w:val="List Dash 1"/>
    <w:lvl w:ilvl="0">
      <w:start w:val="1"/>
      <w:numFmt w:val="bullet"/>
      <w:pStyle w:val="ListDash1"/>
      <w:lvlText w:val="–"/>
      <w:lvlJc w:val="left"/>
      <w:pPr>
        <w:tabs>
          <w:tab w:val="num" w:pos="1700"/>
        </w:tabs>
        <w:ind w:left="1700" w:hanging="283"/>
      </w:pPr>
      <w:rPr>
        <w:rFonts w:ascii="Times New Roman" w:hAnsi="Times New Roman"/>
      </w:rPr>
    </w:lvl>
  </w:abstractNum>
  <w:abstractNum w:abstractNumId="18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>
    <w:nsid w:val="71F06166"/>
    <w:multiLevelType w:val="multilevel"/>
    <w:tmpl w:val="C08066D2"/>
    <w:name w:val="0,3405529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16"/>
  </w:num>
  <w:num w:numId="5">
    <w:abstractNumId w:val="24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3"/>
  </w:num>
  <w:num w:numId="16">
    <w:abstractNumId w:val="23"/>
  </w:num>
  <w:num w:numId="17">
    <w:abstractNumId w:val="11"/>
  </w:num>
  <w:num w:numId="18">
    <w:abstractNumId w:val="14"/>
  </w:num>
  <w:num w:numId="19">
    <w:abstractNumId w:val="9"/>
  </w:num>
  <w:num w:numId="20">
    <w:abstractNumId w:val="22"/>
  </w:num>
  <w:num w:numId="21">
    <w:abstractNumId w:val="8"/>
  </w:num>
  <w:num w:numId="22">
    <w:abstractNumId w:val="15"/>
  </w:num>
  <w:num w:numId="23">
    <w:abstractNumId w:val="19"/>
  </w:num>
  <w:num w:numId="24">
    <w:abstractNumId w:val="20"/>
  </w:num>
  <w:num w:numId="25">
    <w:abstractNumId w:val="10"/>
  </w:num>
  <w:num w:numId="26">
    <w:abstractNumId w:val="18"/>
  </w:num>
  <w:num w:numId="27">
    <w:abstractNumId w:val="25"/>
  </w:num>
  <w:num w:numId="28">
    <w:abstractNumId w:val="21"/>
  </w:num>
  <w:num w:numId="29">
    <w:abstractNumId w:val="13"/>
  </w:num>
  <w:num w:numId="30">
    <w:abstractNumId w:val="23"/>
  </w:num>
  <w:num w:numId="31">
    <w:abstractNumId w:val="11"/>
  </w:num>
  <w:num w:numId="32">
    <w:abstractNumId w:val="14"/>
  </w:num>
  <w:num w:numId="33">
    <w:abstractNumId w:val="9"/>
  </w:num>
  <w:num w:numId="34">
    <w:abstractNumId w:val="22"/>
  </w:num>
  <w:num w:numId="35">
    <w:abstractNumId w:val="8"/>
  </w:num>
  <w:num w:numId="36">
    <w:abstractNumId w:val="15"/>
  </w:num>
  <w:num w:numId="37">
    <w:abstractNumId w:val="19"/>
  </w:num>
  <w:num w:numId="38">
    <w:abstractNumId w:val="20"/>
  </w:num>
  <w:num w:numId="39">
    <w:abstractNumId w:val="10"/>
  </w:num>
  <w:num w:numId="40">
    <w:abstractNumId w:val="18"/>
  </w:num>
  <w:num w:numId="41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18 12:02:2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0A03EFE-2C71-4945-896C-E057970B724B"/>
    <w:docVar w:name="LW_COVERPAGE_TYPE" w:val="1"/>
    <w:docVar w:name="LW_CROSSREFERENCE" w:val="{SEC(2018) 205 final}_x000b_{SWD(2018) 120 final}_x000b_{SWD(2018) 121 final}_x000b_{SWD(2018) 122 final}"/>
    <w:docVar w:name="LW_DocType" w:val="ANNEX"/>
    <w:docVar w:name="LW_EMISSION" w:val="27.4.2018"/>
    <w:docVar w:name="LW_EMISSION_ISODATE" w:val="2018-04-27"/>
    <w:docVar w:name="LW_EMISSION_LOCATION" w:val="BRX"/>
    <w:docVar w:name="LW_EMISSION_PREFIX" w:val="\u1041?\u1088?\u1102?\u1082?\u1089?\u1077?\u1083?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8?\u1077?\u1072?\u1083?\u1080?\u1079?\u1072?\u1094?\u1080?\u1103?\u1090?\u1072? \u1080? \u1092?\u1091?\u1085?\u1082?\u1094?\u1080?\u1086?\u1085?\u1080?\u1088?\u1072?\u1085?\u1077?\u1090?\u1086? \u1085?\u1072? \u1076?\u1086?\u1084?\u1077?\u1081?\u1085?\u1072? \u1086?\u1090? \u1087?\u1098?\u1088?\u1074?\u1086? \u1085?\u1080?\u1074?\u1086? .eu \u1080? \u1079?\u1072? \u1086?\u1090?\u1084?\u1103?\u1085?\u1072? \u1085?\u1072? \u1056?\u1077?\u1075?\u1083?\u1072?\u1084?\u1077?\u1085?\u1090? (\u1045?\u1054?) \u8470?&lt;LWCR:NBS&gt;733/2002 \u1080? \u1056?\u1077?\u1075?\u1083?\u1072?\u1084?\u1077?\u1085?\u1090? (\u1045?\u1054?) \u8470? 874/2004 \u1085?\u1072? \u1050?\u1086?\u1084?\u1080?\u1089?\u1080?\u1103?\u1090?\u1072?"/>
    <w:docVar w:name="LW_OBJETACTEPRINCIPAL.CP" w:val="\u1086?\u1090?\u1085?\u1086?\u1089?\u1085?\u1086? \u1088?\u1077?\u1072?\u1083?\u1080?\u1079?\u1072?\u1094?\u1080?\u1103?\u1090?\u1072? \u1080? \u1092?\u1091?\u1085?\u1082?\u1094?\u1080?\u1086?\u1085?\u1080?\u1088?\u1072?\u1085?\u1077?\u1090?\u1086? \u1085?\u1072? \u1076?\u1086?\u1084?\u1077?\u1081?\u1085?\u1072? \u1086?\u1090? \u1087?\u1098?\u1088?\u1074?\u1086? \u1085?\u1080?\u1074?\u1086? .eu \u1080? \u1079?\u1072? \u1086?\u1090?\u1084?\u1103?\u1085?\u1072? \u1085?\u1072? \u1056?\u1077?\u1075?\u1083?\u1072?\u1084?\u1077?\u1085?\u1090? (\u1045?\u1054?) \u8470? 733/2002 \u1080? \u1056?\u1077?\u1075?\u1083?\u1072?\u1084?\u1077?\u1085?\u1090? (\u1045?\u1054?) \u8470? 874/2004 \u1085?\u1072? \u1050?\u1086?\u1084?\u1080?\u1089?\u1080?\u1103?\u1090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8) 23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5?\u1088?\u1077?\u1076?\u1083?\u1086?\u1078?\u1077?\u1085?\u1080?\u1077? \u1079?\u1072? 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4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5"/>
      </w:numPr>
    </w:pPr>
  </w:style>
  <w:style w:type="paragraph" w:customStyle="1" w:styleId="ListBullet1">
    <w:name w:val="List Bullet 1"/>
    <w:basedOn w:val="Normal"/>
    <w:pPr>
      <w:numPr>
        <w:numId w:val="1"/>
      </w:numPr>
    </w:pPr>
  </w:style>
  <w:style w:type="paragraph" w:customStyle="1" w:styleId="ListDash">
    <w:name w:val="List Dash"/>
    <w:basedOn w:val="Normal"/>
    <w:pPr>
      <w:numPr>
        <w:numId w:val="2"/>
      </w:numPr>
    </w:pPr>
  </w:style>
  <w:style w:type="paragraph" w:customStyle="1" w:styleId="ListDash1">
    <w:name w:val="List Dash 1"/>
    <w:basedOn w:val="Normal"/>
    <w:pPr>
      <w:numPr>
        <w:numId w:val="3"/>
      </w:numPr>
    </w:pPr>
  </w:style>
  <w:style w:type="paragraph" w:customStyle="1" w:styleId="ListDash2">
    <w:name w:val="List Dash 2"/>
    <w:basedOn w:val="Normal"/>
    <w:pPr>
      <w:numPr>
        <w:numId w:val="4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5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5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5"/>
      </w:numPr>
    </w:pPr>
  </w:style>
  <w:style w:type="character" w:styleId="CommentReference">
    <w:name w:val="annotation reference"/>
    <w:rPr>
      <w:rFonts w:cs="Times New Roman"/>
      <w:sz w:val="16"/>
      <w:szCs w:val="16"/>
      <w:lang w:val="bg-BG" w:eastAsia="bg-BG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 w:cs="Times New Roman"/>
      <w:sz w:val="20"/>
      <w:lang w:val="bg-BG" w:eastAsia="bg-BG"/>
    </w:rPr>
  </w:style>
  <w:style w:type="character" w:styleId="Hyperlink">
    <w:name w:val="Hyperlink"/>
    <w:rPr>
      <w:rFonts w:cs="Times New Roman"/>
      <w:color w:val="0000FF"/>
      <w:u w:val="single"/>
      <w:lang w:val="bg-BG" w:eastAsia="bg-BG"/>
    </w:rPr>
  </w:style>
  <w:style w:type="paragraph" w:styleId="BalloonText">
    <w:name w:val="Balloon Text"/>
    <w:basedOn w:val="Normal"/>
    <w:link w:val="BalloonTextChar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bg-BG" w:eastAsia="bg-BG"/>
    </w:r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TableofFigures">
    <w:name w:val="table of figures"/>
    <w:basedOn w:val="Normal"/>
    <w:next w:val="Normal"/>
  </w:style>
  <w:style w:type="paragraph" w:styleId="ListBullet">
    <w:name w:val="List Bullet"/>
    <w:basedOn w:val="Normal"/>
    <w:pPr>
      <w:numPr>
        <w:numId w:val="6"/>
      </w:numPr>
      <w:contextualSpacing/>
    </w:pPr>
  </w:style>
  <w:style w:type="paragraph" w:styleId="ListBullet2">
    <w:name w:val="List Bullet 2"/>
    <w:basedOn w:val="Normal"/>
    <w:pPr>
      <w:numPr>
        <w:numId w:val="7"/>
      </w:numPr>
      <w:contextualSpacing/>
    </w:pPr>
  </w:style>
  <w:style w:type="paragraph" w:styleId="ListBullet3">
    <w:name w:val="List Bullet 3"/>
    <w:basedOn w:val="Normal"/>
    <w:pPr>
      <w:numPr>
        <w:numId w:val="8"/>
      </w:numPr>
      <w:contextualSpacing/>
    </w:pPr>
  </w:style>
  <w:style w:type="paragraph" w:styleId="ListBullet4">
    <w:name w:val="List Bullet 4"/>
    <w:basedOn w:val="Normal"/>
    <w:pPr>
      <w:numPr>
        <w:numId w:val="9"/>
      </w:numPr>
      <w:contextualSpacing/>
    </w:pPr>
  </w:style>
  <w:style w:type="paragraph" w:styleId="ListNumber2">
    <w:name w:val="List Number 2"/>
    <w:basedOn w:val="Normal"/>
    <w:pPr>
      <w:numPr>
        <w:numId w:val="10"/>
      </w:numPr>
      <w:contextualSpacing/>
    </w:pPr>
  </w:style>
  <w:style w:type="paragraph" w:styleId="ListNumber3">
    <w:name w:val="List Number 3"/>
    <w:basedOn w:val="Normal"/>
    <w:pPr>
      <w:numPr>
        <w:numId w:val="11"/>
      </w:numPr>
      <w:contextualSpacing/>
    </w:pPr>
  </w:style>
  <w:style w:type="paragraph" w:styleId="ListNumber4">
    <w:name w:val="List Number 4"/>
    <w:basedOn w:val="Normal"/>
    <w:pPr>
      <w:numPr>
        <w:numId w:val="12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 w:cs="Times New Roman"/>
      <w:b/>
      <w:bCs/>
      <w:sz w:val="20"/>
      <w:lang w:val="bg-BG" w:eastAsia="bg-BG"/>
    </w:rPr>
  </w:style>
  <w:style w:type="character" w:styleId="FollowedHyperlink">
    <w:name w:val="FollowedHyperlink"/>
    <w:rPr>
      <w:color w:val="800080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8"/>
      </w:numPr>
    </w:pPr>
  </w:style>
  <w:style w:type="paragraph" w:customStyle="1" w:styleId="Tiret1">
    <w:name w:val="Tiret 1"/>
    <w:basedOn w:val="Point1"/>
    <w:pPr>
      <w:numPr>
        <w:numId w:val="29"/>
      </w:numPr>
    </w:pPr>
  </w:style>
  <w:style w:type="paragraph" w:customStyle="1" w:styleId="Tiret2">
    <w:name w:val="Tiret 2"/>
    <w:basedOn w:val="Point2"/>
    <w:pPr>
      <w:numPr>
        <w:numId w:val="30"/>
      </w:numPr>
    </w:pPr>
  </w:style>
  <w:style w:type="paragraph" w:customStyle="1" w:styleId="Tiret3">
    <w:name w:val="Tiret 3"/>
    <w:basedOn w:val="Point3"/>
    <w:pPr>
      <w:numPr>
        <w:numId w:val="31"/>
      </w:numPr>
    </w:pPr>
  </w:style>
  <w:style w:type="paragraph" w:customStyle="1" w:styleId="Tiret4">
    <w:name w:val="Tiret 4"/>
    <w:basedOn w:val="Point4"/>
    <w:pPr>
      <w:numPr>
        <w:numId w:val="3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5"/>
      </w:numPr>
    </w:pPr>
  </w:style>
  <w:style w:type="paragraph" w:customStyle="1" w:styleId="Point1number">
    <w:name w:val="Point 1 (number)"/>
    <w:basedOn w:val="Normal"/>
    <w:pPr>
      <w:numPr>
        <w:ilvl w:val="2"/>
        <w:numId w:val="35"/>
      </w:numPr>
    </w:pPr>
  </w:style>
  <w:style w:type="paragraph" w:customStyle="1" w:styleId="Point2number">
    <w:name w:val="Point 2 (number)"/>
    <w:basedOn w:val="Normal"/>
    <w:pPr>
      <w:numPr>
        <w:ilvl w:val="4"/>
        <w:numId w:val="35"/>
      </w:numPr>
    </w:pPr>
  </w:style>
  <w:style w:type="paragraph" w:customStyle="1" w:styleId="Point3number">
    <w:name w:val="Point 3 (number)"/>
    <w:basedOn w:val="Normal"/>
    <w:pPr>
      <w:numPr>
        <w:ilvl w:val="6"/>
        <w:numId w:val="35"/>
      </w:numPr>
    </w:pPr>
  </w:style>
  <w:style w:type="paragraph" w:customStyle="1" w:styleId="Point0letter">
    <w:name w:val="Point 0 (letter)"/>
    <w:basedOn w:val="Normal"/>
    <w:pPr>
      <w:numPr>
        <w:ilvl w:val="1"/>
        <w:numId w:val="35"/>
      </w:numPr>
    </w:pPr>
  </w:style>
  <w:style w:type="paragraph" w:customStyle="1" w:styleId="Point1letter">
    <w:name w:val="Point 1 (letter)"/>
    <w:basedOn w:val="Normal"/>
    <w:pPr>
      <w:numPr>
        <w:ilvl w:val="3"/>
        <w:numId w:val="35"/>
      </w:numPr>
    </w:pPr>
  </w:style>
  <w:style w:type="paragraph" w:customStyle="1" w:styleId="Point2letter">
    <w:name w:val="Point 2 (letter)"/>
    <w:basedOn w:val="Normal"/>
    <w:pPr>
      <w:numPr>
        <w:ilvl w:val="5"/>
        <w:numId w:val="35"/>
      </w:numPr>
    </w:pPr>
  </w:style>
  <w:style w:type="paragraph" w:customStyle="1" w:styleId="Point3letter">
    <w:name w:val="Point 3 (letter)"/>
    <w:basedOn w:val="Normal"/>
    <w:pPr>
      <w:numPr>
        <w:ilvl w:val="7"/>
        <w:numId w:val="35"/>
      </w:numPr>
    </w:pPr>
  </w:style>
  <w:style w:type="paragraph" w:customStyle="1" w:styleId="Point4letter">
    <w:name w:val="Point 4 (letter)"/>
    <w:basedOn w:val="Normal"/>
    <w:pPr>
      <w:numPr>
        <w:ilvl w:val="8"/>
        <w:numId w:val="35"/>
      </w:numPr>
    </w:pPr>
  </w:style>
  <w:style w:type="paragraph" w:customStyle="1" w:styleId="Bullet0">
    <w:name w:val="Bullet 0"/>
    <w:basedOn w:val="Normal"/>
    <w:pPr>
      <w:numPr>
        <w:numId w:val="36"/>
      </w:numPr>
    </w:pPr>
  </w:style>
  <w:style w:type="paragraph" w:customStyle="1" w:styleId="Bullet1">
    <w:name w:val="Bullet 1"/>
    <w:basedOn w:val="Normal"/>
    <w:pPr>
      <w:numPr>
        <w:numId w:val="37"/>
      </w:numPr>
    </w:pPr>
  </w:style>
  <w:style w:type="paragraph" w:customStyle="1" w:styleId="Bullet2">
    <w:name w:val="Bullet 2"/>
    <w:basedOn w:val="Normal"/>
    <w:pPr>
      <w:numPr>
        <w:numId w:val="38"/>
      </w:numPr>
    </w:pPr>
  </w:style>
  <w:style w:type="paragraph" w:customStyle="1" w:styleId="Bullet3">
    <w:name w:val="Bullet 3"/>
    <w:basedOn w:val="Normal"/>
    <w:pPr>
      <w:numPr>
        <w:numId w:val="39"/>
      </w:numPr>
    </w:pPr>
  </w:style>
  <w:style w:type="paragraph" w:customStyle="1" w:styleId="Bullet4">
    <w:name w:val="Bullet 4"/>
    <w:basedOn w:val="Normal"/>
    <w:pPr>
      <w:numPr>
        <w:numId w:val="40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4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5"/>
      </w:numPr>
    </w:pPr>
  </w:style>
  <w:style w:type="paragraph" w:customStyle="1" w:styleId="ListBullet1">
    <w:name w:val="List Bullet 1"/>
    <w:basedOn w:val="Normal"/>
    <w:pPr>
      <w:numPr>
        <w:numId w:val="1"/>
      </w:numPr>
    </w:pPr>
  </w:style>
  <w:style w:type="paragraph" w:customStyle="1" w:styleId="ListDash">
    <w:name w:val="List Dash"/>
    <w:basedOn w:val="Normal"/>
    <w:pPr>
      <w:numPr>
        <w:numId w:val="2"/>
      </w:numPr>
    </w:pPr>
  </w:style>
  <w:style w:type="paragraph" w:customStyle="1" w:styleId="ListDash1">
    <w:name w:val="List Dash 1"/>
    <w:basedOn w:val="Normal"/>
    <w:pPr>
      <w:numPr>
        <w:numId w:val="3"/>
      </w:numPr>
    </w:pPr>
  </w:style>
  <w:style w:type="paragraph" w:customStyle="1" w:styleId="ListDash2">
    <w:name w:val="List Dash 2"/>
    <w:basedOn w:val="Normal"/>
    <w:pPr>
      <w:numPr>
        <w:numId w:val="4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5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5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5"/>
      </w:numPr>
    </w:pPr>
  </w:style>
  <w:style w:type="character" w:styleId="CommentReference">
    <w:name w:val="annotation reference"/>
    <w:rPr>
      <w:rFonts w:cs="Times New Roman"/>
      <w:sz w:val="16"/>
      <w:szCs w:val="16"/>
      <w:lang w:val="bg-BG" w:eastAsia="bg-BG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 w:cs="Times New Roman"/>
      <w:sz w:val="20"/>
      <w:lang w:val="bg-BG" w:eastAsia="bg-BG"/>
    </w:rPr>
  </w:style>
  <w:style w:type="character" w:styleId="Hyperlink">
    <w:name w:val="Hyperlink"/>
    <w:rPr>
      <w:rFonts w:cs="Times New Roman"/>
      <w:color w:val="0000FF"/>
      <w:u w:val="single"/>
      <w:lang w:val="bg-BG" w:eastAsia="bg-BG"/>
    </w:rPr>
  </w:style>
  <w:style w:type="paragraph" w:styleId="BalloonText">
    <w:name w:val="Balloon Text"/>
    <w:basedOn w:val="Normal"/>
    <w:link w:val="BalloonTextChar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bg-BG" w:eastAsia="bg-BG"/>
    </w:r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TableofFigures">
    <w:name w:val="table of figures"/>
    <w:basedOn w:val="Normal"/>
    <w:next w:val="Normal"/>
  </w:style>
  <w:style w:type="paragraph" w:styleId="ListBullet">
    <w:name w:val="List Bullet"/>
    <w:basedOn w:val="Normal"/>
    <w:pPr>
      <w:numPr>
        <w:numId w:val="6"/>
      </w:numPr>
      <w:contextualSpacing/>
    </w:pPr>
  </w:style>
  <w:style w:type="paragraph" w:styleId="ListBullet2">
    <w:name w:val="List Bullet 2"/>
    <w:basedOn w:val="Normal"/>
    <w:pPr>
      <w:numPr>
        <w:numId w:val="7"/>
      </w:numPr>
      <w:contextualSpacing/>
    </w:pPr>
  </w:style>
  <w:style w:type="paragraph" w:styleId="ListBullet3">
    <w:name w:val="List Bullet 3"/>
    <w:basedOn w:val="Normal"/>
    <w:pPr>
      <w:numPr>
        <w:numId w:val="8"/>
      </w:numPr>
      <w:contextualSpacing/>
    </w:pPr>
  </w:style>
  <w:style w:type="paragraph" w:styleId="ListBullet4">
    <w:name w:val="List Bullet 4"/>
    <w:basedOn w:val="Normal"/>
    <w:pPr>
      <w:numPr>
        <w:numId w:val="9"/>
      </w:numPr>
      <w:contextualSpacing/>
    </w:pPr>
  </w:style>
  <w:style w:type="paragraph" w:styleId="ListNumber2">
    <w:name w:val="List Number 2"/>
    <w:basedOn w:val="Normal"/>
    <w:pPr>
      <w:numPr>
        <w:numId w:val="10"/>
      </w:numPr>
      <w:contextualSpacing/>
    </w:pPr>
  </w:style>
  <w:style w:type="paragraph" w:styleId="ListNumber3">
    <w:name w:val="List Number 3"/>
    <w:basedOn w:val="Normal"/>
    <w:pPr>
      <w:numPr>
        <w:numId w:val="11"/>
      </w:numPr>
      <w:contextualSpacing/>
    </w:pPr>
  </w:style>
  <w:style w:type="paragraph" w:styleId="ListNumber4">
    <w:name w:val="List Number 4"/>
    <w:basedOn w:val="Normal"/>
    <w:pPr>
      <w:numPr>
        <w:numId w:val="12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 w:cs="Times New Roman"/>
      <w:b/>
      <w:bCs/>
      <w:sz w:val="20"/>
      <w:lang w:val="bg-BG" w:eastAsia="bg-BG"/>
    </w:rPr>
  </w:style>
  <w:style w:type="character" w:styleId="FollowedHyperlink">
    <w:name w:val="FollowedHyperlink"/>
    <w:rPr>
      <w:color w:val="800080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8"/>
      </w:numPr>
    </w:pPr>
  </w:style>
  <w:style w:type="paragraph" w:customStyle="1" w:styleId="Tiret1">
    <w:name w:val="Tiret 1"/>
    <w:basedOn w:val="Point1"/>
    <w:pPr>
      <w:numPr>
        <w:numId w:val="29"/>
      </w:numPr>
    </w:pPr>
  </w:style>
  <w:style w:type="paragraph" w:customStyle="1" w:styleId="Tiret2">
    <w:name w:val="Tiret 2"/>
    <w:basedOn w:val="Point2"/>
    <w:pPr>
      <w:numPr>
        <w:numId w:val="30"/>
      </w:numPr>
    </w:pPr>
  </w:style>
  <w:style w:type="paragraph" w:customStyle="1" w:styleId="Tiret3">
    <w:name w:val="Tiret 3"/>
    <w:basedOn w:val="Point3"/>
    <w:pPr>
      <w:numPr>
        <w:numId w:val="31"/>
      </w:numPr>
    </w:pPr>
  </w:style>
  <w:style w:type="paragraph" w:customStyle="1" w:styleId="Tiret4">
    <w:name w:val="Tiret 4"/>
    <w:basedOn w:val="Point4"/>
    <w:pPr>
      <w:numPr>
        <w:numId w:val="3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5"/>
      </w:numPr>
    </w:pPr>
  </w:style>
  <w:style w:type="paragraph" w:customStyle="1" w:styleId="Point1number">
    <w:name w:val="Point 1 (number)"/>
    <w:basedOn w:val="Normal"/>
    <w:pPr>
      <w:numPr>
        <w:ilvl w:val="2"/>
        <w:numId w:val="35"/>
      </w:numPr>
    </w:pPr>
  </w:style>
  <w:style w:type="paragraph" w:customStyle="1" w:styleId="Point2number">
    <w:name w:val="Point 2 (number)"/>
    <w:basedOn w:val="Normal"/>
    <w:pPr>
      <w:numPr>
        <w:ilvl w:val="4"/>
        <w:numId w:val="35"/>
      </w:numPr>
    </w:pPr>
  </w:style>
  <w:style w:type="paragraph" w:customStyle="1" w:styleId="Point3number">
    <w:name w:val="Point 3 (number)"/>
    <w:basedOn w:val="Normal"/>
    <w:pPr>
      <w:numPr>
        <w:ilvl w:val="6"/>
        <w:numId w:val="35"/>
      </w:numPr>
    </w:pPr>
  </w:style>
  <w:style w:type="paragraph" w:customStyle="1" w:styleId="Point0letter">
    <w:name w:val="Point 0 (letter)"/>
    <w:basedOn w:val="Normal"/>
    <w:pPr>
      <w:numPr>
        <w:ilvl w:val="1"/>
        <w:numId w:val="35"/>
      </w:numPr>
    </w:pPr>
  </w:style>
  <w:style w:type="paragraph" w:customStyle="1" w:styleId="Point1letter">
    <w:name w:val="Point 1 (letter)"/>
    <w:basedOn w:val="Normal"/>
    <w:pPr>
      <w:numPr>
        <w:ilvl w:val="3"/>
        <w:numId w:val="35"/>
      </w:numPr>
    </w:pPr>
  </w:style>
  <w:style w:type="paragraph" w:customStyle="1" w:styleId="Point2letter">
    <w:name w:val="Point 2 (letter)"/>
    <w:basedOn w:val="Normal"/>
    <w:pPr>
      <w:numPr>
        <w:ilvl w:val="5"/>
        <w:numId w:val="35"/>
      </w:numPr>
    </w:pPr>
  </w:style>
  <w:style w:type="paragraph" w:customStyle="1" w:styleId="Point3letter">
    <w:name w:val="Point 3 (letter)"/>
    <w:basedOn w:val="Normal"/>
    <w:pPr>
      <w:numPr>
        <w:ilvl w:val="7"/>
        <w:numId w:val="35"/>
      </w:numPr>
    </w:pPr>
  </w:style>
  <w:style w:type="paragraph" w:customStyle="1" w:styleId="Point4letter">
    <w:name w:val="Point 4 (letter)"/>
    <w:basedOn w:val="Normal"/>
    <w:pPr>
      <w:numPr>
        <w:ilvl w:val="8"/>
        <w:numId w:val="35"/>
      </w:numPr>
    </w:pPr>
  </w:style>
  <w:style w:type="paragraph" w:customStyle="1" w:styleId="Bullet0">
    <w:name w:val="Bullet 0"/>
    <w:basedOn w:val="Normal"/>
    <w:pPr>
      <w:numPr>
        <w:numId w:val="36"/>
      </w:numPr>
    </w:pPr>
  </w:style>
  <w:style w:type="paragraph" w:customStyle="1" w:styleId="Bullet1">
    <w:name w:val="Bullet 1"/>
    <w:basedOn w:val="Normal"/>
    <w:pPr>
      <w:numPr>
        <w:numId w:val="37"/>
      </w:numPr>
    </w:pPr>
  </w:style>
  <w:style w:type="paragraph" w:customStyle="1" w:styleId="Bullet2">
    <w:name w:val="Bullet 2"/>
    <w:basedOn w:val="Normal"/>
    <w:pPr>
      <w:numPr>
        <w:numId w:val="38"/>
      </w:numPr>
    </w:pPr>
  </w:style>
  <w:style w:type="paragraph" w:customStyle="1" w:styleId="Bullet3">
    <w:name w:val="Bullet 3"/>
    <w:basedOn w:val="Normal"/>
    <w:pPr>
      <w:numPr>
        <w:numId w:val="39"/>
      </w:numPr>
    </w:pPr>
  </w:style>
  <w:style w:type="paragraph" w:customStyle="1" w:styleId="Bullet4">
    <w:name w:val="Bullet 4"/>
    <w:basedOn w:val="Normal"/>
    <w:pPr>
      <w:numPr>
        <w:numId w:val="40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cc.cec/budg/leg/internal/leg-070_internal_en.html" TargetMode="Externa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yintracomm.ec.europa.eu/budgweb/EN/man/budgmanag/Pages/budgmanag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17</Pages>
  <Words>2997</Words>
  <Characters>18222</Characters>
  <Application>Microsoft Office Word</Application>
  <DocSecurity>0</DocSecurity>
  <Lines>1214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MONFORT Veronique (CNECT)</dc:creator>
  <cp:lastModifiedBy>DIGIT/A3</cp:lastModifiedBy>
  <cp:revision>9</cp:revision>
  <dcterms:created xsi:type="dcterms:W3CDTF">2018-04-27T09:56:00Z</dcterms:created>
  <dcterms:modified xsi:type="dcterms:W3CDTF">2018-05-18T10:02:00Z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5.8.4, Build 20150407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