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2CAAC821-11D8-4EEC-BE60-17C47F7C3861" style="width:450.75pt;height:408.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Обобщение</w:t>
            </w:r>
          </w:p>
        </w:tc>
      </w:tr>
      <w:tr>
        <w:trPr>
          <w:trHeight w:val="888"/>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sz w:val="20"/>
                <w:szCs w:val="20"/>
              </w:rPr>
            </w:pPr>
            <w:r>
              <w:rPr>
                <w:noProof/>
                <w:color w:val="FFFFFF" w:themeColor="background1"/>
                <w:sz w:val="20"/>
              </w:rPr>
              <w:t>Оценка на въздействието на прегледа по REFIT на Регламент (ЕО) № 733/2002 относно въвеждането на .eu домейн от най-високо ниво и Регламент (ЕО) № 874/2004 относно определяне на правила на обществената политика за въвеждането и функциите на .eu домейн от най-високо ниво.</w:t>
            </w:r>
          </w:p>
        </w:tc>
      </w:tr>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noProof/>
                <w:sz w:val="20"/>
                <w:szCs w:val="20"/>
              </w:rPr>
            </w:pPr>
            <w:r>
              <w:rPr>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noProof/>
                <w:sz w:val="20"/>
                <w:szCs w:val="20"/>
              </w:rPr>
            </w:pPr>
            <w:r>
              <w:rPr>
                <w:noProof/>
                <w:sz w:val="20"/>
              </w:rPr>
              <w:t>Пазарът на системата за имена на домейни (DNS) и политическият контекст са се променили от влизането в сила на регламентите за домейна .eu. Макар нормативната уредба да е претърпяла дребни изменения, регламентите за домейна .eu никога не са били цялостно преразглеждани с цел гарантиране на тяхната актуалност за изпълнение на възложените им цели без тежки разходи за администрация или прилагане, и на тяхната ефективност за осигуряването на предвидените ползи за подкрепа на трансграничните дейности онлайн и популяризирането на онлайн идентичността на ЕС. Оценката показва, че настоящата регулаторна рамка не е достатъчна за подкрепа на стабилността и устойчивостта на домейна от първо ниво .eu и не изчерпва потенциала си на единния цифров пазар в ЕС. Бяха установени следните взаимосвързани проблеми: остаряло и лишено от гъвкавост законодателство, недостатъци в управлението и отчетността, бързите промени на пазара.</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noProof/>
                <w:sz w:val="20"/>
                <w:szCs w:val="20"/>
              </w:rPr>
            </w:pPr>
            <w:r>
              <w:rPr>
                <w:noProof/>
                <w:sz w:val="20"/>
              </w:rPr>
              <w:t>Очаква се настоящата инициатива да гарантира стабилността и устойчивостта на домейна от първо ниво .eu, за да може той по-добре да постигне своите цели за насърчаване на трансграничните дейности онлайн в Европа и да позволи изграждането на европейска онлайн идентичност. Конкретните цели (КЦ) на политиката са следните: (КЦ1) премахване на остарели правни/административни изисквания; (КЦ2) гарантиране на съобразени с бъдещето правила, които да дават възможност домейнът .eu да се адаптира към бързите промени в пазара на домейни от първо ниво и динамичната цифрова среда, като същевременно се позволява използването на домейна .eu за популяризиране на приоритетите на ЕС в интернет пространството; (КЦ3) осигуряване на управленска структура, която едновременно отразява най-добрите технически и управленски практики и обслужва обществения интерес в ЕС; (КЦ4) да се популяризира привлекателността на домейна .eu.</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Каква е добавената стойност от действие на равнището на ЕС?</w:t>
            </w:r>
            <w:r>
              <w:rPr>
                <w:noProof/>
                <w:sz w:val="20"/>
              </w:rPr>
              <w:t xml:space="preserve"> </w:t>
            </w:r>
          </w:p>
        </w:tc>
      </w:tr>
      <w:tr>
        <w:tc>
          <w:tcPr>
            <w:tcW w:w="10188" w:type="dxa"/>
            <w:tcBorders>
              <w:bottom w:val="single" w:sz="4" w:space="0" w:color="auto"/>
            </w:tcBorders>
            <w:shd w:val="clear" w:color="auto" w:fill="auto"/>
          </w:tcPr>
          <w:p>
            <w:pPr>
              <w:spacing w:before="60"/>
              <w:jc w:val="both"/>
              <w:rPr>
                <w:noProof/>
                <w:sz w:val="20"/>
                <w:szCs w:val="20"/>
              </w:rPr>
            </w:pPr>
            <w:r>
              <w:rPr>
                <w:noProof/>
                <w:sz w:val="20"/>
              </w:rPr>
              <w:t>По подразбиране домейнът.eu има трансгранично измерение. Това е домейнът от първо ниво на Европейския съюз и символ на европейската идентичност онлайн. Съществуването на специфично име на домейн за Европейския съюз е много ясен и забележим общ белег и това е важен и ценен градивен елемент за европейската идентичност онлайн.</w:t>
            </w:r>
          </w:p>
          <w:p>
            <w:pPr>
              <w:spacing w:before="60"/>
              <w:jc w:val="both"/>
              <w:rPr>
                <w:noProof/>
                <w:sz w:val="20"/>
                <w:szCs w:val="20"/>
              </w:rPr>
            </w:pPr>
            <w:r>
              <w:rPr>
                <w:noProof/>
                <w:sz w:val="20"/>
              </w:rPr>
              <w:t>Регулаторните действия на равнището на държавите членки не биха постигнали фундаменталните цели в основата на въвеждането и управлението на надеждно и новаторско пространство с имена за ЕС.</w:t>
            </w:r>
            <w:r>
              <w:rPr>
                <w:noProof/>
              </w:rPr>
              <w:t xml:space="preserve"> </w:t>
            </w:r>
            <w:r>
              <w:rPr>
                <w:noProof/>
                <w:sz w:val="20"/>
              </w:rPr>
              <w:t>Домейнът от първо ниво .eu беше създаден като домейн от първо ниво с код за държава (ccTLD), а не като общ домейн от първо ниво (.com, .berlin). Общественополитическата отговорност за домейна .eu е поверена на Европейския съюз.</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Б. Решения</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rPr>
              <w:t>Какви законодателни и незаконодателни варианти на политиката са разгледани? Има ли предпочитан вариант? Защо?</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Оценка на въздействието (ОВ) разглежда няколко варианта на политиката, които са извлечени предимно, но не само от проблемите, свързани с „остаряло и лишено от гъвкавост законодателство“ и „механизми за управление“. Два отделни междусекторни въпроса, които имат за цел да преодолеят проблемите, произтичащи от „бързите промени на пазара“, са разгледани хоризонтално.</w:t>
            </w:r>
          </w:p>
          <w:p>
            <w:pPr>
              <w:jc w:val="both"/>
              <w:rPr>
                <w:noProof/>
                <w:sz w:val="20"/>
                <w:szCs w:val="20"/>
              </w:rPr>
            </w:pPr>
          </w:p>
          <w:p>
            <w:pPr>
              <w:jc w:val="both"/>
              <w:rPr>
                <w:noProof/>
                <w:sz w:val="20"/>
                <w:szCs w:val="20"/>
              </w:rPr>
            </w:pPr>
            <w:r>
              <w:rPr>
                <w:noProof/>
                <w:sz w:val="20"/>
              </w:rPr>
              <w:t>ВАРИАНТ 0: БАЗОВ СЦЕНАРИЙ: запазване на настоящата нормативна уредба за домейна .eu.</w:t>
            </w:r>
          </w:p>
          <w:p>
            <w:pPr>
              <w:jc w:val="both"/>
              <w:rPr>
                <w:noProof/>
                <w:sz w:val="20"/>
                <w:szCs w:val="20"/>
              </w:rPr>
            </w:pPr>
            <w:r>
              <w:rPr>
                <w:noProof/>
                <w:sz w:val="20"/>
              </w:rPr>
              <w:t xml:space="preserve">ВАРИАНТ 1: ТЪРГОВСКА РЕАЛИЗАЦИЯ: опростяване на нормативната уредба и възлагане на дейността и управлението на регистъра на външен доставчик на услуги със стопанска цел. </w:t>
            </w:r>
          </w:p>
          <w:p>
            <w:pPr>
              <w:jc w:val="both"/>
              <w:rPr>
                <w:noProof/>
                <w:sz w:val="20"/>
                <w:szCs w:val="20"/>
              </w:rPr>
            </w:pPr>
            <w:r>
              <w:rPr>
                <w:noProof/>
                <w:sz w:val="20"/>
              </w:rPr>
              <w:t xml:space="preserve">ВАРИАНТ 2: МОДЕРНИЗИРАНЕ НА ПРАВНАТА РАМКА: замяна на настоящата правна рамка с един правен инструмент, основан на принципи.  Ще се поддържа външна система за управление на домейна .eu на основа на договор. </w:t>
            </w:r>
          </w:p>
          <w:p>
            <w:pPr>
              <w:jc w:val="both"/>
              <w:rPr>
                <w:noProof/>
                <w:sz w:val="20"/>
                <w:szCs w:val="20"/>
              </w:rPr>
            </w:pPr>
            <w:r>
              <w:rPr>
                <w:noProof/>
                <w:sz w:val="20"/>
              </w:rPr>
              <w:t>ВАРИАНТ 3: ОТДЕЛНО УПРАВЛЕНИЕ: съчетава вариант 2 със създаването на консултативен орган с участието на множество заинтересовани страни. Този орган ще бъде независим от регистъра на домейна .eu.</w:t>
            </w:r>
          </w:p>
          <w:p>
            <w:pPr>
              <w:jc w:val="both"/>
              <w:rPr>
                <w:noProof/>
                <w:sz w:val="20"/>
                <w:szCs w:val="20"/>
              </w:rPr>
            </w:pPr>
            <w:r>
              <w:rPr>
                <w:noProof/>
                <w:sz w:val="20"/>
              </w:rPr>
              <w:t>ВАРИАНТ 4: ИНСТИТУЦИОНАЛИЗАЦИЯ: управление и функциониране на регистъра в отдел на Европейската комисия (а) или на агенция на ЕС (б1: EUIPO, б2: ENISA)</w:t>
            </w:r>
          </w:p>
          <w:p>
            <w:pPr>
              <w:jc w:val="both"/>
              <w:rPr>
                <w:noProof/>
                <w:sz w:val="20"/>
                <w:szCs w:val="20"/>
              </w:rPr>
            </w:pPr>
          </w:p>
          <w:p>
            <w:pPr>
              <w:jc w:val="both"/>
              <w:rPr>
                <w:noProof/>
                <w:sz w:val="20"/>
                <w:szCs w:val="20"/>
              </w:rPr>
            </w:pPr>
            <w:r>
              <w:rPr>
                <w:noProof/>
                <w:sz w:val="20"/>
              </w:rPr>
              <w:t>Варианти 1, 4(.а) и 4(б2) бяха отхвърлени на ранен етап, тъй като те не отговарят на целите на политиката.</w:t>
            </w:r>
          </w:p>
          <w:p>
            <w:pPr>
              <w:jc w:val="both"/>
              <w:rPr>
                <w:noProof/>
                <w:sz w:val="20"/>
                <w:szCs w:val="20"/>
              </w:rPr>
            </w:pPr>
          </w:p>
          <w:p>
            <w:pPr>
              <w:jc w:val="both"/>
              <w:rPr>
                <w:noProof/>
                <w:sz w:val="20"/>
                <w:szCs w:val="20"/>
              </w:rPr>
            </w:pPr>
            <w:r>
              <w:rPr>
                <w:noProof/>
                <w:sz w:val="20"/>
              </w:rPr>
              <w:t>Във връзка с двата междусекторни въпроса, които бяха разгледани отделно, оценката на въздействието анализира както възможността регистърът на домейна .eu да предоставя пряка регистрация на регистрантите предвид промените в пазарните условия, така и възможни промени в критериите за допустимост за получаването на домейн .eu.</w:t>
            </w:r>
          </w:p>
          <w:p>
            <w:pPr>
              <w:jc w:val="both"/>
              <w:rPr>
                <w:noProof/>
                <w:sz w:val="20"/>
                <w:szCs w:val="20"/>
              </w:rPr>
            </w:pPr>
          </w:p>
          <w:p>
            <w:pPr>
              <w:jc w:val="both"/>
              <w:rPr>
                <w:noProof/>
                <w:sz w:val="20"/>
                <w:szCs w:val="20"/>
              </w:rPr>
            </w:pPr>
            <w:r>
              <w:rPr>
                <w:noProof/>
                <w:sz w:val="20"/>
              </w:rPr>
              <w:t>Предпочитан вариант: ВАРИАНТ 3, заедно с отмяната на строгите изисквания във връзка с пряката регистрация, критерий за гражданство за физическите лица и критерий за постоянно установяване за организации/дружества.</w:t>
            </w:r>
          </w:p>
        </w:tc>
      </w:tr>
      <w:tr>
        <w:tc>
          <w:tcPr>
            <w:tcW w:w="10188" w:type="dxa"/>
            <w:shd w:val="clear" w:color="auto" w:fill="CCCCCC"/>
          </w:tcPr>
          <w:p>
            <w:pPr>
              <w:spacing w:before="60"/>
              <w:jc w:val="both"/>
              <w:rPr>
                <w:noProof/>
                <w:sz w:val="20"/>
                <w:szCs w:val="20"/>
              </w:rPr>
            </w:pPr>
            <w:r>
              <w:rPr>
                <w:b/>
                <w:noProof/>
                <w:sz w:val="20"/>
              </w:rPr>
              <w:lastRenderedPageBreak/>
              <w:t>Кой подкрепя отделните варианти?</w:t>
            </w:r>
            <w:r>
              <w:rPr>
                <w:noProof/>
                <w:sz w:val="20"/>
              </w:rPr>
              <w:t xml:space="preserve"> </w:t>
            </w:r>
          </w:p>
        </w:tc>
      </w:tr>
      <w:tr>
        <w:tc>
          <w:tcPr>
            <w:tcW w:w="10188" w:type="dxa"/>
            <w:shd w:val="clear" w:color="auto" w:fill="auto"/>
          </w:tcPr>
          <w:p>
            <w:pPr>
              <w:jc w:val="both"/>
              <w:rPr>
                <w:noProof/>
                <w:sz w:val="20"/>
                <w:szCs w:val="20"/>
              </w:rPr>
            </w:pPr>
            <w:r>
              <w:rPr>
                <w:noProof/>
                <w:sz w:val="20"/>
              </w:rPr>
              <w:t>Огромното мнозинство от участвалите в консултациите заинтересовани страни приветстват предпочетения вариант, тъй като са за опростяване на нормативната уредба и същевременно леко облекчаване на настоящите критерии за допустимост. Мненията за модела на управление бяха по-разнообразни.</w:t>
            </w:r>
          </w:p>
        </w:tc>
      </w:tr>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Какви са ползите от предпочетения вариант (ако има такъв; в противен случай — от основните варианти)?</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Според предпочетения вариант ще бъде създадена оптимизирана и основана на принципи нормативна уредба. Това ще осигури необходимата гъвкавост за домейна от първо ниво .eu, за да може той да се приспособява към бързо променящите се технически подобрения в системата за имена на домейни, включително по отношение на елементите за сигурност. Крайните потребители ще могат да се възползват от предимствата на техническите подобрения, без да понасят неблагоприятните последици от времето, необходимо за изменение на регламентите. Предпочетеният вариант ще подобри също така функционирането на домейна от първо ниво .eu и ще насърчи иновациите в .eu-средата, както на ниво регистър, така и на пазарите надолу по веригата за регистратори и регистранти, като по този начин предостави подобрен продукт в полза на европейските граждани и предприятия.</w:t>
            </w:r>
          </w:p>
          <w:p>
            <w:pPr>
              <w:jc w:val="both"/>
              <w:rPr>
                <w:noProof/>
                <w:sz w:val="20"/>
                <w:szCs w:val="20"/>
              </w:rPr>
            </w:pPr>
            <w:r>
              <w:rPr>
                <w:noProof/>
                <w:sz w:val="20"/>
              </w:rPr>
              <w:t xml:space="preserve">Домейнът .eu ще бъде по привлекателен на пазара на домейни от първо ниво, с което ще се стимулира конкуренцията между регистраторите. Това от своя страна се очаква да доведе до а) потенциално намаляване на цените за крайните потребители, б) увеличена наличност на домейна .eu и на ползите от него за европейското общество, в) увеличение на регистрациите и отдалечаване от сценария, при който делът на подновяванията пада под прага на финансова устойчивост на името на домейна.   </w:t>
            </w:r>
          </w:p>
          <w:p>
            <w:pPr>
              <w:jc w:val="both"/>
              <w:rPr>
                <w:noProof/>
                <w:sz w:val="20"/>
                <w:szCs w:val="20"/>
              </w:rPr>
            </w:pPr>
            <w:r>
              <w:rPr>
                <w:noProof/>
                <w:sz w:val="20"/>
              </w:rPr>
              <w:t>Този вариант предполага промяна в структурата на управление с изграждане на отделен орган с консултативни функции при вземането на стратегически решения във връзка с функционирането на домейна от първо ниво .eu и надзора на регистъра. Като укрепват и разширяват приноса за доброто управление на регистъра на домейна .eu, тези промени се очаква да спомогнат за увеличената прозрачност и отчетност и за ефективното смекчаване на потенциалните рискове от лошо управление при дейността на домейна от първо ниво .eu.</w:t>
            </w:r>
          </w:p>
          <w:p>
            <w:pPr>
              <w:jc w:val="both"/>
              <w:rPr>
                <w:noProof/>
                <w:sz w:val="20"/>
                <w:szCs w:val="20"/>
              </w:rPr>
            </w:pPr>
            <w:r>
              <w:rPr>
                <w:noProof/>
                <w:sz w:val="20"/>
              </w:rPr>
              <w:t>Освен това въвеждането на критерия за гражданство ще позволи на гражданите на ЕС, живеещи в трети държави, да се възползват от предимствата на домейна .eu, като същевременно ще бъдат премахнати строгите изисквания във връзка с пряката регистрация, а това ще бъде от полза за по-доброто популяризиране на домейна от първо ниво .eu, например в различни от латиницата азбуки.</w:t>
            </w:r>
          </w:p>
          <w:p>
            <w:pPr>
              <w:jc w:val="both"/>
              <w:rPr>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Какви са разходите за предпочетения вариант (ако има такъв, в противен случай — за основните варианти)?</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 xml:space="preserve">Очаква се разходите за постигане на съответствие за регистъра да бъдат намалени при предпочетения вариант. Дори обаче нормативната уредба да е по-олекотена, все пак ще има нужда от целесъобразна организация, администриране и управление на домейна от първо ниво .eu. Въпреки това, част от разходите за управление на регистъра ще отпаднат. Понастоящем разходите за управление се включват в общите разходи и се оценяват на 296 000 EUR за 2018 г. </w:t>
            </w:r>
          </w:p>
          <w:p>
            <w:pPr>
              <w:jc w:val="both"/>
              <w:rPr>
                <w:noProof/>
                <w:sz w:val="20"/>
                <w:szCs w:val="20"/>
              </w:rPr>
            </w:pPr>
          </w:p>
          <w:p>
            <w:pPr>
              <w:jc w:val="both"/>
              <w:rPr>
                <w:noProof/>
                <w:sz w:val="20"/>
                <w:szCs w:val="20"/>
              </w:rPr>
            </w:pPr>
            <w:r>
              <w:rPr>
                <w:noProof/>
                <w:sz w:val="20"/>
              </w:rPr>
              <w:t>От страна на Европейската комисия работата по надзора на домейна .eu ще бъде намалена благодарение на а) новосъздадения орган, който се очаква да поеме някои от задачите, понастоящем изпълнявани от Комисията, и б) по-олекотената и съобразена с бъдещето нормативна уредба, която може да се приспособява към пазарните промени без скъпо струващи изменения на законодателните процедури.</w:t>
            </w:r>
          </w:p>
          <w:p>
            <w:pPr>
              <w:jc w:val="both"/>
              <w:rPr>
                <w:noProof/>
                <w:sz w:val="20"/>
                <w:szCs w:val="20"/>
              </w:rPr>
            </w:pPr>
            <w:r>
              <w:rPr>
                <w:noProof/>
                <w:sz w:val="20"/>
              </w:rPr>
              <w:t>Органът с участието на множество заинтересовани страни ще има нужда от съответните ресурси. Той ще бъде финансово подпомаган от Комисията.</w:t>
            </w:r>
          </w:p>
          <w:p>
            <w:pPr>
              <w:jc w:val="both"/>
              <w:rPr>
                <w:noProof/>
                <w:sz w:val="20"/>
                <w:szCs w:val="20"/>
              </w:rPr>
            </w:pPr>
          </w:p>
          <w:p>
            <w:pPr>
              <w:jc w:val="both"/>
              <w:rPr>
                <w:i/>
                <w:noProof/>
                <w:sz w:val="20"/>
                <w:szCs w:val="20"/>
              </w:rPr>
            </w:pPr>
            <w:r>
              <w:rPr>
                <w:noProof/>
                <w:sz w:val="20"/>
              </w:rPr>
              <w:t>Не се очаква крайните потребители и регистраторите да бъдат засегнати (от гледна точка на цената, която плащат за домейна .eu).</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jc w:val="both"/>
              <w:rPr>
                <w:noProof/>
                <w:sz w:val="20"/>
                <w:szCs w:val="20"/>
              </w:rPr>
            </w:pPr>
            <w:r>
              <w:rPr>
                <w:noProof/>
                <w:sz w:val="20"/>
              </w:rPr>
              <w:t>Предпочетеният вариант ще има положително въздействие върху европейските предприятия, МСП и микропредприятия като стимулира иновациите на продукти, намали цените и осигури по-добра видимост и наличност на домейна .eu.</w:t>
            </w:r>
          </w:p>
        </w:tc>
      </w:tr>
      <w:tr>
        <w:tc>
          <w:tcPr>
            <w:tcW w:w="10188" w:type="dxa"/>
            <w:tcBorders>
              <w:bottom w:val="single" w:sz="4" w:space="0" w:color="auto"/>
            </w:tcBorders>
            <w:shd w:val="clear" w:color="auto" w:fill="E6E6E6"/>
          </w:tcPr>
          <w:p>
            <w:pPr>
              <w:spacing w:before="60"/>
              <w:jc w:val="both"/>
              <w:rPr>
                <w:b/>
                <w:i/>
                <w:noProof/>
                <w:sz w:val="20"/>
                <w:szCs w:val="20"/>
              </w:rPr>
            </w:pPr>
            <w:r>
              <w:rPr>
                <w:b/>
                <w:noProof/>
                <w:sz w:val="20"/>
              </w:rPr>
              <w:t>Ще има ли значително въздействие върху националните бюджети и администрации?</w:t>
            </w:r>
          </w:p>
        </w:tc>
      </w:tr>
      <w:tr>
        <w:tc>
          <w:tcPr>
            <w:tcW w:w="10188" w:type="dxa"/>
            <w:shd w:val="clear" w:color="auto" w:fill="auto"/>
          </w:tcPr>
          <w:p>
            <w:pPr>
              <w:jc w:val="both"/>
              <w:rPr>
                <w:noProof/>
                <w:sz w:val="20"/>
                <w:szCs w:val="20"/>
              </w:rPr>
            </w:pPr>
            <w:r>
              <w:rPr>
                <w:noProof/>
                <w:sz w:val="20"/>
              </w:rPr>
              <w:t>Не се очаква.</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rPr>
              <w:t>Ще има ли други значителни въздействия?</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Може да се очаква положително въздействие на инициативата върху регистъра и пазарите надолу по веригата на регистратори и регистранти, включително предприятията и гражданите, чрез внасяне на повече гъвкавост и иновации, намаляване на цените и гарантиране на по-голяма наличност на домейна .eu.</w:t>
            </w:r>
          </w:p>
        </w:tc>
      </w:tr>
      <w:tr>
        <w:tc>
          <w:tcPr>
            <w:tcW w:w="10188" w:type="dxa"/>
            <w:tcBorders>
              <w:bottom w:val="single" w:sz="4" w:space="0" w:color="auto"/>
            </w:tcBorders>
            <w:shd w:val="clear" w:color="auto" w:fill="C0C0C0"/>
          </w:tcPr>
          <w:p>
            <w:pPr>
              <w:spacing w:before="60" w:after="60"/>
              <w:jc w:val="center"/>
              <w:rPr>
                <w:b/>
                <w:noProof/>
                <w:sz w:val="22"/>
                <w:szCs w:val="22"/>
              </w:rPr>
            </w:pPr>
            <w:r>
              <w:rPr>
                <w:b/>
                <w:noProof/>
                <w:sz w:val="22"/>
              </w:rPr>
              <w:t>Г. Последващи действия</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rPr>
              <w:t>Кога ще се извърши преглед на политиката?</w:t>
            </w:r>
            <w:r>
              <w:rPr>
                <w:noProof/>
                <w:sz w:val="20"/>
              </w:rPr>
              <w:t xml:space="preserve"> </w:t>
            </w:r>
          </w:p>
        </w:tc>
      </w:tr>
      <w:tr>
        <w:trPr>
          <w:trHeight w:val="567"/>
        </w:trPr>
        <w:tc>
          <w:tcPr>
            <w:tcW w:w="10188" w:type="dxa"/>
            <w:tcBorders>
              <w:bottom w:val="single" w:sz="4" w:space="0" w:color="auto"/>
            </w:tcBorders>
            <w:shd w:val="clear" w:color="auto" w:fill="auto"/>
          </w:tcPr>
          <w:p>
            <w:pPr>
              <w:jc w:val="both"/>
              <w:rPr>
                <w:noProof/>
                <w:sz w:val="20"/>
                <w:szCs w:val="20"/>
              </w:rPr>
            </w:pPr>
            <w:r>
              <w:rPr>
                <w:noProof/>
                <w:sz w:val="20"/>
              </w:rPr>
              <w:t xml:space="preserve">Съгласно предпочетения вариант новата правна уредба ще позволи необходимата гъвкавост за справяне с промените на пазара без нужда от законодателно преразглеждане. По този начин ще се създаде пригодна за бъдещето правна рамка. </w:t>
            </w:r>
          </w:p>
          <w:p>
            <w:pPr>
              <w:jc w:val="both"/>
              <w:rPr>
                <w:noProof/>
                <w:sz w:val="20"/>
                <w:szCs w:val="20"/>
              </w:rPr>
            </w:pPr>
            <w:r>
              <w:rPr>
                <w:noProof/>
                <w:sz w:val="20"/>
              </w:rPr>
              <w:t>Въпреки това Комисията ще наблюдава прилагането на новата правна рамка и ще представи доклад с резултатите от своята оценка на Европейския парламент и на Съвета не по-късно от пет години след началото на прилагането на новата правна рамка.</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E9F"/>
    <w:multiLevelType w:val="hybridMultilevel"/>
    <w:tmpl w:val="98F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E13144"/>
    <w:multiLevelType w:val="hybridMultilevel"/>
    <w:tmpl w:val="85D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B108FE"/>
    <w:multiLevelType w:val="hybridMultilevel"/>
    <w:tmpl w:val="3F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5A7690"/>
    <w:multiLevelType w:val="hybridMultilevel"/>
    <w:tmpl w:val="8BCA5D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CAAC821-11D8-4EEC-BE60-17C47F7C3861"/>
    <w:docVar w:name="LW_COVERPAGE_TYPE" w:val="1"/>
    <w:docVar w:name="LW_CROSSREFERENCE" w:val="{COM(2018) 231 final}_x000b_{SEC(2018) 205 final}_x000b_{SWD(2018) 120 final}_x000b_{SWD(2018) 122 final}"/>
    <w:docVar w:name="LW_DATE.ADOPT.CP_ISODATE" w:val="&lt;EMPTY&gt;"/>
    <w:docVar w:name="LW_DocType" w:val="NORMAL"/>
    <w:docVar w:name="LW_EMISSION" w:val="27.4.2018"/>
    <w:docVar w:name="LW_EMISSION_ISODATE" w:val="2018-04-27"/>
    <w:docVar w:name="LW_EMISSION_LOCATION" w:val="BRX"/>
    <w:docVar w:name="LW_EMISSION_PREFIX" w:val="Брюксел, "/>
    <w:docVar w:name="LW_EMISSION_SUFFIX" w:val="\u1075?."/>
    <w:docVar w:name="LW_ID_DOCTYPE_NONLW" w:val="CP-027"/>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8?\u1077?\u1072?\u1083?\u1080?\u1079?\u1072?\u1094?\u1080?\u1103?\u1090?\u1072? \u1080? \u1092?\u1091?\u1085?\u1082?\u1094?\u1080?\u1086?\u1085?\u1080?\u1088?\u1072?\u1085?\u1077?\u1090?\u1086? \u1085?\u1072? \u1076?\u1086?\u1084?\u1077?\u1081?\u1085?\u1072? \u1086?\u1090? \u1087?\u1098?\u1088?\u1074?\u1086? \u1085?\u1080?\u1074?\u1086? .eu \u1080? \u1079?\u1072? \u1086?\u1090?\u1084?\u1103?\u1085?\u1072? \u1085?\u1072? \u1056?\u1077?\u1075?\u1083?\u1072?\u1084?\u1077?\u1085?\u1090? (\u1045?\u1054?) \u8470? 733/2002 \u1080? \u1056?\u1077?\u1075?\u1083?\u1072?\u1084?\u1077?\u1085?\u1090? (\u1045?\u1054?) \u8470? 874/2004 \u1085?\u1072? \u1050?\u1086?\u1084?\u1080?\u1089?\u1080?\u1103?\u1090?\u1072?"/>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55?\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aliases w:val="Bullet List Paragraph,List Paragraph1"/>
    <w:basedOn w:val="Normal"/>
    <w:link w:val="ListParagraphChar"/>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ListParagraphChar">
    <w:name w:val="List Paragraph Char"/>
    <w:aliases w:val="Bullet List Paragraph Char,List Paragraph1 Char"/>
    <w:basedOn w:val="DefaultParagraphFont"/>
    <w:link w:val="ListParagraph"/>
    <w:uiPriority w:val="34"/>
    <w:locked/>
    <w:rPr>
      <w:rFonts w:ascii="Times New Roman" w:eastAsia="Times New Roman" w:hAnsi="Times New Roman" w:cs="Times New Roman"/>
      <w:sz w:val="24"/>
      <w:szCs w:val="24"/>
      <w:lang w:eastAsia="bg-BG"/>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bg-BG"/>
    </w:rPr>
  </w:style>
  <w:style w:type="paragraph" w:customStyle="1" w:styleId="Titreobjet">
    <w:name w:val="Titre objet"/>
    <w:basedOn w:val="Normal"/>
    <w:next w:val="Normal"/>
    <w:pPr>
      <w:spacing w:before="360" w:after="360"/>
      <w:jc w:val="center"/>
    </w:pPr>
    <w:rPr>
      <w:rFonts w:eastAsiaTheme="minorHAnsi"/>
      <w:b/>
      <w:szCs w:val="22"/>
      <w:lang w:eastAsia="en-US" w:bidi="ar-SA"/>
    </w:rPr>
  </w:style>
  <w:style w:type="paragraph" w:customStyle="1" w:styleId="TitreobjetPagedecouverture">
    <w:name w:val="Titre objet (Page de couverture)"/>
    <w:basedOn w:val="Titreobjet"/>
    <w:next w:val="Normal"/>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aliases w:val="Bullet List Paragraph,List Paragraph1"/>
    <w:basedOn w:val="Normal"/>
    <w:link w:val="ListParagraphChar"/>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ListParagraphChar">
    <w:name w:val="List Paragraph Char"/>
    <w:aliases w:val="Bullet List Paragraph Char,List Paragraph1 Char"/>
    <w:basedOn w:val="DefaultParagraphFont"/>
    <w:link w:val="ListParagraph"/>
    <w:uiPriority w:val="34"/>
    <w:locked/>
    <w:rPr>
      <w:rFonts w:ascii="Times New Roman" w:eastAsia="Times New Roman" w:hAnsi="Times New Roman" w:cs="Times New Roman"/>
      <w:sz w:val="24"/>
      <w:szCs w:val="24"/>
      <w:lang w:eastAsia="bg-BG"/>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bg-BG"/>
    </w:rPr>
  </w:style>
  <w:style w:type="paragraph" w:customStyle="1" w:styleId="Titreobjet">
    <w:name w:val="Titre objet"/>
    <w:basedOn w:val="Normal"/>
    <w:next w:val="Normal"/>
    <w:pPr>
      <w:spacing w:before="360" w:after="360"/>
      <w:jc w:val="center"/>
    </w:pPr>
    <w:rPr>
      <w:rFonts w:eastAsiaTheme="minorHAnsi"/>
      <w:b/>
      <w:szCs w:val="22"/>
      <w:lang w:eastAsia="en-US" w:bidi="ar-SA"/>
    </w:rPr>
  </w:style>
  <w:style w:type="paragraph" w:customStyle="1" w:styleId="TitreobjetPagedecouverture">
    <w:name w:val="Titre objet (Page de couverture)"/>
    <w:basedOn w:val="Titreobjet"/>
    <w:next w:val="Normal"/>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UVNUSV5RWJH5-634333729-446</_dlc_DocId>
    <_dlc_DocIdUrl xmlns="866aabb8-7ec2-447a-a7ff-f911015037e7">
      <Url>https://myintracomm-collab.ec.europa.eu/dg/CONNECT/directorateE/UnitE3/_layouts/15/DocIdRedir.aspx?ID=UVNUSV5RWJH5-634333729-446</Url>
      <Description>UVNUSV5RWJH5-634333729-446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9a935a51-0e77-440d-bc26-d7c34829a5dc"/>
    <ds:schemaRef ds:uri="http://www.w3.org/XML/1998/namespace"/>
    <ds:schemaRef ds:uri="http://purl.org/dc/dcmitype/"/>
  </ds:schemaRefs>
</ds:datastoreItem>
</file>

<file path=customXml/itemProps2.xml><?xml version="1.0" encoding="utf-8"?>
<ds:datastoreItem xmlns:ds="http://schemas.openxmlformats.org/officeDocument/2006/customXml" ds:itemID="{E3605FB9-DC4F-414C-993F-CC603CA4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970C7-C0B9-4E8E-8AE2-BA3764901DCE}">
  <ds:schemaRefs>
    <ds:schemaRef ds:uri="http://schemas.microsoft.com/sharepoint/events"/>
  </ds:schemaRefs>
</ds:datastoreItem>
</file>

<file path=customXml/itemProps4.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1479</Words>
  <Characters>8667</Characters>
  <Application>Microsoft Office Word</Application>
  <DocSecurity>0</DocSecurity>
  <Lines>131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2018-01-16T15:37:00Z</cp:lastPrinted>
  <dcterms:created xsi:type="dcterms:W3CDTF">2018-04-06T15:20:00Z</dcterms:created>
  <dcterms:modified xsi:type="dcterms:W3CDTF">2018-05-18T09:58:00Z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NewReviewCycle">
    <vt:lpwstr/>
  </property>
  <property fmtid="{D5CDD505-2E9C-101B-9397-08002B2CF9AE}" pid="8" name="ContentTypeId">
    <vt:lpwstr>0x010100258AA79CEB83498886A3A0868112325000AA4FBDDAD295414E98B22993176C4E1A</vt:lpwstr>
  </property>
  <property fmtid="{D5CDD505-2E9C-101B-9397-08002B2CF9AE}" pid="9" name="TemplateUrl">
    <vt:lpwstr/>
  </property>
  <property fmtid="{D5CDD505-2E9C-101B-9397-08002B2CF9AE}" pid="10" name="_dlc_DocIdItemGuid">
    <vt:lpwstr>59bab8ef-dd9b-4a0b-ba75-80df39780857</vt:lpwstr>
  </property>
  <property fmtid="{D5CDD505-2E9C-101B-9397-08002B2CF9AE}" pid="11" name="DocStatus">
    <vt:lpwstr>Green</vt:lpwstr>
  </property>
  <property fmtid="{D5CDD505-2E9C-101B-9397-08002B2CF9AE}" pid="12" name="Level of sensitivity">
    <vt:lpwstr>Standard treatment</vt:lpwstr>
  </property>
</Properties>
</file>