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87" w:rsidRDefault="00FA3D84" w:rsidP="00FA3D8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6D773E4-ECBA-403C-8357-4C2482CA440B" style="width:450.75pt;height:397.5pt">
            <v:imagedata r:id="rId9" o:title=""/>
          </v:shape>
        </w:pict>
      </w:r>
    </w:p>
    <w:p w:rsidR="00A74287" w:rsidRDefault="00A74287">
      <w:pPr>
        <w:rPr>
          <w:noProof/>
        </w:rPr>
        <w:sectPr w:rsidR="00A74287" w:rsidSect="00FA3D8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A74287" w:rsidRDefault="00FA3D84">
      <w:pPr>
        <w:pStyle w:val="Annexetitre"/>
        <w:rPr>
          <w:noProof/>
        </w:rPr>
      </w:pPr>
      <w:bookmarkStart w:id="0" w:name="_GoBack"/>
      <w:bookmarkEnd w:id="0"/>
      <w:r>
        <w:rPr>
          <w:noProof/>
        </w:rPr>
        <w:lastRenderedPageBreak/>
        <w:t>ANNEXE</w:t>
      </w:r>
    </w:p>
    <w:p w:rsidR="00A74287" w:rsidRDefault="00A74287">
      <w:pPr>
        <w:rPr>
          <w:noProof/>
        </w:rPr>
      </w:pPr>
    </w:p>
    <w:p w:rsidR="00A74287" w:rsidRDefault="00A74287">
      <w:pPr>
        <w:rPr>
          <w:noProof/>
        </w:rPr>
      </w:pPr>
    </w:p>
    <w:p w:rsidR="00A74287" w:rsidRDefault="00FA3D84">
      <w:pPr>
        <w:tabs>
          <w:tab w:val="left" w:pos="4252"/>
        </w:tabs>
        <w:spacing w:before="0" w:after="0"/>
        <w:jc w:val="left"/>
        <w:rPr>
          <w:b/>
          <w:noProof/>
          <w:szCs w:val="24"/>
        </w:rPr>
      </w:pPr>
      <w:r>
        <w:rPr>
          <w:b/>
          <w:noProof/>
        </w:rPr>
        <w:t>PARTIE A</w:t>
      </w:r>
    </w:p>
    <w:p w:rsidR="00A74287" w:rsidRDefault="00A74287">
      <w:pPr>
        <w:tabs>
          <w:tab w:val="left" w:pos="4252"/>
        </w:tabs>
        <w:spacing w:before="0" w:after="0"/>
        <w:jc w:val="left"/>
        <w:rPr>
          <w:rFonts w:asciiTheme="minorHAnsi" w:hAnsiTheme="minorHAnsi" w:cstheme="minorBidi"/>
          <w:noProof/>
          <w:sz w:val="18"/>
          <w:szCs w:val="18"/>
        </w:rPr>
      </w:pPr>
    </w:p>
    <w:tbl>
      <w:tblPr>
        <w:tblW w:w="4789" w:type="pct"/>
        <w:tblLayout w:type="fixed"/>
        <w:tblLook w:val="04A0" w:firstRow="1" w:lastRow="0" w:firstColumn="1" w:lastColumn="0" w:noHBand="0" w:noVBand="1"/>
      </w:tblPr>
      <w:tblGrid>
        <w:gridCol w:w="3085"/>
        <w:gridCol w:w="1278"/>
        <w:gridCol w:w="851"/>
        <w:gridCol w:w="706"/>
        <w:gridCol w:w="852"/>
        <w:gridCol w:w="995"/>
        <w:gridCol w:w="1130"/>
      </w:tblGrid>
      <w:tr w:rsidR="00A74287">
        <w:trPr>
          <w:cantSplit/>
          <w:trHeight w:val="1134"/>
          <w:tblHeader/>
        </w:trPr>
        <w:tc>
          <w:tcPr>
            <w:tcW w:w="1734" w:type="pct"/>
            <w:tcBorders>
              <w:top w:val="single" w:sz="4" w:space="0" w:color="auto"/>
              <w:left w:val="single" w:sz="4" w:space="0" w:color="auto"/>
              <w:bottom w:val="single" w:sz="4" w:space="0" w:color="auto"/>
              <w:right w:val="single" w:sz="4" w:space="0" w:color="auto"/>
            </w:tcBorders>
            <w:shd w:val="clear" w:color="5B9BD5" w:fill="F4B084"/>
            <w:textDirection w:val="btLr"/>
            <w:vAlign w:val="center"/>
            <w:hideMark/>
          </w:tcPr>
          <w:p w:rsidR="00A74287" w:rsidRDefault="00FA3D84">
            <w:pPr>
              <w:spacing w:before="0" w:after="0"/>
              <w:ind w:left="113" w:right="113"/>
              <w:rPr>
                <w:rFonts w:eastAsia="Times New Roman"/>
                <w:b/>
                <w:bCs/>
                <w:noProof/>
                <w:sz w:val="18"/>
                <w:szCs w:val="18"/>
              </w:rPr>
            </w:pPr>
            <w:r>
              <w:rPr>
                <w:b/>
                <w:noProof/>
                <w:sz w:val="18"/>
              </w:rPr>
              <w:t>Description du produit</w:t>
            </w:r>
          </w:p>
        </w:tc>
        <w:tc>
          <w:tcPr>
            <w:tcW w:w="718" w:type="pct"/>
            <w:tcBorders>
              <w:top w:val="single" w:sz="4" w:space="0" w:color="auto"/>
              <w:left w:val="nil"/>
              <w:bottom w:val="single" w:sz="4" w:space="0" w:color="auto"/>
              <w:right w:val="single" w:sz="4" w:space="0" w:color="auto"/>
            </w:tcBorders>
            <w:shd w:val="clear" w:color="5B9BD5" w:fill="F4B084"/>
            <w:textDirection w:val="btLr"/>
            <w:vAlign w:val="center"/>
            <w:hideMark/>
          </w:tcPr>
          <w:p w:rsidR="00A74287" w:rsidRDefault="00FA3D84">
            <w:pPr>
              <w:spacing w:before="0" w:after="0"/>
              <w:ind w:left="113" w:right="113"/>
              <w:rPr>
                <w:rFonts w:eastAsia="Times New Roman"/>
                <w:b/>
                <w:bCs/>
                <w:noProof/>
                <w:sz w:val="18"/>
                <w:szCs w:val="18"/>
              </w:rPr>
            </w:pPr>
            <w:r>
              <w:rPr>
                <w:b/>
                <w:noProof/>
                <w:sz w:val="18"/>
              </w:rPr>
              <w:t>Unité</w:t>
            </w:r>
          </w:p>
        </w:tc>
        <w:tc>
          <w:tcPr>
            <w:tcW w:w="478" w:type="pct"/>
            <w:tcBorders>
              <w:top w:val="single" w:sz="4" w:space="0" w:color="auto"/>
              <w:left w:val="nil"/>
              <w:bottom w:val="single" w:sz="4" w:space="0" w:color="auto"/>
              <w:right w:val="single" w:sz="4" w:space="0" w:color="auto"/>
            </w:tcBorders>
            <w:shd w:val="clear" w:color="5B9BD5" w:fill="F4B084"/>
            <w:textDirection w:val="btLr"/>
            <w:vAlign w:val="center"/>
            <w:hideMark/>
          </w:tcPr>
          <w:p w:rsidR="00A74287" w:rsidRDefault="00FA3D84">
            <w:pPr>
              <w:spacing w:before="0" w:after="0"/>
              <w:ind w:left="113" w:right="113"/>
              <w:rPr>
                <w:rFonts w:eastAsia="Times New Roman"/>
                <w:b/>
                <w:bCs/>
                <w:noProof/>
                <w:sz w:val="18"/>
                <w:szCs w:val="18"/>
              </w:rPr>
            </w:pPr>
            <w:r>
              <w:rPr>
                <w:b/>
                <w:noProof/>
                <w:sz w:val="18"/>
              </w:rPr>
              <w:t>Quantité liste UE28</w:t>
            </w:r>
          </w:p>
        </w:tc>
        <w:tc>
          <w:tcPr>
            <w:tcW w:w="397" w:type="pct"/>
            <w:tcBorders>
              <w:top w:val="single" w:sz="4" w:space="0" w:color="auto"/>
              <w:left w:val="nil"/>
              <w:bottom w:val="single" w:sz="4" w:space="0" w:color="auto"/>
              <w:right w:val="single" w:sz="4" w:space="0" w:color="auto"/>
            </w:tcBorders>
            <w:shd w:val="clear" w:color="5B9BD5" w:fill="F4B084"/>
            <w:noWrap/>
            <w:textDirection w:val="btLr"/>
            <w:vAlign w:val="center"/>
            <w:hideMark/>
          </w:tcPr>
          <w:p w:rsidR="00A74287" w:rsidRDefault="00FA3D84">
            <w:pPr>
              <w:spacing w:before="0" w:after="0"/>
              <w:ind w:left="113" w:right="113"/>
              <w:rPr>
                <w:rFonts w:eastAsia="Times New Roman"/>
                <w:b/>
                <w:bCs/>
                <w:noProof/>
                <w:sz w:val="18"/>
                <w:szCs w:val="18"/>
              </w:rPr>
            </w:pPr>
            <w:r>
              <w:rPr>
                <w:b/>
                <w:noProof/>
                <w:sz w:val="18"/>
              </w:rPr>
              <w:t>Pays</w:t>
            </w:r>
            <w:r>
              <w:rPr>
                <w:rStyle w:val="FootnoteReference"/>
                <w:b/>
                <w:noProof/>
                <w:sz w:val="18"/>
              </w:rPr>
              <w:footnoteReference w:id="1"/>
            </w:r>
          </w:p>
        </w:tc>
        <w:tc>
          <w:tcPr>
            <w:tcW w:w="479" w:type="pct"/>
            <w:tcBorders>
              <w:top w:val="single" w:sz="4" w:space="0" w:color="auto"/>
              <w:left w:val="nil"/>
              <w:bottom w:val="single" w:sz="4" w:space="0" w:color="auto"/>
              <w:right w:val="single" w:sz="4" w:space="0" w:color="auto"/>
            </w:tcBorders>
            <w:shd w:val="clear" w:color="5B9BD5" w:fill="F4B084"/>
            <w:noWrap/>
            <w:textDirection w:val="btLr"/>
            <w:vAlign w:val="center"/>
            <w:hideMark/>
          </w:tcPr>
          <w:p w:rsidR="00A74287" w:rsidRDefault="00FA3D84">
            <w:pPr>
              <w:spacing w:before="0" w:after="0"/>
              <w:ind w:left="113" w:right="113"/>
              <w:rPr>
                <w:rFonts w:eastAsia="Times New Roman"/>
                <w:b/>
                <w:bCs/>
                <w:noProof/>
                <w:sz w:val="18"/>
                <w:szCs w:val="18"/>
              </w:rPr>
            </w:pPr>
            <w:r>
              <w:rPr>
                <w:b/>
                <w:noProof/>
                <w:sz w:val="18"/>
              </w:rPr>
              <w:t>Numéro d’ordre</w:t>
            </w:r>
          </w:p>
        </w:tc>
        <w:tc>
          <w:tcPr>
            <w:tcW w:w="559" w:type="pct"/>
            <w:tcBorders>
              <w:top w:val="single" w:sz="4" w:space="0" w:color="auto"/>
              <w:left w:val="nil"/>
              <w:bottom w:val="single" w:sz="4" w:space="0" w:color="auto"/>
              <w:right w:val="single" w:sz="4" w:space="0" w:color="auto"/>
            </w:tcBorders>
            <w:shd w:val="clear" w:color="000000" w:fill="F4B084"/>
            <w:textDirection w:val="btLr"/>
            <w:vAlign w:val="center"/>
            <w:hideMark/>
          </w:tcPr>
          <w:p w:rsidR="00A74287" w:rsidRDefault="00FA3D84">
            <w:pPr>
              <w:spacing w:before="0" w:after="0"/>
              <w:ind w:left="113" w:right="113"/>
              <w:rPr>
                <w:rFonts w:eastAsia="Times New Roman"/>
                <w:b/>
                <w:bCs/>
                <w:noProof/>
                <w:sz w:val="18"/>
                <w:szCs w:val="18"/>
              </w:rPr>
            </w:pPr>
            <w:r>
              <w:rPr>
                <w:b/>
                <w:noProof/>
                <w:sz w:val="18"/>
              </w:rPr>
              <w:t>Part UE27 utilisation contingent</w:t>
            </w:r>
            <w:r>
              <w:rPr>
                <w:rStyle w:val="FootnoteReference"/>
                <w:b/>
                <w:noProof/>
                <w:sz w:val="18"/>
              </w:rPr>
              <w:footnoteReference w:id="2"/>
            </w:r>
          </w:p>
        </w:tc>
        <w:tc>
          <w:tcPr>
            <w:tcW w:w="635" w:type="pct"/>
            <w:tcBorders>
              <w:top w:val="single" w:sz="4" w:space="0" w:color="auto"/>
              <w:left w:val="nil"/>
              <w:bottom w:val="single" w:sz="4" w:space="0" w:color="auto"/>
              <w:right w:val="single" w:sz="4" w:space="0" w:color="auto"/>
            </w:tcBorders>
            <w:shd w:val="clear" w:color="000000" w:fill="F4B084"/>
            <w:textDirection w:val="btLr"/>
            <w:vAlign w:val="center"/>
            <w:hideMark/>
          </w:tcPr>
          <w:p w:rsidR="00A74287" w:rsidRDefault="00FA3D84">
            <w:pPr>
              <w:spacing w:before="0" w:after="0"/>
              <w:ind w:left="113" w:right="113"/>
              <w:rPr>
                <w:rFonts w:eastAsia="Times New Roman"/>
                <w:b/>
                <w:bCs/>
                <w:noProof/>
                <w:sz w:val="18"/>
                <w:szCs w:val="18"/>
              </w:rPr>
            </w:pPr>
            <w:r>
              <w:rPr>
                <w:b/>
                <w:noProof/>
                <w:sz w:val="18"/>
              </w:rPr>
              <w:t>Taille CT UE27</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Animaux </w:t>
            </w:r>
            <w:r>
              <w:rPr>
                <w:noProof/>
                <w:sz w:val="18"/>
              </w:rPr>
              <w:t>vivants de l’espèce bovine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tête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710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r>
              <w:rPr>
                <w:rStyle w:val="FootnoteReference"/>
                <w:noProof/>
                <w:sz w:val="18"/>
              </w:rPr>
              <w:footnoteReference w:id="3"/>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090114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710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Animaux vivants de l’espèce bovine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tête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711</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090115</w:t>
            </w:r>
          </w:p>
        </w:tc>
        <w:tc>
          <w:tcPr>
            <w:tcW w:w="559" w:type="pct"/>
            <w:tcBorders>
              <w:top w:val="nil"/>
              <w:left w:val="nil"/>
              <w:bottom w:val="single" w:sz="4" w:space="0" w:color="auto"/>
              <w:right w:val="single" w:sz="4" w:space="0" w:color="auto"/>
            </w:tcBorders>
            <w:shd w:val="clear" w:color="auto" w:fill="auto"/>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711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Animaux vivants de l’espèce bovine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tête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24 070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090113</w:t>
            </w:r>
          </w:p>
        </w:tc>
        <w:tc>
          <w:tcPr>
            <w:tcW w:w="559" w:type="pct"/>
            <w:tcBorders>
              <w:top w:val="nil"/>
              <w:left w:val="nil"/>
              <w:bottom w:val="single" w:sz="4" w:space="0" w:color="auto"/>
              <w:right w:val="single" w:sz="4" w:space="0" w:color="auto"/>
            </w:tcBorders>
            <w:shd w:val="clear" w:color="auto" w:fill="auto"/>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24 070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Viandes des animaux de l’espèce bovine, fraîches, réfrigérées </w:t>
            </w:r>
            <w:r>
              <w:rPr>
                <w:noProof/>
                <w:sz w:val="18"/>
              </w:rPr>
              <w:t>ou congelées</w:t>
            </w:r>
            <w:r>
              <w:rPr>
                <w:rFonts w:eastAsia="Times New Roman"/>
                <w:noProof/>
                <w:sz w:val="18"/>
                <w:szCs w:val="18"/>
              </w:rPr>
              <w:br/>
            </w:r>
            <w:r>
              <w:rPr>
                <w:noProof/>
                <w:sz w:val="18"/>
              </w:rPr>
              <w:t>Abats comestibles de l’espèce bovine, frais, réfrigérés ou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produit)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7 150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AUS</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094451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34,7 %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2 481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noWrap/>
            <w:hideMark/>
          </w:tcPr>
          <w:p w:rsidR="00A74287" w:rsidRDefault="00FA3D84">
            <w:pPr>
              <w:spacing w:before="0" w:after="0"/>
              <w:jc w:val="center"/>
              <w:rPr>
                <w:rFonts w:eastAsia="Times New Roman"/>
                <w:noProof/>
                <w:sz w:val="18"/>
                <w:szCs w:val="18"/>
              </w:rPr>
            </w:pPr>
            <w:r>
              <w:rPr>
                <w:noProof/>
                <w:sz w:val="18"/>
              </w:rPr>
              <w:t>Viandes de haute qualité avec ou sans os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produit)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17 000</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ARG</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094450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16 936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Viandes désossées des animaux de l’espèce bovine, de haute qualité, fraîches ou réfrigérées </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produit)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12 500</w:t>
            </w:r>
          </w:p>
        </w:tc>
        <w:tc>
          <w:tcPr>
            <w:tcW w:w="397"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noProof/>
                <w:sz w:val="18"/>
                <w:szCs w:val="18"/>
              </w:rPr>
            </w:pPr>
          </w:p>
        </w:tc>
        <w:tc>
          <w:tcPr>
            <w:tcW w:w="479"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noProof/>
                <w:sz w:val="18"/>
                <w:szCs w:val="18"/>
              </w:rPr>
            </w:pP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12 453</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noWrap/>
            <w:hideMark/>
          </w:tcPr>
          <w:p w:rsidR="00A74287" w:rsidRDefault="00FA3D84">
            <w:pPr>
              <w:spacing w:before="0" w:after="0"/>
              <w:jc w:val="center"/>
              <w:rPr>
                <w:rFonts w:eastAsia="Times New Roman"/>
                <w:noProof/>
                <w:sz w:val="18"/>
                <w:szCs w:val="18"/>
              </w:rPr>
            </w:pPr>
            <w:r>
              <w:rPr>
                <w:noProof/>
                <w:sz w:val="18"/>
              </w:rPr>
              <w:t>Viandes de haute qualité avec ou sans os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produit)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2 300</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URY</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094452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87,9 %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2 022</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Viandes désossées des animaux </w:t>
            </w:r>
            <w:r>
              <w:rPr>
                <w:noProof/>
                <w:sz w:val="18"/>
              </w:rPr>
              <w:t>de l’espèce bovine, de haute qualité, fraîches ou réfrigérées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produit)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4 076</w:t>
            </w:r>
          </w:p>
        </w:tc>
        <w:tc>
          <w:tcPr>
            <w:tcW w:w="397"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noProof/>
                <w:sz w:val="18"/>
                <w:szCs w:val="18"/>
              </w:rPr>
            </w:pPr>
          </w:p>
        </w:tc>
        <w:tc>
          <w:tcPr>
            <w:tcW w:w="479"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noProof/>
                <w:sz w:val="18"/>
                <w:szCs w:val="18"/>
              </w:rPr>
            </w:pP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87,9 %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3 584</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des animaux de l’espèce bovine, fraîches, réfrigérées ou congelées</w:t>
            </w:r>
            <w:r>
              <w:rPr>
                <w:rFonts w:eastAsia="Times New Roman"/>
                <w:noProof/>
                <w:sz w:val="18"/>
                <w:szCs w:val="18"/>
              </w:rPr>
              <w:br/>
            </w:r>
            <w:r>
              <w:rPr>
                <w:noProof/>
                <w:sz w:val="18"/>
              </w:rPr>
              <w:t>Abats comestibles de l’espèce bovine, frais, réfrigérés ou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 xml:space="preserve">t (poids </w:t>
            </w:r>
            <w:r>
              <w:rPr>
                <w:noProof/>
                <w:sz w:val="18"/>
              </w:rPr>
              <w:t>produit)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11 500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USA / CAN</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094002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99,8 %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11 481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 haute qualité des animaux de l’espèce bovine, fraîches, réfrigérées ou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A74287">
            <w:pPr>
              <w:spacing w:before="0" w:after="0"/>
              <w:jc w:val="center"/>
              <w:rPr>
                <w:rFonts w:eastAsia="Times New Roman"/>
                <w:noProof/>
                <w:sz w:val="18"/>
                <w:szCs w:val="18"/>
              </w:rPr>
            </w:pP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PAR</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094455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71,1 %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711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Viandes de haute qualité des animaux de l’espèce bovine, fraîches, réfrigérées ou </w:t>
            </w:r>
            <w:r>
              <w:rPr>
                <w:noProof/>
                <w:sz w:val="18"/>
              </w:rPr>
              <w:t>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1 300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NZL</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094454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65,1 %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846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désossées des animaux de l’espèce bovine, fraîches, réfrigérées ou congelées</w:t>
            </w:r>
            <w:r>
              <w:rPr>
                <w:rFonts w:eastAsia="Times New Roman"/>
                <w:noProof/>
                <w:sz w:val="18"/>
                <w:szCs w:val="18"/>
              </w:rPr>
              <w:br/>
            </w:r>
            <w:r>
              <w:rPr>
                <w:noProof/>
                <w:sz w:val="18"/>
              </w:rPr>
              <w:t>Abats comestibles de l’espèce bovine, frais, réfrigérés ou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BRA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094453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89,5 %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8 951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Viandes des animaux de </w:t>
            </w:r>
            <w:r>
              <w:rPr>
                <w:noProof/>
                <w:sz w:val="18"/>
              </w:rPr>
              <w:t>l’espèce bovine, congelées</w:t>
            </w:r>
            <w:r>
              <w:rPr>
                <w:rFonts w:eastAsia="Times New Roman"/>
                <w:noProof/>
                <w:sz w:val="18"/>
                <w:szCs w:val="18"/>
              </w:rPr>
              <w:br/>
            </w:r>
            <w:r>
              <w:rPr>
                <w:noProof/>
                <w:sz w:val="18"/>
              </w:rPr>
              <w:t>Abats comestibles de l’espèce bovine,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sans os)</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54 875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094003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79,7 %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43 732</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lastRenderedPageBreak/>
              <w:t>Viandes de buffle désossées,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(sans os)</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2 250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AUS</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094001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62,4 %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1 405</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 buffle désossées, congelées</w:t>
            </w:r>
            <w:r>
              <w:rPr>
                <w:rFonts w:eastAsia="Times New Roman"/>
                <w:noProof/>
                <w:sz w:val="18"/>
                <w:szCs w:val="18"/>
              </w:rPr>
              <w:br/>
            </w:r>
            <w:r>
              <w:rPr>
                <w:noProof/>
                <w:sz w:val="18"/>
              </w:rPr>
              <w:t xml:space="preserve">Viandes de </w:t>
            </w:r>
            <w:r>
              <w:rPr>
                <w:noProof/>
                <w:sz w:val="18"/>
              </w:rPr>
              <w:t>buffle désossées, fraîches, réfrigérées ou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(sans os)</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ARG</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094004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des animaux de l’espèce bovine, congelées</w:t>
            </w:r>
            <w:r>
              <w:rPr>
                <w:rFonts w:eastAsia="Times New Roman"/>
                <w:noProof/>
                <w:sz w:val="18"/>
                <w:szCs w:val="18"/>
              </w:rPr>
              <w:br/>
            </w:r>
            <w:r>
              <w:rPr>
                <w:noProof/>
                <w:sz w:val="18"/>
              </w:rPr>
              <w:t>Abats comestibles de l’espèce bovine,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avec os)</w:t>
            </w:r>
          </w:p>
        </w:tc>
        <w:tc>
          <w:tcPr>
            <w:tcW w:w="478" w:type="pct"/>
            <w:vMerge w:val="restart"/>
            <w:tcBorders>
              <w:top w:val="nil"/>
              <w:left w:val="single" w:sz="4" w:space="0" w:color="auto"/>
              <w:bottom w:val="single" w:sz="4" w:space="0" w:color="000000"/>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63 703</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094057</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30,9 %</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19 676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Viandes des </w:t>
            </w:r>
            <w:r>
              <w:rPr>
                <w:noProof/>
                <w:sz w:val="18"/>
              </w:rPr>
              <w:t>animaux de l’espèce bovine, congelées</w:t>
            </w:r>
            <w:r>
              <w:rPr>
                <w:rFonts w:eastAsia="Times New Roman"/>
                <w:noProof/>
                <w:sz w:val="18"/>
                <w:szCs w:val="18"/>
              </w:rPr>
              <w:br/>
            </w:r>
            <w:r>
              <w:rPr>
                <w:noProof/>
                <w:sz w:val="18"/>
              </w:rPr>
              <w:t>Abats comestibles de l’espèce bovine,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avec os)</w:t>
            </w:r>
          </w:p>
        </w:tc>
        <w:tc>
          <w:tcPr>
            <w:tcW w:w="478" w:type="pct"/>
            <w:vMerge/>
            <w:tcBorders>
              <w:top w:val="nil"/>
              <w:left w:val="single" w:sz="4" w:space="0" w:color="auto"/>
              <w:bottom w:val="single" w:sz="4" w:space="0" w:color="000000"/>
              <w:right w:val="single" w:sz="4" w:space="0" w:color="auto"/>
            </w:tcBorders>
            <w:vAlign w:val="center"/>
            <w:hideMark/>
          </w:tcPr>
          <w:p w:rsidR="00A74287" w:rsidRDefault="00A74287">
            <w:pPr>
              <w:spacing w:before="0" w:after="0"/>
              <w:jc w:val="center"/>
              <w:rPr>
                <w:rFonts w:eastAsia="Times New Roman"/>
                <w:noProof/>
                <w:sz w:val="18"/>
                <w:szCs w:val="18"/>
              </w:rPr>
            </w:pP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094058</w:t>
            </w:r>
          </w:p>
        </w:tc>
        <w:tc>
          <w:tcPr>
            <w:tcW w:w="559" w:type="pct"/>
            <w:vMerge/>
            <w:tcBorders>
              <w:top w:val="nil"/>
              <w:left w:val="single" w:sz="4" w:space="0" w:color="auto"/>
              <w:bottom w:val="single" w:sz="4" w:space="0" w:color="auto"/>
              <w:right w:val="single" w:sz="4" w:space="0" w:color="auto"/>
            </w:tcBorders>
            <w:vAlign w:val="center"/>
          </w:tcPr>
          <w:p w:rsidR="00A74287" w:rsidRDefault="00A74287">
            <w:pPr>
              <w:spacing w:before="0" w:after="0"/>
              <w:jc w:val="center"/>
              <w:rPr>
                <w:rFonts w:eastAsia="Times New Roman"/>
                <w:b/>
                <w:bCs/>
                <w:noProof/>
                <w:sz w:val="18"/>
                <w:szCs w:val="18"/>
              </w:rPr>
            </w:pPr>
          </w:p>
        </w:tc>
        <w:tc>
          <w:tcPr>
            <w:tcW w:w="635"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b/>
                <w:bCs/>
                <w:noProof/>
                <w:sz w:val="18"/>
                <w:szCs w:val="18"/>
              </w:rPr>
            </w:pPr>
          </w:p>
        </w:tc>
      </w:tr>
      <w:tr w:rsidR="00A74287">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Abats comestibles de l’espèce bovine,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800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r>
              <w:rPr>
                <w:rStyle w:val="FootnoteReference"/>
                <w:noProof/>
                <w:sz w:val="18"/>
              </w:rPr>
              <w:footnoteReference w:id="4"/>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094020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800</w:t>
            </w:r>
          </w:p>
        </w:tc>
      </w:tr>
      <w:tr w:rsidR="00A74287">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Abats comestibles de l’espèce bovine,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700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ARG</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094460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700</w:t>
            </w:r>
          </w:p>
        </w:tc>
      </w:tr>
      <w:tr w:rsidR="00A74287">
        <w:trPr>
          <w:trHeight w:val="84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des animaux de l’espèce porcine, fraîches, réfrigérées ou congelées</w:t>
            </w:r>
            <w:r>
              <w:rPr>
                <w:rFonts w:eastAsia="Times New Roman"/>
                <w:noProof/>
                <w:sz w:val="18"/>
                <w:szCs w:val="18"/>
              </w:rPr>
              <w:br/>
            </w:r>
            <w:r>
              <w:rPr>
                <w:noProof/>
                <w:sz w:val="18"/>
              </w:rPr>
              <w:t>- Carcasses et demi-carcasses des animaux de l’espèce porcine domestique, fraîches, réfrigérées ou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15 067</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090122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15 067</w:t>
            </w:r>
          </w:p>
        </w:tc>
      </w:tr>
      <w:tr w:rsidR="00A74287">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Viandes des animaux de </w:t>
            </w:r>
            <w:r>
              <w:rPr>
                <w:noProof/>
                <w:sz w:val="18"/>
              </w:rPr>
              <w:t>l’espèce porcine, fraîches, réfrigérées ou congelées:</w:t>
            </w:r>
            <w:r>
              <w:rPr>
                <w:rFonts w:eastAsia="Times New Roman"/>
                <w:noProof/>
                <w:sz w:val="18"/>
                <w:szCs w:val="18"/>
              </w:rPr>
              <w:br/>
            </w:r>
            <w:r>
              <w:rPr>
                <w:noProof/>
                <w:sz w:val="18"/>
              </w:rPr>
              <w:t>- Morceaux des animaux de l’espèce porcine domestique, frais, réfrigérés ou congelés, avec ou sans os, à l’exclusion du filet présenté séparément</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4 624</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CAN</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094204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4 623</w:t>
            </w:r>
          </w:p>
        </w:tc>
      </w:tr>
      <w:tr w:rsidR="00A74287">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Viandes des animaux de </w:t>
            </w:r>
            <w:r>
              <w:rPr>
                <w:noProof/>
                <w:sz w:val="18"/>
              </w:rPr>
              <w:t>l’espèce porcine, fraîches, réfrigérées ou congelées:</w:t>
            </w:r>
            <w:r>
              <w:rPr>
                <w:rFonts w:eastAsia="Times New Roman"/>
                <w:noProof/>
                <w:sz w:val="18"/>
                <w:szCs w:val="18"/>
              </w:rPr>
              <w:br/>
            </w:r>
            <w:r>
              <w:rPr>
                <w:noProof/>
                <w:sz w:val="18"/>
              </w:rPr>
              <w:t>- Morceaux des animaux de l’espèce porcine domestique, frais, réfrigérés ou congelés, avec ou sans os, à l’exclusion du filet présenté séparément</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6 135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090123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6 133</w:t>
            </w:r>
          </w:p>
        </w:tc>
      </w:tr>
      <w:tr w:rsidR="00A74287">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des animaux de l’</w:t>
            </w:r>
            <w:r>
              <w:rPr>
                <w:noProof/>
                <w:sz w:val="18"/>
              </w:rPr>
              <w:t>espèce porcine, fraîches, réfrigérées ou congelées:</w:t>
            </w:r>
            <w:r>
              <w:rPr>
                <w:rFonts w:eastAsia="Times New Roman"/>
                <w:noProof/>
                <w:sz w:val="18"/>
                <w:szCs w:val="18"/>
              </w:rPr>
              <w:br/>
            </w:r>
            <w:r>
              <w:rPr>
                <w:noProof/>
                <w:sz w:val="18"/>
              </w:rPr>
              <w:t>- Longes et morceaux de longes des animaux de l’espèce porcine domestique, non désossés, frais ou réfrigérés</w:t>
            </w:r>
            <w:r>
              <w:rPr>
                <w:rFonts w:eastAsia="Times New Roman"/>
                <w:noProof/>
                <w:sz w:val="18"/>
                <w:szCs w:val="18"/>
              </w:rPr>
              <w:br/>
            </w:r>
            <w:r>
              <w:rPr>
                <w:noProof/>
                <w:sz w:val="18"/>
              </w:rPr>
              <w:t xml:space="preserve">- Poitrines (entrelardées) et morceaux de poitrine des animaux de l’espèce porcine domestique, </w:t>
            </w:r>
            <w:r>
              <w:rPr>
                <w:noProof/>
                <w:sz w:val="18"/>
              </w:rPr>
              <w:t>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7 000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090119</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7 000</w:t>
            </w:r>
          </w:p>
        </w:tc>
      </w:tr>
      <w:tr w:rsidR="00A74287">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des animaux de l’espèce porcine, fraîches, réfrigérées ou congelées:</w:t>
            </w:r>
            <w:r>
              <w:rPr>
                <w:rFonts w:eastAsia="Times New Roman"/>
                <w:noProof/>
                <w:sz w:val="18"/>
                <w:szCs w:val="18"/>
              </w:rPr>
              <w:br/>
            </w:r>
            <w:r>
              <w:rPr>
                <w:noProof/>
                <w:sz w:val="18"/>
              </w:rPr>
              <w:t>- Longes et jambons désossés des animaux de l’espèce porcine domestique, frais, réfrigérés ou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35 265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094038</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36 %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12 680</w:t>
            </w:r>
          </w:p>
        </w:tc>
      </w:tr>
      <w:tr w:rsidR="00A74287">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lastRenderedPageBreak/>
              <w:t>Viandes des animaux de l’espèce porcine, fraîches, réfrigérées ou congelées:</w:t>
            </w:r>
            <w:r>
              <w:rPr>
                <w:rFonts w:eastAsia="Times New Roman"/>
                <w:noProof/>
                <w:sz w:val="18"/>
                <w:szCs w:val="18"/>
              </w:rPr>
              <w:br/>
            </w:r>
            <w:r>
              <w:rPr>
                <w:noProof/>
                <w:sz w:val="18"/>
              </w:rPr>
              <w:t>- Longes et jambons désossés des animaux de l’espèce porcine domestique, frais, réfrigérés ou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4 922</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US</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094170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36 %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1 770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Viandes des animaux de l’espèce porcine, </w:t>
            </w:r>
            <w:r>
              <w:rPr>
                <w:noProof/>
                <w:sz w:val="18"/>
              </w:rPr>
              <w:t>fraîches, réfrigérées ou congelées:</w:t>
            </w:r>
            <w:r>
              <w:rPr>
                <w:rFonts w:eastAsia="Times New Roman"/>
                <w:noProof/>
                <w:sz w:val="18"/>
                <w:szCs w:val="18"/>
              </w:rPr>
              <w:br/>
            </w:r>
            <w:r>
              <w:rPr>
                <w:noProof/>
                <w:sz w:val="18"/>
              </w:rPr>
              <w:t>- Filets des animaux de l’espèce porcine domestique, frais, réfrigérés ou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090118</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75,6 %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3 780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Préparations ou conserves de viande de l’espèce porcine domestique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6 161</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090121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6 161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Saucisses et saucissons, secs ou à tartiner, non cuits</w:t>
            </w:r>
            <w:r>
              <w:rPr>
                <w:rFonts w:eastAsia="Times New Roman"/>
                <w:noProof/>
                <w:sz w:val="18"/>
                <w:szCs w:val="18"/>
              </w:rPr>
              <w:br/>
            </w:r>
            <w:r>
              <w:rPr>
                <w:noProof/>
                <w:sz w:val="18"/>
              </w:rPr>
              <w:t xml:space="preserve">Autres saucisses et saucissons </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3 002</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090120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5,5 %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164</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Animaux vivants des espèces ovine ou caprine, autres que les reproducteurs de race pure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carcasse)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105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092019</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105</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Animaux</w:t>
            </w:r>
            <w:r>
              <w:rPr>
                <w:noProof/>
                <w:sz w:val="18"/>
              </w:rPr>
              <w:t xml:space="preserve"> vivants des espèces ovine ou caprine, autres que les reproducteurs de race pure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carcasse)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215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MKD</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A74287">
            <w:pPr>
              <w:spacing w:before="0" w:after="0"/>
              <w:jc w:val="center"/>
              <w:rPr>
                <w:rFonts w:eastAsia="Times New Roman"/>
                <w:noProof/>
                <w:sz w:val="18"/>
                <w:szCs w:val="18"/>
              </w:rPr>
            </w:pP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215</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Animaux vivants des espèces ovine ou caprine, autres que les reproducteurs de race pure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carcasse)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91</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092019</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91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des animaux des espèces ovine ou caprine, fraîches, réfrigérées ou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carcasse)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23 000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ARG</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092011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73,9 %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17 006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des animaux des espèces ovine ou caprine, fraîches, réfrigérées ou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carcasse)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600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ISL</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090790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58,2 %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349</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des animaux des espèces ovine ou caprine, fraîches, réfrigérées ou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carcasse)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850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BIH</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A74287">
            <w:pPr>
              <w:spacing w:before="0" w:after="0"/>
              <w:jc w:val="center"/>
              <w:rPr>
                <w:rFonts w:eastAsia="Times New Roman"/>
                <w:noProof/>
                <w:sz w:val="18"/>
                <w:szCs w:val="18"/>
              </w:rPr>
            </w:pP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48,3 %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410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des animaux des espèces ovine ou caprine, fraîches, réfrigérées ou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carcasse)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19 186</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AUS</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092012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20 %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3 837</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des animaux des espèces ovine ou caprine, fraîches, réfrigérées ou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carcasse)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CHL</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091922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87,6 %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2 628</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des animaux des espèces ovine ou caprine, fraîches, réfrigérées ou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 xml:space="preserve">t (poids </w:t>
            </w:r>
            <w:r>
              <w:rPr>
                <w:noProof/>
                <w:sz w:val="18"/>
              </w:rPr>
              <w:t>carcasse)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GRL</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090693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48,3 %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48</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des animaux des espèces ovine ou caprine, fraîches, réfrigérées ou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carcasse)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228 254</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NZL</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092013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114 116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Viandes des animaux des espèces ovine ou caprine, fraîches, réfrigérées ou </w:t>
            </w:r>
            <w:r>
              <w:rPr>
                <w:noProof/>
                <w:sz w:val="18"/>
              </w:rPr>
              <w:t>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carcasse)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5 800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URY</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092014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82,1 %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4 759</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des animaux des espèces ovine ou caprine, fraîches, réfrigérées ou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carcasse)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092015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Viandes des animaux des espèces ovine ou caprine, fraîches, </w:t>
            </w:r>
            <w:r>
              <w:rPr>
                <w:noProof/>
                <w:sz w:val="18"/>
              </w:rPr>
              <w:t>réfrigérées ou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(poids carcasse)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092016</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89,2 %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178</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Carcasses de poulets, fraîches, réfrigérées ou congelées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6 249</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094067</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64,9 %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4 054</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Morceaux de poulets, frais, réfrigérés ou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8 570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094068</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96,3 %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8 253</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Morceaux de </w:t>
            </w:r>
            <w:r>
              <w:rPr>
                <w:noProof/>
                <w:sz w:val="18"/>
              </w:rPr>
              <w:t>coqs ou de poules (des espèces domestiques), congelés, désossés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2 705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094069</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89,7 %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2 427</w:t>
            </w:r>
          </w:p>
        </w:tc>
      </w:tr>
      <w:tr w:rsidR="00A74287">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Morceaux de coqs ou de poules (des espèces domestiques),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9 598</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BRA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094410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86,6 %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8 308</w:t>
            </w:r>
          </w:p>
        </w:tc>
      </w:tr>
      <w:tr w:rsidR="00A74287">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Morceaux de coqs ou de poules (des espèces domestiques), </w:t>
            </w:r>
            <w:r>
              <w:rPr>
                <w:noProof/>
                <w:sz w:val="18"/>
              </w:rPr>
              <w:t>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15 500</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094411</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86,9 %</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13 471</w:t>
            </w:r>
          </w:p>
        </w:tc>
      </w:tr>
      <w:tr w:rsidR="00A74287">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Morceaux de coqs ou de poules (des espèces domestiques),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noProof/>
                <w:sz w:val="18"/>
                <w:szCs w:val="18"/>
              </w:rPr>
            </w:pPr>
          </w:p>
        </w:tc>
        <w:tc>
          <w:tcPr>
            <w:tcW w:w="397"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noProof/>
                <w:sz w:val="18"/>
                <w:szCs w:val="18"/>
              </w:rPr>
            </w:pP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094412</w:t>
            </w:r>
          </w:p>
        </w:tc>
        <w:tc>
          <w:tcPr>
            <w:tcW w:w="559" w:type="pct"/>
            <w:vMerge/>
            <w:tcBorders>
              <w:top w:val="nil"/>
              <w:left w:val="single" w:sz="4" w:space="0" w:color="auto"/>
              <w:bottom w:val="single" w:sz="4" w:space="0" w:color="auto"/>
              <w:right w:val="single" w:sz="4" w:space="0" w:color="auto"/>
            </w:tcBorders>
            <w:vAlign w:val="center"/>
          </w:tcPr>
          <w:p w:rsidR="00A74287" w:rsidRDefault="00A74287">
            <w:pPr>
              <w:spacing w:before="0" w:after="0"/>
              <w:jc w:val="center"/>
              <w:rPr>
                <w:rFonts w:eastAsia="Times New Roman"/>
                <w:b/>
                <w:bCs/>
                <w:noProof/>
                <w:sz w:val="18"/>
                <w:szCs w:val="18"/>
              </w:rPr>
            </w:pPr>
          </w:p>
        </w:tc>
        <w:tc>
          <w:tcPr>
            <w:tcW w:w="635"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b/>
                <w:bCs/>
                <w:noProof/>
                <w:sz w:val="18"/>
                <w:szCs w:val="18"/>
              </w:rPr>
            </w:pP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 de dinde, fraîche, réfrigérée ou congelée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1 781</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094070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1 781</w:t>
            </w:r>
          </w:p>
        </w:tc>
      </w:tr>
      <w:tr w:rsidR="00A74287">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Morceaux de dindons ou de dindes,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3 110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BRA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094420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86,5 %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2 692</w:t>
            </w:r>
          </w:p>
        </w:tc>
      </w:tr>
      <w:tr w:rsidR="00A74287">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Morceaux de dindons ou de dindes,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4 985</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094421</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85,3 %</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4 253</w:t>
            </w:r>
          </w:p>
        </w:tc>
      </w:tr>
      <w:tr w:rsidR="00A74287">
        <w:trPr>
          <w:trHeight w:val="739"/>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Morceaux de dindons ou de dindes,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noProof/>
                <w:sz w:val="18"/>
                <w:szCs w:val="18"/>
              </w:rPr>
            </w:pPr>
          </w:p>
        </w:tc>
        <w:tc>
          <w:tcPr>
            <w:tcW w:w="397"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noProof/>
                <w:sz w:val="18"/>
                <w:szCs w:val="18"/>
              </w:rPr>
            </w:pP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094422</w:t>
            </w:r>
          </w:p>
        </w:tc>
        <w:tc>
          <w:tcPr>
            <w:tcW w:w="559" w:type="pct"/>
            <w:vMerge/>
            <w:tcBorders>
              <w:top w:val="nil"/>
              <w:left w:val="single" w:sz="4" w:space="0" w:color="auto"/>
              <w:bottom w:val="single" w:sz="4" w:space="0" w:color="auto"/>
              <w:right w:val="single" w:sz="4" w:space="0" w:color="auto"/>
            </w:tcBorders>
            <w:vAlign w:val="center"/>
          </w:tcPr>
          <w:p w:rsidR="00A74287" w:rsidRDefault="00A74287">
            <w:pPr>
              <w:spacing w:before="0" w:after="0"/>
              <w:jc w:val="center"/>
              <w:rPr>
                <w:rFonts w:eastAsia="Times New Roman"/>
                <w:b/>
                <w:bCs/>
                <w:noProof/>
                <w:sz w:val="18"/>
                <w:szCs w:val="18"/>
              </w:rPr>
            </w:pPr>
          </w:p>
        </w:tc>
        <w:tc>
          <w:tcPr>
            <w:tcW w:w="635"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b/>
                <w:bCs/>
                <w:noProof/>
                <w:sz w:val="18"/>
                <w:szCs w:val="18"/>
              </w:rPr>
            </w:pP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et abats comestibles de volailles, frais, réfrigérés ou congelés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21 345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USA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094169</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21 345</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 volaille salées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170 807</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BRA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094211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76,1 %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129 930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 volaille salées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92 610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THA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094212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73,8 %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68 385</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 volaille salées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828</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094213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99,5 %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824</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Préparations à base de viande de dinde </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92 300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BRA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094217</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97,5 %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89 950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Préparations à base de viande de dinde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11 596</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094218</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97,5 %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11 301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 poulet cuites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79 477</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BRA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094214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66,3 %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52 665</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 poulet cuites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160 033</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THA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094215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68,4 %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109 441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Viandes de poulet cuites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11 443</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094216</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8 471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 de coqs ou de poules transformée, non cuite, contenant en poids 57 % ou plus de viande ou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15 800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BRA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094251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69,4 %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10 969</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 de coqs ou de poules transformée, non cuite, contenant en poids 57 % ou plus de viande ou</w:t>
            </w:r>
            <w:r>
              <w:rPr>
                <w:noProof/>
                <w:sz w:val="18"/>
              </w:rPr>
              <w:t xml:space="preserve">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340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094261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69,4 %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236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 de coqs ou de poules transformée, contenant en poids 25 % ou plus mais moins de 57 % de viande ou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62 905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BRA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094252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94,9 %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59 699</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 de coqs ou de poules transformée, </w:t>
            </w:r>
            <w:r>
              <w:rPr>
                <w:noProof/>
                <w:sz w:val="18"/>
              </w:rPr>
              <w:t>contenant en poids 25 % ou plus mais moins de 57 % de viande ou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14 000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THA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094254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57,3 %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8 019</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 de coqs ou de poules transformée, contenant en poids 25 % ou plus mais moins de 57 % de viande ou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2 800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094260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59,6 %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1 669</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 de coqs ou de poules transformée, contenant en poids moins de 25 % de viande ou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295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BRA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094253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55,3 %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163</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 de coqs ou de poules transformée, contenant en poids moins de 25 % de viande ou d’abats de</w:t>
            </w:r>
            <w:r>
              <w:rPr>
                <w:noProof/>
                <w:sz w:val="18"/>
              </w:rPr>
              <w:t xml:space="preserv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2 100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THA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094255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55,3 %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1 162</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 de coqs ou de poules transformée, contenant en poids moins de 25 % de viande ou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470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094262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55,3 %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260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 de canard, d’oie ou de pintade transformée, non cuite, contenant en </w:t>
            </w:r>
            <w:r>
              <w:rPr>
                <w:noProof/>
                <w:sz w:val="18"/>
              </w:rPr>
              <w:t>poids 57 % ou plus de viande ou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THA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094257</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 de canard, d’oie ou de pintade transformée, cuite, contenant en poids 57 % ou plus de viande ou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13 500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THA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094256</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63,5 %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8 572</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 de canard, </w:t>
            </w:r>
            <w:r>
              <w:rPr>
                <w:noProof/>
                <w:sz w:val="18"/>
              </w:rPr>
              <w:t>d’oie ou de pintade transformée, cuite, contenant en poids 57 % ou plus de viande ou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220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094263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72,1 %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159</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 de canard, d’oie ou de pintade transformée, cuite, contenant en poids 25 % ou plus mais moins de 57 % de viande ou</w:t>
            </w:r>
            <w:r>
              <w:rPr>
                <w:noProof/>
                <w:sz w:val="18"/>
              </w:rPr>
              <w:t xml:space="preserve">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600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THA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094258</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 de canard, d’oie ou de pintade transformée, cuite, contenant en poids 25 % ou plus mais moins de 57 % de viande ou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148</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094264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Viande de canard, d’oie ou de pintade </w:t>
            </w:r>
            <w:r>
              <w:rPr>
                <w:noProof/>
                <w:sz w:val="18"/>
              </w:rPr>
              <w:t>transformée, cuite, contenant en poids moins de 25 % de viande ou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600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THA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094259</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46,4 %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278</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Viande de canard, d’oie ou de pintade transformée, cuite, contenant en poids moins de 25 % de viande ou d’abats de volailles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125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094265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46,4 %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58</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Oeufs de volaille destinés à la consommation, en coquilles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135 000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094015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84,9 %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114 669</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Jaunes d’œufs</w:t>
            </w:r>
            <w:r>
              <w:rPr>
                <w:rFonts w:eastAsia="Times New Roman"/>
                <w:noProof/>
                <w:sz w:val="18"/>
                <w:szCs w:val="18"/>
              </w:rPr>
              <w:br/>
            </w:r>
            <w:r>
              <w:rPr>
                <w:noProof/>
                <w:sz w:val="18"/>
              </w:rPr>
              <w:t>Œufs d’oiseaux, dépourvus de leurs coquilles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(équivalent œufs en coquille)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7 000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094401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7 000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Ovalbumine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 xml:space="preserve">t </w:t>
            </w:r>
            <w:r>
              <w:rPr>
                <w:noProof/>
                <w:sz w:val="18"/>
              </w:rPr>
              <w:t>(équivalent œufs en coquille)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15 500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094402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15 500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Lait écrémé en poudre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68 537</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094590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99,998 %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68 536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Beurre et autres matières grasses provenant du lait</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(en équivalent beurre)</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11 360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094599</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11 360</w:t>
            </w:r>
          </w:p>
        </w:tc>
      </w:tr>
      <w:tr w:rsidR="00A74287">
        <w:trPr>
          <w:trHeight w:val="105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Beurre, d’au moins six </w:t>
            </w:r>
            <w:r>
              <w:rPr>
                <w:noProof/>
                <w:sz w:val="18"/>
              </w:rPr>
              <w:t>semaines, d’une teneur en poids de matières grasses égale ou supérieure à 80 % mais inférieure à 85 %, obtenu directement à partir de lait ou de crème, sans recours à des matériels stockés, selon un processus unique, autonome et ininterrompu</w:t>
            </w:r>
            <w:r>
              <w:rPr>
                <w:rFonts w:eastAsia="Times New Roman"/>
                <w:noProof/>
                <w:sz w:val="18"/>
                <w:szCs w:val="18"/>
              </w:rPr>
              <w:br/>
            </w:r>
            <w:r>
              <w:rPr>
                <w:noProof/>
                <w:sz w:val="18"/>
              </w:rPr>
              <w:t>Beurre, d’au m</w:t>
            </w:r>
            <w:r>
              <w:rPr>
                <w:noProof/>
                <w:sz w:val="18"/>
              </w:rPr>
              <w:t>oins six semaines, d’une teneur en poids de matières grasses égale ou supérieure à 80 % mais inférieure à 85 %, obtenu directement à partir de lait ou de crème, sans recours à des matériels stockés, selon un processus unique, autonome et ininterrompu qui e</w:t>
            </w:r>
            <w:r>
              <w:rPr>
                <w:noProof/>
                <w:sz w:val="18"/>
              </w:rPr>
              <w:t>st susceptible d’impliquer que la crème passe par un stade de concentration de la matière grasse butyrique et/ou de fractionnement de cette matière grasse (les procédés dénommés «ammix» et «tartinable»)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vMerge w:val="restart"/>
            <w:tcBorders>
              <w:top w:val="nil"/>
              <w:left w:val="single" w:sz="4" w:space="0" w:color="auto"/>
              <w:bottom w:val="single" w:sz="4" w:space="0" w:color="000000"/>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74 693</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NZL</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094182</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63,2 %</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47 177</w:t>
            </w:r>
          </w:p>
        </w:tc>
      </w:tr>
      <w:tr w:rsidR="00A74287">
        <w:trPr>
          <w:trHeight w:val="105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Beurre, d’au moins</w:t>
            </w:r>
            <w:r>
              <w:rPr>
                <w:noProof/>
                <w:sz w:val="18"/>
              </w:rPr>
              <w:t xml:space="preserve"> six semaines, d’une teneur en poids de matières grasses égale ou supérieure à 80 % mais inférieure à 85 %, obtenu directement à partir de lait ou de crème, sans recours à des matériels stockés, selon un processus unique, autonome et ininterrompu</w:t>
            </w:r>
            <w:r>
              <w:rPr>
                <w:rFonts w:eastAsia="Times New Roman"/>
                <w:noProof/>
                <w:sz w:val="18"/>
                <w:szCs w:val="18"/>
              </w:rPr>
              <w:br/>
            </w:r>
            <w:r>
              <w:rPr>
                <w:noProof/>
                <w:sz w:val="18"/>
              </w:rPr>
              <w:t>Beurre, d</w:t>
            </w:r>
            <w:r>
              <w:rPr>
                <w:noProof/>
                <w:sz w:val="18"/>
              </w:rPr>
              <w:t xml:space="preserve">’au moins six semaines, d’une teneur en poids de matières grasses égale ou supérieure à 80 % mais inférieure à 85 %, obtenu directement à partir de lait ou de crème, sans recours à des matériels stockés, selon un processus unique, autonome et ininterrompu </w:t>
            </w:r>
            <w:r>
              <w:rPr>
                <w:noProof/>
                <w:sz w:val="18"/>
              </w:rPr>
              <w:t>qui est susceptible d’impliquer que la crème passe par un stade de concentration de la matière grasse butyrique et/ou de fractionnement de cette matière grasse (les procédés dénommés «ammix» et «tartinable»)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vMerge/>
            <w:tcBorders>
              <w:top w:val="nil"/>
              <w:left w:val="single" w:sz="4" w:space="0" w:color="auto"/>
              <w:bottom w:val="single" w:sz="4" w:space="0" w:color="000000"/>
              <w:right w:val="single" w:sz="4" w:space="0" w:color="auto"/>
            </w:tcBorders>
            <w:vAlign w:val="center"/>
            <w:hideMark/>
          </w:tcPr>
          <w:p w:rsidR="00A74287" w:rsidRDefault="00A74287">
            <w:pPr>
              <w:spacing w:before="0" w:after="0"/>
              <w:jc w:val="center"/>
              <w:rPr>
                <w:rFonts w:eastAsia="Times New Roman"/>
                <w:noProof/>
                <w:sz w:val="18"/>
                <w:szCs w:val="18"/>
              </w:rPr>
            </w:pP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NZL</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094195</w:t>
            </w:r>
          </w:p>
        </w:tc>
        <w:tc>
          <w:tcPr>
            <w:tcW w:w="559" w:type="pct"/>
            <w:vMerge/>
            <w:tcBorders>
              <w:top w:val="nil"/>
              <w:left w:val="single" w:sz="4" w:space="0" w:color="auto"/>
              <w:bottom w:val="single" w:sz="4" w:space="0" w:color="auto"/>
              <w:right w:val="single" w:sz="4" w:space="0" w:color="auto"/>
            </w:tcBorders>
            <w:vAlign w:val="center"/>
          </w:tcPr>
          <w:p w:rsidR="00A74287" w:rsidRDefault="00A74287">
            <w:pPr>
              <w:spacing w:before="0" w:after="0"/>
              <w:jc w:val="center"/>
              <w:rPr>
                <w:rFonts w:eastAsia="Times New Roman"/>
                <w:b/>
                <w:bCs/>
                <w:noProof/>
                <w:sz w:val="18"/>
                <w:szCs w:val="18"/>
              </w:rPr>
            </w:pPr>
          </w:p>
        </w:tc>
        <w:tc>
          <w:tcPr>
            <w:tcW w:w="635"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b/>
                <w:bCs/>
                <w:noProof/>
                <w:sz w:val="18"/>
                <w:szCs w:val="18"/>
              </w:rPr>
            </w:pPr>
          </w:p>
        </w:tc>
      </w:tr>
      <w:tr w:rsidR="00A74287">
        <w:trPr>
          <w:trHeight w:val="129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Fromages et caillebotte:</w:t>
            </w:r>
            <w:r>
              <w:rPr>
                <w:rFonts w:eastAsia="Times New Roman"/>
                <w:noProof/>
                <w:sz w:val="18"/>
                <w:szCs w:val="18"/>
              </w:rPr>
              <w:br/>
            </w:r>
            <w:r>
              <w:rPr>
                <w:noProof/>
                <w:sz w:val="18"/>
              </w:rPr>
              <w:t xml:space="preserve">- </w:t>
            </w:r>
            <w:r>
              <w:rPr>
                <w:noProof/>
                <w:sz w:val="18"/>
              </w:rPr>
              <w:t xml:space="preserve">Fromage pour pizza, congelé, découpé en morceaux d’un poids unitaire inférieur ou égal à 1 g, dans des récipients d’un contenu net de 5 kg ou plus, d’une teneur en poids d’eau de 52 % ou plus et d’une teneur en poids de graisse de la matière sèche de 38 % </w:t>
            </w:r>
            <w:r>
              <w:rPr>
                <w:noProof/>
                <w:sz w:val="18"/>
              </w:rPr>
              <w:t>ou plus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5 360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094591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5 360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Fromages et caillebotte:</w:t>
            </w:r>
            <w:r>
              <w:rPr>
                <w:rFonts w:eastAsia="Times New Roman"/>
                <w:noProof/>
                <w:sz w:val="18"/>
                <w:szCs w:val="18"/>
              </w:rPr>
              <w:br/>
            </w:r>
            <w:r>
              <w:rPr>
                <w:noProof/>
                <w:sz w:val="18"/>
              </w:rPr>
              <w:t>- Emmental, y compris Emmental fondu</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18 438</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094592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18 438</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Fromages et caillebotte:</w:t>
            </w:r>
            <w:r>
              <w:rPr>
                <w:rFonts w:eastAsia="Times New Roman"/>
                <w:noProof/>
                <w:sz w:val="18"/>
                <w:szCs w:val="18"/>
              </w:rPr>
              <w:br/>
            </w:r>
            <w:r>
              <w:rPr>
                <w:noProof/>
                <w:sz w:val="18"/>
              </w:rPr>
              <w:t>- Gruyère, sbrinz, y compris gruyère fondu</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5 413</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094593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5 413</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Fromages et </w:t>
            </w:r>
            <w:r>
              <w:rPr>
                <w:noProof/>
                <w:sz w:val="18"/>
              </w:rPr>
              <w:t>caillebotte:</w:t>
            </w:r>
            <w:r>
              <w:rPr>
                <w:rFonts w:eastAsia="Times New Roman"/>
                <w:noProof/>
                <w:sz w:val="18"/>
                <w:szCs w:val="18"/>
              </w:rPr>
              <w:br/>
            </w:r>
            <w:r>
              <w:rPr>
                <w:noProof/>
                <w:sz w:val="18"/>
              </w:rPr>
              <w:t>- Fromages destinés à la transformation</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20 007</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094594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58,7 %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11 741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Fromages destinés à la transformation</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NZL</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094515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41,7 %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1 670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Fromages destinés à la transformation</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AUS</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094522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Fromages et caillebotte:</w:t>
            </w:r>
            <w:r>
              <w:rPr>
                <w:rFonts w:eastAsia="Times New Roman"/>
                <w:noProof/>
                <w:sz w:val="18"/>
                <w:szCs w:val="18"/>
              </w:rPr>
              <w:br/>
            </w:r>
            <w:r>
              <w:rPr>
                <w:noProof/>
                <w:sz w:val="18"/>
              </w:rPr>
              <w:t xml:space="preserve">- </w:t>
            </w:r>
            <w:r>
              <w:rPr>
                <w:noProof/>
                <w:sz w:val="18"/>
              </w:rPr>
              <w:t>Cheddar</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15 005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094595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14 941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Cheddar</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7 000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NZL</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094514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62,3 %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4 361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Cheddar</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3 711</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AUS</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094521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3 711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Cheddar</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CAN</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094513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Autres fromages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19 525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094596</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19 525</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Pommes de terre, à l’état frais ou réfrigéré, du 1</w:t>
            </w:r>
            <w:r>
              <w:rPr>
                <w:noProof/>
                <w:sz w:val="18"/>
                <w:vertAlign w:val="superscript"/>
              </w:rPr>
              <w:t>er</w:t>
            </w:r>
            <w:r>
              <w:rPr>
                <w:noProof/>
                <w:sz w:val="18"/>
              </w:rPr>
              <w:t> janvier au 15 mai</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4 295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090055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4 292</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Tomates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472</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090094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98,2 %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464</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Ail</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19 147</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ARG</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094104</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19 147</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Ail</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noProof/>
                <w:sz w:val="18"/>
                <w:szCs w:val="18"/>
              </w:rPr>
            </w:pP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ARG</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094099</w:t>
            </w:r>
          </w:p>
        </w:tc>
        <w:tc>
          <w:tcPr>
            <w:tcW w:w="559" w:type="pct"/>
            <w:vMerge/>
            <w:tcBorders>
              <w:top w:val="nil"/>
              <w:left w:val="single" w:sz="4" w:space="0" w:color="auto"/>
              <w:bottom w:val="single" w:sz="4" w:space="0" w:color="auto"/>
              <w:right w:val="single" w:sz="4" w:space="0" w:color="auto"/>
            </w:tcBorders>
            <w:vAlign w:val="center"/>
          </w:tcPr>
          <w:p w:rsidR="00A74287" w:rsidRDefault="00A74287">
            <w:pPr>
              <w:spacing w:before="0" w:after="0"/>
              <w:jc w:val="center"/>
              <w:rPr>
                <w:rFonts w:eastAsia="Times New Roman"/>
                <w:b/>
                <w:bCs/>
                <w:noProof/>
                <w:sz w:val="18"/>
                <w:szCs w:val="18"/>
              </w:rPr>
            </w:pPr>
          </w:p>
        </w:tc>
        <w:tc>
          <w:tcPr>
            <w:tcW w:w="635"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b/>
                <w:bCs/>
                <w:noProof/>
                <w:sz w:val="18"/>
                <w:szCs w:val="18"/>
              </w:rPr>
            </w:pP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Ail</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48 225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CHN</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094105</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84,1 %</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40 556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Ail</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noProof/>
                <w:sz w:val="18"/>
                <w:szCs w:val="18"/>
              </w:rPr>
            </w:pP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CHN</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094100</w:t>
            </w:r>
          </w:p>
        </w:tc>
        <w:tc>
          <w:tcPr>
            <w:tcW w:w="559" w:type="pct"/>
            <w:vMerge/>
            <w:tcBorders>
              <w:top w:val="nil"/>
              <w:left w:val="single" w:sz="4" w:space="0" w:color="auto"/>
              <w:bottom w:val="single" w:sz="4" w:space="0" w:color="auto"/>
              <w:right w:val="single" w:sz="4" w:space="0" w:color="auto"/>
            </w:tcBorders>
            <w:vAlign w:val="center"/>
          </w:tcPr>
          <w:p w:rsidR="00A74287" w:rsidRDefault="00A74287">
            <w:pPr>
              <w:spacing w:before="0" w:after="0"/>
              <w:jc w:val="center"/>
              <w:rPr>
                <w:rFonts w:eastAsia="Times New Roman"/>
                <w:b/>
                <w:bCs/>
                <w:noProof/>
                <w:sz w:val="18"/>
                <w:szCs w:val="18"/>
              </w:rPr>
            </w:pPr>
          </w:p>
        </w:tc>
        <w:tc>
          <w:tcPr>
            <w:tcW w:w="635"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b/>
                <w:bCs/>
                <w:noProof/>
                <w:sz w:val="18"/>
                <w:szCs w:val="18"/>
              </w:rPr>
            </w:pP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Ail</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6 023</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094106</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61,6 %</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3 711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Ail</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noProof/>
                <w:sz w:val="18"/>
                <w:szCs w:val="18"/>
              </w:rPr>
            </w:pP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094102</w:t>
            </w:r>
          </w:p>
        </w:tc>
        <w:tc>
          <w:tcPr>
            <w:tcW w:w="559" w:type="pct"/>
            <w:vMerge/>
            <w:tcBorders>
              <w:top w:val="nil"/>
              <w:left w:val="single" w:sz="4" w:space="0" w:color="auto"/>
              <w:bottom w:val="single" w:sz="4" w:space="0" w:color="auto"/>
              <w:right w:val="single" w:sz="4" w:space="0" w:color="auto"/>
            </w:tcBorders>
            <w:vAlign w:val="center"/>
          </w:tcPr>
          <w:p w:rsidR="00A74287" w:rsidRDefault="00A74287">
            <w:pPr>
              <w:spacing w:before="0" w:after="0"/>
              <w:jc w:val="center"/>
              <w:rPr>
                <w:rFonts w:eastAsia="Times New Roman"/>
                <w:b/>
                <w:bCs/>
                <w:noProof/>
                <w:sz w:val="18"/>
                <w:szCs w:val="18"/>
              </w:rPr>
            </w:pPr>
          </w:p>
        </w:tc>
        <w:tc>
          <w:tcPr>
            <w:tcW w:w="635" w:type="pct"/>
            <w:vMerge/>
            <w:tcBorders>
              <w:top w:val="nil"/>
              <w:left w:val="single" w:sz="4" w:space="0" w:color="auto"/>
              <w:bottom w:val="single" w:sz="4" w:space="0" w:color="auto"/>
              <w:right w:val="single" w:sz="4" w:space="0" w:color="auto"/>
            </w:tcBorders>
            <w:vAlign w:val="center"/>
            <w:hideMark/>
          </w:tcPr>
          <w:p w:rsidR="00A74287" w:rsidRDefault="00A74287">
            <w:pPr>
              <w:spacing w:before="0" w:after="0"/>
              <w:jc w:val="center"/>
              <w:rPr>
                <w:rFonts w:eastAsia="Times New Roman"/>
                <w:b/>
                <w:bCs/>
                <w:noProof/>
                <w:sz w:val="18"/>
                <w:szCs w:val="18"/>
              </w:rPr>
            </w:pP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Carottes et navets, à l’état frais ou réfrigéré</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1 244</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090056</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95,8 %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1 192</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Concombres, à l’état frais ou réfrigéré, du 1</w:t>
            </w:r>
            <w:r>
              <w:rPr>
                <w:noProof/>
                <w:sz w:val="18"/>
                <w:vertAlign w:val="superscript"/>
              </w:rPr>
              <w:t>er</w:t>
            </w:r>
            <w:r>
              <w:rPr>
                <w:noProof/>
                <w:sz w:val="18"/>
              </w:rPr>
              <w:t> novembre au 15 mai</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1 134</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090059</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44,1 %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Autres légumes, à l’état frais ou réfrigéré (poivrons doux)</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090057</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Oignons séchés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12 000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090035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80,8 %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9 696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Manioc</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5 750 000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THA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090708</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53,8 %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3 096 027</w:t>
            </w:r>
          </w:p>
        </w:tc>
      </w:tr>
      <w:tr w:rsidR="00A74287">
        <w:trPr>
          <w:trHeight w:val="795"/>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Manioc autre que les pellets obtenus à partir de farines et semoules</w:t>
            </w:r>
            <w:r>
              <w:rPr>
                <w:rFonts w:eastAsia="Times New Roman"/>
                <w:noProof/>
                <w:sz w:val="18"/>
                <w:szCs w:val="18"/>
              </w:rPr>
              <w:br/>
            </w:r>
            <w:r>
              <w:rPr>
                <w:noProof/>
                <w:sz w:val="18"/>
              </w:rPr>
              <w:t xml:space="preserve">Racines d’arrow-root et de salep et racines et tubercules similaires à </w:t>
            </w:r>
            <w:r>
              <w:rPr>
                <w:noProof/>
                <w:sz w:val="18"/>
              </w:rPr>
              <w:t>haute teneur en fécule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825 000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IDN</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090126</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0</w:t>
            </w:r>
          </w:p>
        </w:tc>
      </w:tr>
      <w:tr w:rsidR="00A74287">
        <w:trPr>
          <w:trHeight w:val="795"/>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Manioc autre que les pellets obtenus à partir de farines et semoules</w:t>
            </w:r>
            <w:r>
              <w:rPr>
                <w:rFonts w:eastAsia="Times New Roman"/>
                <w:noProof/>
                <w:sz w:val="18"/>
                <w:szCs w:val="18"/>
              </w:rPr>
              <w:br/>
            </w:r>
            <w:r>
              <w:rPr>
                <w:noProof/>
                <w:sz w:val="18"/>
              </w:rPr>
              <w:t>Racines d’arrow-root et de salep et racines et tubercules similaires à haute teneur en fécule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350 000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CHN</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090127</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78,8 %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275 805</w:t>
            </w:r>
          </w:p>
        </w:tc>
      </w:tr>
      <w:tr w:rsidR="00A74287">
        <w:trPr>
          <w:trHeight w:val="795"/>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Manioc autre que les pellets obtenus à partir de farines et semoules</w:t>
            </w:r>
            <w:r>
              <w:rPr>
                <w:rFonts w:eastAsia="Times New Roman"/>
                <w:noProof/>
                <w:sz w:val="18"/>
                <w:szCs w:val="18"/>
              </w:rPr>
              <w:br/>
            </w:r>
            <w:r>
              <w:rPr>
                <w:noProof/>
                <w:sz w:val="18"/>
              </w:rPr>
              <w:t>Racines d’arrow-root et de salep et racines et tubercules similaires à haute teneur en fécule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145 590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090128</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85,5 %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124 552</w:t>
            </w:r>
          </w:p>
        </w:tc>
      </w:tr>
      <w:tr w:rsidR="00A74287">
        <w:trPr>
          <w:trHeight w:val="795"/>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Manioc autre que les pellets obtenus à partir de farines</w:t>
            </w:r>
            <w:r>
              <w:rPr>
                <w:noProof/>
                <w:sz w:val="18"/>
              </w:rPr>
              <w:t xml:space="preserve"> et semoules</w:t>
            </w:r>
            <w:r>
              <w:rPr>
                <w:rFonts w:eastAsia="Times New Roman"/>
                <w:noProof/>
                <w:sz w:val="18"/>
                <w:szCs w:val="18"/>
              </w:rPr>
              <w:br/>
            </w:r>
            <w:r>
              <w:rPr>
                <w:noProof/>
                <w:sz w:val="18"/>
              </w:rPr>
              <w:t>Racines d’arrow-root et de salep et racines et tubercules similaires à haute teneur en fécule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NW</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090129</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30 000</w:t>
            </w:r>
          </w:p>
        </w:tc>
      </w:tr>
      <w:tr w:rsidR="00A74287">
        <w:trPr>
          <w:trHeight w:val="795"/>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Manioc autre que les pellets obtenus à partir de farines et semoules</w:t>
            </w:r>
            <w:r>
              <w:rPr>
                <w:rFonts w:eastAsia="Times New Roman"/>
                <w:noProof/>
                <w:sz w:val="18"/>
                <w:szCs w:val="18"/>
              </w:rPr>
              <w:br/>
            </w:r>
            <w:r>
              <w:rPr>
                <w:noProof/>
                <w:sz w:val="18"/>
              </w:rPr>
              <w:t xml:space="preserve">Racines d’arrow-root et de salep et racines et </w:t>
            </w:r>
            <w:r>
              <w:rPr>
                <w:noProof/>
                <w:sz w:val="18"/>
              </w:rPr>
              <w:t>tubercules similaires à haute teneur en fécule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NW</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090130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84,6 %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1 691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Patates douces, autres que destinées à la consommation humaine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600 000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CHN</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090124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42,1 %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252 641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Patates douces, autres que destinées à la consommation humaine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090131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99,7 %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4 985</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Champignons du genre Agaricus, préparés, conservés ou conservés provisoirement</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33 980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A74287">
            <w:pPr>
              <w:spacing w:before="0" w:after="0"/>
              <w:jc w:val="center"/>
              <w:rPr>
                <w:rFonts w:eastAsia="Times New Roman"/>
                <w:noProof/>
                <w:sz w:val="18"/>
                <w:szCs w:val="18"/>
              </w:rPr>
            </w:pP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33 980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Champignons du genre Agaricus, préparés, conservés ou conservés provisoirement</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1 450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CHN</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A74287">
            <w:pPr>
              <w:spacing w:before="0" w:after="0"/>
              <w:jc w:val="center"/>
              <w:rPr>
                <w:rFonts w:eastAsia="Times New Roman"/>
                <w:noProof/>
                <w:sz w:val="18"/>
                <w:szCs w:val="18"/>
              </w:rPr>
            </w:pP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1 450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Amandes, autres </w:t>
            </w:r>
            <w:r>
              <w:rPr>
                <w:noProof/>
                <w:sz w:val="18"/>
              </w:rPr>
              <w:t>qu’amères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90 000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090041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95,5 %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85 958</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Oranges douces, fraîches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090025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20 000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Autres hybrides d’agrumes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15 000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090027</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99,5 %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14 931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Citrons, du 15 janvier au 14 juin</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090039</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81,6 %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8 156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Raisins de table, frais, du</w:t>
            </w:r>
            <w:r>
              <w:rPr>
                <w:noProof/>
                <w:sz w:val="18"/>
              </w:rPr>
              <w:t xml:space="preserve"> 21 juillet au 31 octobre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1 500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090060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885</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Pommes, fraîches, du 1</w:t>
            </w:r>
            <w:r>
              <w:rPr>
                <w:noProof/>
                <w:sz w:val="18"/>
                <w:vertAlign w:val="superscript"/>
              </w:rPr>
              <w:t>er</w:t>
            </w:r>
            <w:r>
              <w:rPr>
                <w:noProof/>
                <w:sz w:val="18"/>
              </w:rPr>
              <w:t> avril au 31 juillet</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696</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090061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95,7 %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666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Poires, fraîches, autres que poires à poiré présentées en vrac, du 1</w:t>
            </w:r>
            <w:r>
              <w:rPr>
                <w:noProof/>
                <w:sz w:val="18"/>
                <w:vertAlign w:val="superscript"/>
              </w:rPr>
              <w:t>er</w:t>
            </w:r>
            <w:r>
              <w:rPr>
                <w:noProof/>
                <w:sz w:val="18"/>
              </w:rPr>
              <w:t> août au 31 décembre: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090062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81 %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810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Abricots,</w:t>
            </w:r>
            <w:r>
              <w:rPr>
                <w:noProof/>
                <w:sz w:val="18"/>
              </w:rPr>
              <w:t xml:space="preserve"> frais, du 1</w:t>
            </w:r>
            <w:r>
              <w:rPr>
                <w:noProof/>
                <w:sz w:val="18"/>
                <w:vertAlign w:val="superscript"/>
              </w:rPr>
              <w:t>er</w:t>
            </w:r>
            <w:r>
              <w:rPr>
                <w:noProof/>
                <w:sz w:val="18"/>
              </w:rPr>
              <w:t> août au 31 mai</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090058</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14,9 %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74</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Abricots, frais, du 1</w:t>
            </w:r>
            <w:r>
              <w:rPr>
                <w:noProof/>
                <w:sz w:val="18"/>
                <w:vertAlign w:val="superscript"/>
              </w:rPr>
              <w:t>er</w:t>
            </w:r>
            <w:r>
              <w:rPr>
                <w:noProof/>
                <w:sz w:val="18"/>
              </w:rPr>
              <w:t> juin au 31 juillet</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2 500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090063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55,5 %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1 387</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Cerises, fraîches, autres que les cerises acides, du 21 mai au 15 juillet</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800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090040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13,1 %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105</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Ananas en conserve, </w:t>
            </w:r>
            <w:r>
              <w:rPr>
                <w:noProof/>
                <w:sz w:val="18"/>
              </w:rPr>
              <w:t>agrumes, poires, abricots, cerises, pêches et fraises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2 838</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090092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2 820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Jus d’orange, congelé, d’une masse volumique n’excédant pas 1,33 g/cm³ à 20°C:</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1 500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090033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1 500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Jus de fruits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7 044</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090093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91,4 %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6 436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Jus de raisin </w:t>
            </w:r>
            <w:r>
              <w:rPr>
                <w:noProof/>
                <w:sz w:val="18"/>
              </w:rPr>
              <w:t>(y compris les moûts de raisin):</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14 029</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090067</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Froment (blé) dur</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090074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50 000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Froment (blé) de qualité</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300 000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090075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300 000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Froment (blé) tendre (de qualité moyenne et basse)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572 000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USA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094123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99,99 %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571 943</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Froment (blé) tendre (de qualité moyenne et basse)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38 853</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CAN</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094124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3,8 %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1 463</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Blé tendre (de qualité moyenne et basse)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2 371 600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094125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96,4 %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2 285 665</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Blé tendre (de qualité moyenne et basse)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129 577</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094133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129 577</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Orge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307 105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094126</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306 812</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Orge de brasserie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50 890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090076</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40,9 %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20 789</w:t>
            </w:r>
          </w:p>
        </w:tc>
      </w:tr>
      <w:tr w:rsidR="00A74287">
        <w:trPr>
          <w:trHeight w:val="132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Préparations constituées par un mélange de radicelles de malt et de résidus du criblage de l’orge avant le maltage (y compris les graines adventices éventuelles) ainsi </w:t>
            </w:r>
            <w:r>
              <w:rPr>
                <w:noProof/>
                <w:sz w:val="18"/>
              </w:rPr>
              <w:t>que de résidus du nettoyage des grains d’orge après le maltage, présentant une teneur en poids de protéines égale ou supérieure à 12,5 %</w:t>
            </w:r>
            <w:r>
              <w:rPr>
                <w:rFonts w:eastAsia="Times New Roman"/>
                <w:noProof/>
                <w:sz w:val="18"/>
                <w:szCs w:val="18"/>
              </w:rPr>
              <w:br/>
            </w:r>
            <w:r>
              <w:rPr>
                <w:noProof/>
                <w:sz w:val="18"/>
              </w:rPr>
              <w:t>Préparations constituées par un mélange de radicelles de malt et de résidus du criblage de l’orge avant le maltage (y c</w:t>
            </w:r>
            <w:r>
              <w:rPr>
                <w:noProof/>
                <w:sz w:val="18"/>
              </w:rPr>
              <w:t>ompris les graines adventices éventuelles) ainsi que de résidus du nettoyage des grains d’orge après le maltage, présentant une teneur en poids de protéines égale ou supérieure à 12,5 % et une teneur en poids d’amidon non supérieure à 28 %</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092905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20 000</w:t>
            </w:r>
          </w:p>
        </w:tc>
      </w:tr>
      <w:tr w:rsidR="00A74287">
        <w:trPr>
          <w:trHeight w:val="132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Préparations constituées par un mélange de radicelles de malt et de résidus du criblage de l’orge avant le maltage (y compris les graines adventices éventuelles) ainsi que de résidus du nettoyage des grains d’orge après le maltage, </w:t>
            </w:r>
            <w:r>
              <w:rPr>
                <w:noProof/>
                <w:sz w:val="18"/>
              </w:rPr>
              <w:t>présentant une teneur en poids de protéines égale ou supérieure à 15,5 %</w:t>
            </w:r>
            <w:r>
              <w:rPr>
                <w:rFonts w:eastAsia="Times New Roman"/>
                <w:noProof/>
                <w:sz w:val="18"/>
                <w:szCs w:val="18"/>
              </w:rPr>
              <w:br/>
            </w:r>
            <w:r>
              <w:rPr>
                <w:noProof/>
                <w:sz w:val="18"/>
              </w:rPr>
              <w:t xml:space="preserve">Préparations constituées par un mélange de radicelles de malt et de résidus du criblage de l’orge avant le maltage (y compris les graines adventices éventuelles) ainsi que de résidus </w:t>
            </w:r>
            <w:r>
              <w:rPr>
                <w:noProof/>
                <w:sz w:val="18"/>
              </w:rPr>
              <w:t>du nettoyage des grains d’orge après le maltage, présentant une teneur en poids de protéines égale ou supérieure à 15,5 % et une teneur en poids d’amidon non supérieure à 23 %</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100 000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092903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100 000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Maïs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277 988</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094131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96,8 %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269 214</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Maïs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500 000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Pas de numéro d’ordre</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500 000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Maïs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2 000 000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Pas de numéro d’ordre</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2 000 000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Gluten de maïs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USA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090090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10 000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Sorgho à grains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300 000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Pas de numéro d’ordre</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300 000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Millet</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1 300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090071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68,3 %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888</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Grains d’avoine travaillés, autres que concassés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090043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2,3 %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231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Fécule de manioc </w:t>
            </w:r>
            <w:r>
              <w:rPr>
                <w:rFonts w:eastAsia="Times New Roman"/>
                <w:noProof/>
                <w:sz w:val="18"/>
                <w:szCs w:val="18"/>
              </w:rPr>
              <w:br/>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8 000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090132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82,9 %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6 632</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Fécule de manioc</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090132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82,9 %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1 658</w:t>
            </w:r>
          </w:p>
        </w:tc>
      </w:tr>
      <w:tr w:rsidR="00A74287">
        <w:trPr>
          <w:trHeight w:val="795"/>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Sons, remoulages et autres résidus, mêmes agglomérés sous forme de </w:t>
            </w:r>
            <w:r>
              <w:rPr>
                <w:noProof/>
                <w:sz w:val="18"/>
              </w:rPr>
              <w:t>pellets, du criblage, de la mouture ou d’autres traitements des céréales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475 000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090072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96,4 %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458 068</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lang w:val="fi-FI"/>
              </w:rPr>
            </w:pPr>
            <w:r>
              <w:rPr>
                <w:noProof/>
                <w:sz w:val="18"/>
                <w:lang w:val="fi-FI"/>
              </w:rPr>
              <w:t>Riz en paille (riz paddy)</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7</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090083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66,7 %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Riz décortiqué (riz brun)</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1 634</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094148</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86,6 %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1 416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lang w:val="it-IT"/>
              </w:rPr>
            </w:pPr>
            <w:r>
              <w:rPr>
                <w:noProof/>
                <w:sz w:val="18"/>
                <w:lang w:val="it-IT"/>
              </w:rPr>
              <w:t>Riz semi-blanchi ou blanchi</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63 000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A74287">
            <w:pPr>
              <w:spacing w:before="0" w:after="0"/>
              <w:jc w:val="center"/>
              <w:rPr>
                <w:rFonts w:eastAsia="Times New Roman"/>
                <w:b/>
                <w:bCs/>
                <w:noProof/>
                <w:color w:val="FF0000"/>
                <w:sz w:val="18"/>
                <w:szCs w:val="18"/>
              </w:rPr>
            </w:pP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58,3 %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36 731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lang w:val="it-IT"/>
              </w:rPr>
            </w:pPr>
            <w:r>
              <w:rPr>
                <w:noProof/>
                <w:sz w:val="18"/>
                <w:lang w:val="it-IT"/>
              </w:rPr>
              <w:t>Riz semi-blanchi ou blanchi</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4 313</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THA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094112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84,9 %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3 663</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lang w:val="it-IT"/>
              </w:rPr>
            </w:pPr>
            <w:r>
              <w:rPr>
                <w:noProof/>
                <w:sz w:val="18"/>
                <w:lang w:val="it-IT"/>
              </w:rPr>
              <w:t>Riz semi-blanchi ou blanchi</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9 187</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A74287">
            <w:pPr>
              <w:spacing w:before="0" w:after="0"/>
              <w:jc w:val="center"/>
              <w:rPr>
                <w:rFonts w:eastAsia="Times New Roman"/>
                <w:b/>
                <w:bCs/>
                <w:noProof/>
                <w:color w:val="FF0000"/>
                <w:sz w:val="18"/>
                <w:szCs w:val="18"/>
              </w:rPr>
            </w:pP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74,7 %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6 859</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lang w:val="it-IT"/>
              </w:rPr>
            </w:pPr>
            <w:r>
              <w:rPr>
                <w:noProof/>
                <w:sz w:val="18"/>
                <w:lang w:val="it-IT"/>
              </w:rPr>
              <w:t>Riz semi-blanchi ou blanchi</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1 200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THA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094112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84,9 %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1 019</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lang w:val="it-IT"/>
              </w:rPr>
            </w:pPr>
            <w:r>
              <w:rPr>
                <w:noProof/>
                <w:sz w:val="18"/>
                <w:lang w:val="it-IT"/>
              </w:rPr>
              <w:t>Riz semi-blanchi ou blanchi</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25 516</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OT</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094166</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88 %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22 442</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Riz en brisures, destiné à la fabrication de produits des industries alimentaires relevant du code NC 1901 10 00</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094079</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1 000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Riz en brisures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31 788</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094168</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83,6 %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26 581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Riz en brisures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100 000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A74287">
            <w:pPr>
              <w:spacing w:before="0" w:after="0"/>
              <w:jc w:val="center"/>
              <w:rPr>
                <w:rFonts w:eastAsia="Times New Roman"/>
                <w:b/>
                <w:bCs/>
                <w:noProof/>
                <w:color w:val="FF0000"/>
                <w:sz w:val="18"/>
                <w:szCs w:val="18"/>
              </w:rPr>
            </w:pP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93,7 %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93 709</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Sucre de canne, </w:t>
            </w:r>
            <w:r>
              <w:rPr>
                <w:noProof/>
                <w:sz w:val="18"/>
              </w:rPr>
              <w:t>brut, destiné à être raffiné</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9 925</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AUS</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094317</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4 961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Sucre de canne, brut, destiné à être raffiné</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388 124</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BRA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094318</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92,4 %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358 454</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Sucre de canne, brut, destiné à être raffiné</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CUB</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094319</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10 000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Sucre de canne, brut, destiné à </w:t>
            </w:r>
            <w:r>
              <w:rPr>
                <w:noProof/>
                <w:sz w:val="18"/>
              </w:rPr>
              <w:t>être raffiné</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372 876</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094320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91,6 %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341 460</w:t>
            </w:r>
          </w:p>
        </w:tc>
      </w:tr>
      <w:tr w:rsidR="00A74287">
        <w:trPr>
          <w:trHeight w:val="81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Sucres de canne ou de betterave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(équivalent de sucre blanc)</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IDN</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094321</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58,4 %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5 841</w:t>
            </w:r>
          </w:p>
        </w:tc>
      </w:tr>
      <w:tr w:rsidR="00A74287">
        <w:trPr>
          <w:trHeight w:val="81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Sucres de canne ou de betterave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 (équivalent de sucre blanc)</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1 294 700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ACP</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Sans objet</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71,2 %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921 707</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Fructose </w:t>
            </w:r>
            <w:r>
              <w:rPr>
                <w:noProof/>
                <w:sz w:val="18"/>
              </w:rPr>
              <w:t>chimiquement pur</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1 253</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090084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1 253</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Produits de confiserie</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2 289</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090053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98,1 %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2 245</w:t>
            </w:r>
          </w:p>
        </w:tc>
      </w:tr>
      <w:tr w:rsidR="00A74287">
        <w:trPr>
          <w:trHeight w:val="855"/>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Autres préparations des types utilisés pour l’alimentation des animaux: </w:t>
            </w:r>
            <w:r>
              <w:rPr>
                <w:rFonts w:eastAsia="Times New Roman"/>
                <w:noProof/>
                <w:sz w:val="18"/>
                <w:szCs w:val="18"/>
              </w:rPr>
              <w:br/>
            </w:r>
            <w:r>
              <w:rPr>
                <w:noProof/>
                <w:sz w:val="18"/>
              </w:rPr>
              <w:t xml:space="preserve">Ne contenant pas de produits laitiers ou d’une teneur en poids de produits </w:t>
            </w:r>
            <w:r>
              <w:rPr>
                <w:noProof/>
                <w:sz w:val="18"/>
              </w:rPr>
              <w:t>laitiers inférieure à 10 %</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2 800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090073</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98,1 %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2 746</w:t>
            </w:r>
          </w:p>
        </w:tc>
      </w:tr>
      <w:tr w:rsidR="00A74287">
        <w:trPr>
          <w:trHeight w:val="855"/>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Autres préparations des types utilisés pour l’alimentation des animaux:</w:t>
            </w:r>
            <w:r>
              <w:rPr>
                <w:rFonts w:eastAsia="Times New Roman"/>
                <w:noProof/>
                <w:sz w:val="18"/>
                <w:szCs w:val="18"/>
              </w:rPr>
              <w:br/>
            </w:r>
            <w:r>
              <w:rPr>
                <w:noProof/>
                <w:sz w:val="18"/>
              </w:rPr>
              <w:t>Ne contenant pas de produits laitiers ou d’une teneur en poids de produits laitiers inférieure à 10 %</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2 700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090070</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98,9 %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2 670</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Préparations alimentaires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921</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090088</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76,2 %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702</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Préparations alimentaires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1 550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USA</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090096</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53,6 %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831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Aliments pour chiens ou chats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2 058</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090089</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67,7 %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1 393</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Chocolat</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107</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090085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75,3 %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81</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Chocolat</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2 026</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090052</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2 026</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Pâtes alimentaires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532</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090086</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93,4 %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497</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Biscuits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409</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090054</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409</w:t>
            </w:r>
          </w:p>
        </w:tc>
      </w:tr>
      <w:tr w:rsidR="00A74287">
        <w:trPr>
          <w:trHeight w:val="60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Préparations alimentaires à base de céréales</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191</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090087</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191</w:t>
            </w:r>
          </w:p>
        </w:tc>
      </w:tr>
      <w:tr w:rsidR="00A74287">
        <w:trPr>
          <w:trHeight w:val="78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Vins de raisins frais (autres que les vins mousseux et les vins de qualité produits dans des </w:t>
            </w:r>
            <w:r>
              <w:rPr>
                <w:noProof/>
                <w:sz w:val="18"/>
              </w:rPr>
              <w:t>régions déterminées) en récipients d’une contenance =&lt; 2 L et d’un titre alcoométrique volumique =&lt; 13 % vol</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hl</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090097</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11,7 %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4 689</w:t>
            </w:r>
          </w:p>
        </w:tc>
      </w:tr>
      <w:tr w:rsidR="00A74287">
        <w:trPr>
          <w:trHeight w:val="78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Vins de raisins frais (autres que les vins mousseux et les vins de qualité produits dans des régions déterminées)</w:t>
            </w:r>
            <w:r>
              <w:rPr>
                <w:noProof/>
                <w:sz w:val="18"/>
              </w:rPr>
              <w:t xml:space="preserve"> en récipients d’une contenance &gt; 2 L et d’un titre alcoométrique volumique =&lt;13 % vol</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hl</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20 000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090095</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78,2 %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15 647</w:t>
            </w:r>
          </w:p>
        </w:tc>
      </w:tr>
      <w:tr w:rsidR="00A74287">
        <w:trPr>
          <w:trHeight w:val="780"/>
        </w:trPr>
        <w:tc>
          <w:tcPr>
            <w:tcW w:w="1734"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Vermouths et autres vins de raisins frais préparés à l’aide de plantes ou de substances aromatiques, en récipients d’une contenance &gt; </w:t>
            </w:r>
            <w:r>
              <w:rPr>
                <w:noProof/>
                <w:sz w:val="18"/>
              </w:rPr>
              <w:t>2 L et d’un titre alcoométrique volumique =&lt; 18 % vol</w:t>
            </w:r>
          </w:p>
        </w:tc>
        <w:tc>
          <w:tcPr>
            <w:tcW w:w="71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hl</w:t>
            </w:r>
          </w:p>
        </w:tc>
        <w:tc>
          <w:tcPr>
            <w:tcW w:w="478"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13 810</w:t>
            </w:r>
          </w:p>
        </w:tc>
        <w:tc>
          <w:tcPr>
            <w:tcW w:w="39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479"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090098</w:t>
            </w:r>
          </w:p>
        </w:tc>
        <w:tc>
          <w:tcPr>
            <w:tcW w:w="559"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99,99 %</w:t>
            </w:r>
          </w:p>
        </w:tc>
        <w:tc>
          <w:tcPr>
            <w:tcW w:w="635"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13 808</w:t>
            </w:r>
          </w:p>
        </w:tc>
      </w:tr>
    </w:tbl>
    <w:p w:rsidR="00A74287" w:rsidRDefault="00A74287">
      <w:pPr>
        <w:tabs>
          <w:tab w:val="left" w:pos="4252"/>
        </w:tabs>
        <w:spacing w:before="0" w:after="0"/>
        <w:jc w:val="left"/>
        <w:rPr>
          <w:i/>
          <w:noProof/>
          <w:sz w:val="18"/>
          <w:szCs w:val="18"/>
        </w:rPr>
      </w:pPr>
    </w:p>
    <w:p w:rsidR="00A74287" w:rsidRDefault="00A74287">
      <w:pPr>
        <w:tabs>
          <w:tab w:val="left" w:pos="4252"/>
        </w:tabs>
        <w:spacing w:before="0" w:after="0"/>
        <w:jc w:val="left"/>
        <w:rPr>
          <w:i/>
          <w:noProof/>
          <w:sz w:val="18"/>
          <w:szCs w:val="18"/>
        </w:rPr>
      </w:pPr>
    </w:p>
    <w:p w:rsidR="00A74287" w:rsidRDefault="00FA3D84">
      <w:pPr>
        <w:spacing w:before="0" w:after="200" w:line="276" w:lineRule="auto"/>
        <w:jc w:val="left"/>
        <w:rPr>
          <w:i/>
          <w:noProof/>
          <w:sz w:val="18"/>
          <w:szCs w:val="18"/>
        </w:rPr>
      </w:pPr>
      <w:r>
        <w:rPr>
          <w:noProof/>
        </w:rPr>
        <w:br w:type="page"/>
      </w:r>
    </w:p>
    <w:p w:rsidR="00A74287" w:rsidRDefault="00FA3D84">
      <w:pPr>
        <w:spacing w:before="0" w:after="200" w:line="276" w:lineRule="auto"/>
        <w:jc w:val="left"/>
        <w:rPr>
          <w:i/>
          <w:noProof/>
          <w:sz w:val="18"/>
          <w:szCs w:val="18"/>
        </w:rPr>
      </w:pPr>
      <w:r>
        <w:rPr>
          <w:b/>
          <w:noProof/>
        </w:rPr>
        <w:t>Partie B</w:t>
      </w:r>
    </w:p>
    <w:p w:rsidR="00A74287" w:rsidRDefault="00A74287">
      <w:pPr>
        <w:tabs>
          <w:tab w:val="left" w:pos="4252"/>
        </w:tabs>
        <w:spacing w:before="100" w:beforeAutospacing="1" w:after="0"/>
        <w:jc w:val="left"/>
        <w:rPr>
          <w:b/>
          <w:i/>
          <w:noProof/>
          <w:u w:val="single"/>
        </w:rPr>
      </w:pPr>
    </w:p>
    <w:tbl>
      <w:tblPr>
        <w:tblW w:w="4789" w:type="pct"/>
        <w:tblLayout w:type="fixed"/>
        <w:tblLook w:val="04A0" w:firstRow="1" w:lastRow="0" w:firstColumn="1" w:lastColumn="0" w:noHBand="0" w:noVBand="1"/>
      </w:tblPr>
      <w:tblGrid>
        <w:gridCol w:w="3088"/>
        <w:gridCol w:w="989"/>
        <w:gridCol w:w="7"/>
        <w:gridCol w:w="1133"/>
        <w:gridCol w:w="849"/>
        <w:gridCol w:w="989"/>
        <w:gridCol w:w="854"/>
        <w:gridCol w:w="961"/>
        <w:gridCol w:w="27"/>
      </w:tblGrid>
      <w:tr w:rsidR="00A74287">
        <w:trPr>
          <w:gridAfter w:val="1"/>
          <w:wAfter w:w="15" w:type="pct"/>
          <w:cantSplit/>
          <w:trHeight w:val="1134"/>
          <w:tblHeader/>
        </w:trPr>
        <w:tc>
          <w:tcPr>
            <w:tcW w:w="1735" w:type="pct"/>
            <w:tcBorders>
              <w:top w:val="single" w:sz="4" w:space="0" w:color="auto"/>
              <w:left w:val="single" w:sz="4" w:space="0" w:color="auto"/>
              <w:bottom w:val="single" w:sz="4" w:space="0" w:color="auto"/>
              <w:right w:val="single" w:sz="4" w:space="0" w:color="auto"/>
            </w:tcBorders>
            <w:shd w:val="clear" w:color="5B9BD5" w:fill="F4B084"/>
            <w:textDirection w:val="btLr"/>
            <w:vAlign w:val="center"/>
          </w:tcPr>
          <w:p w:rsidR="00A74287" w:rsidRDefault="00FA3D84">
            <w:pPr>
              <w:spacing w:before="0" w:after="0"/>
              <w:jc w:val="center"/>
              <w:rPr>
                <w:rFonts w:eastAsia="Times New Roman"/>
                <w:b/>
                <w:bCs/>
                <w:noProof/>
                <w:sz w:val="18"/>
                <w:szCs w:val="18"/>
              </w:rPr>
            </w:pPr>
            <w:r>
              <w:rPr>
                <w:b/>
                <w:noProof/>
                <w:sz w:val="18"/>
              </w:rPr>
              <w:t>Description du produit</w:t>
            </w:r>
          </w:p>
          <w:p w:rsidR="00A74287" w:rsidRDefault="00A74287">
            <w:pPr>
              <w:spacing w:before="0" w:after="0"/>
              <w:ind w:left="113" w:right="113"/>
              <w:jc w:val="center"/>
              <w:rPr>
                <w:rFonts w:eastAsia="Times New Roman"/>
                <w:b/>
                <w:bCs/>
                <w:noProof/>
                <w:sz w:val="18"/>
                <w:szCs w:val="18"/>
              </w:rPr>
            </w:pPr>
          </w:p>
        </w:tc>
        <w:tc>
          <w:tcPr>
            <w:tcW w:w="560" w:type="pct"/>
            <w:gridSpan w:val="2"/>
            <w:tcBorders>
              <w:top w:val="single" w:sz="4" w:space="0" w:color="auto"/>
              <w:left w:val="nil"/>
              <w:bottom w:val="single" w:sz="4" w:space="0" w:color="auto"/>
              <w:right w:val="single" w:sz="4" w:space="0" w:color="auto"/>
            </w:tcBorders>
            <w:shd w:val="clear" w:color="5B9BD5" w:fill="F4B084"/>
            <w:textDirection w:val="btLr"/>
            <w:vAlign w:val="center"/>
            <w:hideMark/>
          </w:tcPr>
          <w:p w:rsidR="00A74287" w:rsidRDefault="00FA3D84">
            <w:pPr>
              <w:spacing w:before="0" w:after="0"/>
              <w:ind w:left="113" w:right="113"/>
              <w:jc w:val="center"/>
              <w:rPr>
                <w:rFonts w:eastAsia="Times New Roman"/>
                <w:b/>
                <w:bCs/>
                <w:noProof/>
                <w:sz w:val="18"/>
                <w:szCs w:val="18"/>
              </w:rPr>
            </w:pPr>
            <w:r>
              <w:rPr>
                <w:b/>
                <w:noProof/>
                <w:sz w:val="18"/>
              </w:rPr>
              <w:t>Unité</w:t>
            </w:r>
          </w:p>
        </w:tc>
        <w:tc>
          <w:tcPr>
            <w:tcW w:w="637" w:type="pct"/>
            <w:tcBorders>
              <w:top w:val="single" w:sz="4" w:space="0" w:color="auto"/>
              <w:left w:val="nil"/>
              <w:bottom w:val="single" w:sz="4" w:space="0" w:color="auto"/>
              <w:right w:val="single" w:sz="4" w:space="0" w:color="auto"/>
            </w:tcBorders>
            <w:shd w:val="clear" w:color="5B9BD5" w:fill="F4B084"/>
            <w:textDirection w:val="btLr"/>
            <w:vAlign w:val="center"/>
            <w:hideMark/>
          </w:tcPr>
          <w:p w:rsidR="00A74287" w:rsidRDefault="00FA3D84">
            <w:pPr>
              <w:spacing w:before="0" w:after="0"/>
              <w:ind w:left="113" w:right="113"/>
              <w:jc w:val="center"/>
              <w:rPr>
                <w:rFonts w:eastAsia="Times New Roman"/>
                <w:b/>
                <w:bCs/>
                <w:noProof/>
                <w:sz w:val="18"/>
                <w:szCs w:val="18"/>
              </w:rPr>
            </w:pPr>
            <w:r>
              <w:rPr>
                <w:b/>
                <w:noProof/>
                <w:sz w:val="18"/>
              </w:rPr>
              <w:t>Quantité liste UE28</w:t>
            </w:r>
          </w:p>
        </w:tc>
        <w:tc>
          <w:tcPr>
            <w:tcW w:w="477" w:type="pct"/>
            <w:tcBorders>
              <w:top w:val="single" w:sz="4" w:space="0" w:color="auto"/>
              <w:left w:val="nil"/>
              <w:bottom w:val="single" w:sz="4" w:space="0" w:color="auto"/>
              <w:right w:val="single" w:sz="4" w:space="0" w:color="auto"/>
            </w:tcBorders>
            <w:shd w:val="clear" w:color="5B9BD5" w:fill="F4B084"/>
            <w:noWrap/>
            <w:textDirection w:val="btLr"/>
            <w:vAlign w:val="center"/>
            <w:hideMark/>
          </w:tcPr>
          <w:p w:rsidR="00A74287" w:rsidRDefault="00FA3D84">
            <w:pPr>
              <w:spacing w:before="0" w:after="0"/>
              <w:ind w:left="113" w:right="113"/>
              <w:jc w:val="center"/>
              <w:rPr>
                <w:rFonts w:eastAsia="Times New Roman"/>
                <w:b/>
                <w:bCs/>
                <w:noProof/>
                <w:sz w:val="18"/>
                <w:szCs w:val="18"/>
              </w:rPr>
            </w:pPr>
            <w:r>
              <w:rPr>
                <w:b/>
                <w:noProof/>
                <w:sz w:val="18"/>
              </w:rPr>
              <w:t>Pays</w:t>
            </w:r>
          </w:p>
        </w:tc>
        <w:tc>
          <w:tcPr>
            <w:tcW w:w="556" w:type="pct"/>
            <w:tcBorders>
              <w:top w:val="single" w:sz="4" w:space="0" w:color="auto"/>
              <w:left w:val="nil"/>
              <w:bottom w:val="single" w:sz="4" w:space="0" w:color="auto"/>
              <w:right w:val="single" w:sz="4" w:space="0" w:color="auto"/>
            </w:tcBorders>
            <w:shd w:val="clear" w:color="5B9BD5" w:fill="F4B084"/>
            <w:noWrap/>
            <w:textDirection w:val="btLr"/>
            <w:vAlign w:val="center"/>
            <w:hideMark/>
          </w:tcPr>
          <w:p w:rsidR="00A74287" w:rsidRDefault="00FA3D84">
            <w:pPr>
              <w:spacing w:before="0" w:after="0"/>
              <w:ind w:left="113" w:right="113"/>
              <w:jc w:val="center"/>
              <w:rPr>
                <w:rFonts w:eastAsia="Times New Roman"/>
                <w:b/>
                <w:bCs/>
                <w:noProof/>
                <w:sz w:val="18"/>
                <w:szCs w:val="18"/>
              </w:rPr>
            </w:pPr>
            <w:r>
              <w:rPr>
                <w:b/>
                <w:noProof/>
                <w:sz w:val="18"/>
              </w:rPr>
              <w:t>Numéro d’ordre</w:t>
            </w:r>
          </w:p>
        </w:tc>
        <w:tc>
          <w:tcPr>
            <w:tcW w:w="480" w:type="pct"/>
            <w:tcBorders>
              <w:top w:val="single" w:sz="4" w:space="0" w:color="auto"/>
              <w:left w:val="nil"/>
              <w:bottom w:val="single" w:sz="4" w:space="0" w:color="auto"/>
              <w:right w:val="single" w:sz="4" w:space="0" w:color="auto"/>
            </w:tcBorders>
            <w:shd w:val="clear" w:color="000000" w:fill="F4B084"/>
            <w:textDirection w:val="btLr"/>
            <w:vAlign w:val="center"/>
            <w:hideMark/>
          </w:tcPr>
          <w:p w:rsidR="00A74287" w:rsidRDefault="00FA3D84">
            <w:pPr>
              <w:spacing w:before="0" w:after="0"/>
              <w:ind w:left="113" w:right="113"/>
              <w:jc w:val="center"/>
              <w:rPr>
                <w:rFonts w:eastAsia="Times New Roman"/>
                <w:b/>
                <w:bCs/>
                <w:noProof/>
                <w:sz w:val="18"/>
                <w:szCs w:val="18"/>
              </w:rPr>
            </w:pPr>
            <w:r>
              <w:rPr>
                <w:b/>
                <w:noProof/>
                <w:sz w:val="18"/>
              </w:rPr>
              <w:t>Part UE27  utilisation contingent</w:t>
            </w:r>
          </w:p>
        </w:tc>
        <w:tc>
          <w:tcPr>
            <w:tcW w:w="540" w:type="pct"/>
            <w:tcBorders>
              <w:top w:val="single" w:sz="4" w:space="0" w:color="auto"/>
              <w:left w:val="nil"/>
              <w:bottom w:val="single" w:sz="4" w:space="0" w:color="auto"/>
              <w:right w:val="single" w:sz="4" w:space="0" w:color="auto"/>
            </w:tcBorders>
            <w:shd w:val="clear" w:color="000000" w:fill="F4B084"/>
            <w:textDirection w:val="btLr"/>
            <w:vAlign w:val="center"/>
            <w:hideMark/>
          </w:tcPr>
          <w:p w:rsidR="00A74287" w:rsidRDefault="00FA3D84">
            <w:pPr>
              <w:spacing w:before="0" w:after="0"/>
              <w:ind w:left="113" w:right="113"/>
              <w:jc w:val="center"/>
              <w:rPr>
                <w:rFonts w:eastAsia="Times New Roman"/>
                <w:b/>
                <w:bCs/>
                <w:noProof/>
                <w:sz w:val="18"/>
                <w:szCs w:val="18"/>
              </w:rPr>
            </w:pPr>
            <w:r>
              <w:rPr>
                <w:b/>
                <w:noProof/>
                <w:sz w:val="18"/>
              </w:rPr>
              <w:t>Taille CT UE27</w:t>
            </w:r>
          </w:p>
        </w:tc>
      </w:tr>
      <w:tr w:rsidR="00A74287">
        <w:trPr>
          <w:gridAfter w:val="1"/>
          <w:wAfter w:w="15" w:type="pct"/>
          <w:trHeight w:val="240"/>
        </w:trPr>
        <w:tc>
          <w:tcPr>
            <w:tcW w:w="1735" w:type="pct"/>
            <w:tcBorders>
              <w:top w:val="nil"/>
              <w:left w:val="single" w:sz="4" w:space="0" w:color="auto"/>
              <w:bottom w:val="single" w:sz="4" w:space="0" w:color="auto"/>
              <w:right w:val="single" w:sz="4" w:space="0" w:color="auto"/>
            </w:tcBorders>
            <w:shd w:val="clear" w:color="5B9BD5" w:fill="ACB9CA"/>
          </w:tcPr>
          <w:p w:rsidR="00A74287" w:rsidRDefault="00FA3D84">
            <w:pPr>
              <w:spacing w:before="0" w:after="0"/>
              <w:jc w:val="center"/>
              <w:rPr>
                <w:rFonts w:eastAsia="Times New Roman"/>
                <w:b/>
                <w:bCs/>
                <w:noProof/>
                <w:sz w:val="18"/>
                <w:szCs w:val="18"/>
              </w:rPr>
            </w:pPr>
            <w:r>
              <w:rPr>
                <w:b/>
                <w:noProof/>
                <w:sz w:val="18"/>
              </w:rPr>
              <w:t>PRODUITS DE LA PÊCHE</w:t>
            </w:r>
          </w:p>
        </w:tc>
        <w:tc>
          <w:tcPr>
            <w:tcW w:w="560" w:type="pct"/>
            <w:gridSpan w:val="2"/>
            <w:tcBorders>
              <w:top w:val="nil"/>
              <w:left w:val="nil"/>
              <w:bottom w:val="single" w:sz="4" w:space="0" w:color="auto"/>
              <w:right w:val="single" w:sz="4" w:space="0" w:color="auto"/>
            </w:tcBorders>
            <w:shd w:val="clear" w:color="5B9BD5" w:fill="ACB9CA"/>
          </w:tcPr>
          <w:p w:rsidR="00A74287" w:rsidRDefault="00A74287">
            <w:pPr>
              <w:spacing w:before="0" w:after="0"/>
              <w:jc w:val="center"/>
              <w:rPr>
                <w:rFonts w:eastAsia="Times New Roman"/>
                <w:b/>
                <w:bCs/>
                <w:noProof/>
                <w:sz w:val="18"/>
                <w:szCs w:val="18"/>
              </w:rPr>
            </w:pPr>
          </w:p>
        </w:tc>
        <w:tc>
          <w:tcPr>
            <w:tcW w:w="637" w:type="pct"/>
            <w:tcBorders>
              <w:top w:val="nil"/>
              <w:left w:val="nil"/>
              <w:bottom w:val="single" w:sz="4" w:space="0" w:color="auto"/>
              <w:right w:val="single" w:sz="4" w:space="0" w:color="auto"/>
            </w:tcBorders>
            <w:shd w:val="clear" w:color="5B9BD5" w:fill="ACB9CA"/>
          </w:tcPr>
          <w:p w:rsidR="00A74287" w:rsidRDefault="00A74287">
            <w:pPr>
              <w:spacing w:before="0" w:after="0"/>
              <w:jc w:val="center"/>
              <w:rPr>
                <w:rFonts w:eastAsia="Times New Roman"/>
                <w:b/>
                <w:bCs/>
                <w:noProof/>
                <w:sz w:val="18"/>
                <w:szCs w:val="18"/>
              </w:rPr>
            </w:pPr>
          </w:p>
        </w:tc>
        <w:tc>
          <w:tcPr>
            <w:tcW w:w="477" w:type="pct"/>
            <w:tcBorders>
              <w:top w:val="nil"/>
              <w:left w:val="nil"/>
              <w:bottom w:val="single" w:sz="4" w:space="0" w:color="auto"/>
              <w:right w:val="single" w:sz="4" w:space="0" w:color="auto"/>
            </w:tcBorders>
            <w:shd w:val="clear" w:color="5B9BD5" w:fill="ACB9CA"/>
            <w:noWrap/>
          </w:tcPr>
          <w:p w:rsidR="00A74287" w:rsidRDefault="00A74287">
            <w:pPr>
              <w:spacing w:before="0" w:after="0"/>
              <w:jc w:val="center"/>
              <w:rPr>
                <w:rFonts w:eastAsia="Times New Roman"/>
                <w:b/>
                <w:bCs/>
                <w:noProof/>
                <w:sz w:val="18"/>
                <w:szCs w:val="18"/>
              </w:rPr>
            </w:pPr>
          </w:p>
        </w:tc>
        <w:tc>
          <w:tcPr>
            <w:tcW w:w="556" w:type="pct"/>
            <w:tcBorders>
              <w:top w:val="nil"/>
              <w:left w:val="nil"/>
              <w:bottom w:val="single" w:sz="4" w:space="0" w:color="auto"/>
              <w:right w:val="single" w:sz="4" w:space="0" w:color="auto"/>
            </w:tcBorders>
            <w:shd w:val="clear" w:color="5B9BD5" w:fill="ACB9CA"/>
            <w:noWrap/>
          </w:tcPr>
          <w:p w:rsidR="00A74287" w:rsidRDefault="00A74287">
            <w:pPr>
              <w:spacing w:before="0" w:after="0"/>
              <w:jc w:val="center"/>
              <w:rPr>
                <w:rFonts w:eastAsia="Times New Roman"/>
                <w:b/>
                <w:bCs/>
                <w:noProof/>
                <w:sz w:val="18"/>
                <w:szCs w:val="18"/>
              </w:rPr>
            </w:pPr>
          </w:p>
        </w:tc>
        <w:tc>
          <w:tcPr>
            <w:tcW w:w="480" w:type="pct"/>
            <w:tcBorders>
              <w:top w:val="nil"/>
              <w:left w:val="nil"/>
              <w:bottom w:val="single" w:sz="4" w:space="0" w:color="auto"/>
              <w:right w:val="single" w:sz="4" w:space="0" w:color="auto"/>
            </w:tcBorders>
            <w:shd w:val="clear" w:color="000000" w:fill="ACB9CA"/>
          </w:tcPr>
          <w:p w:rsidR="00A74287" w:rsidRDefault="00A74287">
            <w:pPr>
              <w:spacing w:before="0" w:after="0"/>
              <w:jc w:val="center"/>
              <w:rPr>
                <w:rFonts w:eastAsia="Times New Roman"/>
                <w:b/>
                <w:bCs/>
                <w:noProof/>
                <w:sz w:val="18"/>
                <w:szCs w:val="18"/>
              </w:rPr>
            </w:pPr>
          </w:p>
        </w:tc>
        <w:tc>
          <w:tcPr>
            <w:tcW w:w="540" w:type="pct"/>
            <w:tcBorders>
              <w:top w:val="nil"/>
              <w:left w:val="nil"/>
              <w:bottom w:val="single" w:sz="4" w:space="0" w:color="auto"/>
              <w:right w:val="single" w:sz="4" w:space="0" w:color="auto"/>
            </w:tcBorders>
            <w:shd w:val="clear" w:color="000000" w:fill="ACB9CA"/>
            <w:noWrap/>
          </w:tcPr>
          <w:p w:rsidR="00A74287" w:rsidRDefault="00A74287">
            <w:pPr>
              <w:spacing w:before="0" w:after="0"/>
              <w:jc w:val="center"/>
              <w:rPr>
                <w:rFonts w:eastAsia="Times New Roman"/>
                <w:b/>
                <w:bCs/>
                <w:noProof/>
                <w:sz w:val="18"/>
                <w:szCs w:val="18"/>
              </w:rPr>
            </w:pP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Hareng, frais, congelé et en filets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34 000</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090006</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93,8 %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31 888</w:t>
            </w: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Morues des espèces Gadus morhua et Gadus ogac et poissons de l’espèce Boreogadus saida</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25 000</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090007</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99,99 %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24 998</w:t>
            </w: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ascii="Calibri" w:eastAsia="Times New Roman" w:hAnsi="Calibri" w:cs="Arial"/>
                <w:noProof/>
                <w:color w:val="000000"/>
                <w:sz w:val="18"/>
                <w:szCs w:val="18"/>
              </w:rPr>
            </w:pPr>
            <w:r>
              <w:rPr>
                <w:noProof/>
                <w:sz w:val="18"/>
              </w:rPr>
              <w:t>Merlu, frais et congelé</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2 000</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090009</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99,9 %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1 999</w:t>
            </w: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Salmonidés du genre Coregone, congelés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1 000</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090045</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1 000</w:t>
            </w: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Écrevisses, cuites à l’aneth, congelées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3 000</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090046</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98,8 %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2 965</w:t>
            </w: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Crevettes de l’espèce Pandalus borealis, décortiquées, cuites, congelées, mais non autrement préparées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500</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090047</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94,7 %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474</w:t>
            </w: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Poissons du genre Allocyttus et de l’espèce Pseudocyttus maculatus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200</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090048</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200</w:t>
            </w: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Préparations ou conserves de poissons (à l’exclusion des préparations ou conserves de poissons entiers ou en morceaux): de thons, listaos et </w:t>
            </w:r>
            <w:r>
              <w:rPr>
                <w:noProof/>
                <w:sz w:val="18"/>
              </w:rPr>
              <w:t>autres poissons du genre Euthynnus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1 816</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THA</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090704</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1 816</w:t>
            </w: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Préparations ou conserves de poissons (à l’exclusion des préparations ou conserves de poissons entiers ou en morceaux): de thons, listaos et autres poissons du genre Euthynnus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742</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090705</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742</w:t>
            </w:r>
          </w:p>
        </w:tc>
      </w:tr>
      <w:tr w:rsidR="00A74287">
        <w:trPr>
          <w:gridAfter w:val="1"/>
          <w:wAfter w:w="15" w:type="pct"/>
          <w:trHeight w:val="1065"/>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Préparations ou conserves de poissons (à l’exclusion des préparations ou conserves de poissons entiers ou en morceaux): de sardines, de bonites, de maquereaux des espèces Scomber scombrus et Scomber japonicus et poissons de l’espèce </w:t>
            </w:r>
            <w:r>
              <w:rPr>
                <w:noProof/>
                <w:sz w:val="18"/>
              </w:rPr>
              <w:t>Orcynopsis unicolor</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1 410</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THA</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090706</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8,7 %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123</w:t>
            </w: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noWrap/>
            <w:vAlign w:val="bottom"/>
            <w:hideMark/>
          </w:tcPr>
          <w:p w:rsidR="00A74287" w:rsidRDefault="00FA3D84">
            <w:pPr>
              <w:spacing w:before="0" w:after="0"/>
              <w:jc w:val="left"/>
              <w:rPr>
                <w:rFonts w:eastAsia="Times New Roman"/>
                <w:noProof/>
                <w:sz w:val="18"/>
                <w:szCs w:val="18"/>
              </w:rPr>
            </w:pPr>
            <w:r>
              <w:rPr>
                <w:noProof/>
                <w:sz w:val="18"/>
              </w:rPr>
              <w:t xml:space="preserve">Préparations ou conserves de poissons (à l’exclusion des préparations ou conserves de poissons entiers ou en morceaux): de sardines, de bonites, de maquereaux des espèces Scomber scombrus et Scomber </w:t>
            </w:r>
            <w:r>
              <w:rPr>
                <w:noProof/>
                <w:sz w:val="18"/>
              </w:rPr>
              <w:t>japonicus et poissons de l’espèce Orcynopsis unicolor</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865</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090707</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72,9 %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631</w:t>
            </w: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noWrap/>
            <w:vAlign w:val="bottom"/>
            <w:hideMark/>
          </w:tcPr>
          <w:p w:rsidR="00A74287" w:rsidRDefault="00FA3D84">
            <w:pPr>
              <w:spacing w:before="0" w:after="0"/>
              <w:jc w:val="left"/>
              <w:rPr>
                <w:rFonts w:eastAsia="Times New Roman"/>
                <w:noProof/>
                <w:sz w:val="18"/>
                <w:szCs w:val="18"/>
              </w:rPr>
            </w:pPr>
            <w:r>
              <w:rPr>
                <w:noProof/>
                <w:sz w:val="18"/>
              </w:rPr>
              <w:t>Thons (du genre Thunnus) et poissons du genre Euthynnus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17 250</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Non utilisé</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99,83 %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17 221</w:t>
            </w:r>
          </w:p>
        </w:tc>
      </w:tr>
      <w:tr w:rsidR="00A74287">
        <w:trPr>
          <w:gridAfter w:val="1"/>
          <w:wAfter w:w="15" w:type="pct"/>
          <w:trHeight w:val="240"/>
        </w:trPr>
        <w:tc>
          <w:tcPr>
            <w:tcW w:w="1735" w:type="pct"/>
            <w:tcBorders>
              <w:top w:val="nil"/>
              <w:left w:val="single" w:sz="4" w:space="0" w:color="auto"/>
              <w:bottom w:val="single" w:sz="4" w:space="0" w:color="auto"/>
              <w:right w:val="single" w:sz="4" w:space="0" w:color="auto"/>
            </w:tcBorders>
            <w:shd w:val="clear" w:color="5B9BD5" w:fill="ACB9CA"/>
            <w:hideMark/>
          </w:tcPr>
          <w:p w:rsidR="00A74287" w:rsidRDefault="00FA3D84">
            <w:pPr>
              <w:spacing w:before="0" w:after="0"/>
              <w:jc w:val="center"/>
              <w:rPr>
                <w:rFonts w:eastAsia="Times New Roman"/>
                <w:b/>
                <w:bCs/>
                <w:noProof/>
                <w:sz w:val="18"/>
                <w:szCs w:val="18"/>
              </w:rPr>
            </w:pPr>
            <w:r>
              <w:rPr>
                <w:b/>
                <w:noProof/>
                <w:sz w:val="18"/>
              </w:rPr>
              <w:t> PRODUITS INDUSTRIELS ET FRUCTOSE</w:t>
            </w:r>
          </w:p>
        </w:tc>
        <w:tc>
          <w:tcPr>
            <w:tcW w:w="560" w:type="pct"/>
            <w:gridSpan w:val="2"/>
            <w:tcBorders>
              <w:top w:val="nil"/>
              <w:left w:val="nil"/>
              <w:bottom w:val="single" w:sz="4" w:space="0" w:color="auto"/>
              <w:right w:val="single" w:sz="4" w:space="0" w:color="auto"/>
            </w:tcBorders>
            <w:shd w:val="clear" w:color="5B9BD5" w:fill="ACB9CA"/>
            <w:vAlign w:val="center"/>
            <w:hideMark/>
          </w:tcPr>
          <w:p w:rsidR="00A74287" w:rsidRDefault="00A74287">
            <w:pPr>
              <w:spacing w:before="0" w:after="0"/>
              <w:jc w:val="center"/>
              <w:rPr>
                <w:rFonts w:eastAsia="Times New Roman"/>
                <w:b/>
                <w:bCs/>
                <w:noProof/>
                <w:sz w:val="18"/>
                <w:szCs w:val="18"/>
              </w:rPr>
            </w:pPr>
          </w:p>
        </w:tc>
        <w:tc>
          <w:tcPr>
            <w:tcW w:w="637" w:type="pct"/>
            <w:tcBorders>
              <w:top w:val="nil"/>
              <w:left w:val="nil"/>
              <w:bottom w:val="single" w:sz="4" w:space="0" w:color="auto"/>
              <w:right w:val="single" w:sz="4" w:space="0" w:color="auto"/>
            </w:tcBorders>
            <w:shd w:val="clear" w:color="5B9BD5" w:fill="ACB9CA"/>
            <w:vAlign w:val="center"/>
            <w:hideMark/>
          </w:tcPr>
          <w:p w:rsidR="00A74287" w:rsidRDefault="00A74287">
            <w:pPr>
              <w:spacing w:before="0" w:after="0"/>
              <w:jc w:val="center"/>
              <w:rPr>
                <w:rFonts w:eastAsia="Times New Roman"/>
                <w:b/>
                <w:bCs/>
                <w:noProof/>
                <w:sz w:val="18"/>
                <w:szCs w:val="18"/>
              </w:rPr>
            </w:pPr>
          </w:p>
        </w:tc>
        <w:tc>
          <w:tcPr>
            <w:tcW w:w="477" w:type="pct"/>
            <w:tcBorders>
              <w:top w:val="nil"/>
              <w:left w:val="nil"/>
              <w:bottom w:val="single" w:sz="4" w:space="0" w:color="auto"/>
              <w:right w:val="single" w:sz="4" w:space="0" w:color="auto"/>
            </w:tcBorders>
            <w:shd w:val="clear" w:color="5B9BD5" w:fill="ACB9CA"/>
            <w:noWrap/>
            <w:vAlign w:val="center"/>
            <w:hideMark/>
          </w:tcPr>
          <w:p w:rsidR="00A74287" w:rsidRDefault="00A74287">
            <w:pPr>
              <w:spacing w:before="0" w:after="0"/>
              <w:jc w:val="center"/>
              <w:rPr>
                <w:rFonts w:eastAsia="Times New Roman"/>
                <w:b/>
                <w:bCs/>
                <w:noProof/>
                <w:sz w:val="18"/>
                <w:szCs w:val="18"/>
              </w:rPr>
            </w:pPr>
          </w:p>
        </w:tc>
        <w:tc>
          <w:tcPr>
            <w:tcW w:w="556" w:type="pct"/>
            <w:tcBorders>
              <w:top w:val="nil"/>
              <w:left w:val="nil"/>
              <w:bottom w:val="single" w:sz="4" w:space="0" w:color="auto"/>
              <w:right w:val="single" w:sz="4" w:space="0" w:color="auto"/>
            </w:tcBorders>
            <w:shd w:val="clear" w:color="5B9BD5" w:fill="ACB9CA"/>
            <w:noWrap/>
            <w:vAlign w:val="center"/>
            <w:hideMark/>
          </w:tcPr>
          <w:p w:rsidR="00A74287" w:rsidRDefault="00A74287">
            <w:pPr>
              <w:spacing w:before="0" w:after="0"/>
              <w:jc w:val="center"/>
              <w:rPr>
                <w:rFonts w:eastAsia="Times New Roman"/>
                <w:b/>
                <w:bCs/>
                <w:noProof/>
                <w:sz w:val="18"/>
                <w:szCs w:val="18"/>
              </w:rPr>
            </w:pPr>
          </w:p>
        </w:tc>
        <w:tc>
          <w:tcPr>
            <w:tcW w:w="480" w:type="pct"/>
            <w:tcBorders>
              <w:top w:val="nil"/>
              <w:left w:val="nil"/>
              <w:bottom w:val="single" w:sz="4" w:space="0" w:color="auto"/>
              <w:right w:val="single" w:sz="4" w:space="0" w:color="auto"/>
            </w:tcBorders>
            <w:shd w:val="clear" w:color="000000" w:fill="ACB9CA"/>
            <w:vAlign w:val="center"/>
          </w:tcPr>
          <w:p w:rsidR="00A74287" w:rsidRDefault="00A74287">
            <w:pPr>
              <w:spacing w:before="0" w:after="0"/>
              <w:jc w:val="center"/>
              <w:rPr>
                <w:rFonts w:eastAsia="Times New Roman"/>
                <w:b/>
                <w:bCs/>
                <w:noProof/>
                <w:sz w:val="18"/>
                <w:szCs w:val="18"/>
              </w:rPr>
            </w:pPr>
          </w:p>
        </w:tc>
        <w:tc>
          <w:tcPr>
            <w:tcW w:w="540" w:type="pct"/>
            <w:tcBorders>
              <w:top w:val="nil"/>
              <w:left w:val="nil"/>
              <w:bottom w:val="single" w:sz="4" w:space="0" w:color="auto"/>
              <w:right w:val="single" w:sz="4" w:space="0" w:color="auto"/>
            </w:tcBorders>
            <w:shd w:val="clear" w:color="000000" w:fill="ACB9CA"/>
            <w:noWrap/>
            <w:vAlign w:val="center"/>
            <w:hideMark/>
          </w:tcPr>
          <w:p w:rsidR="00A74287" w:rsidRDefault="00A74287">
            <w:pPr>
              <w:spacing w:before="0" w:after="0"/>
              <w:jc w:val="center"/>
              <w:rPr>
                <w:rFonts w:eastAsia="Times New Roman"/>
                <w:b/>
                <w:bCs/>
                <w:noProof/>
                <w:sz w:val="18"/>
                <w:szCs w:val="18"/>
              </w:rPr>
            </w:pPr>
          </w:p>
        </w:tc>
      </w:tr>
      <w:tr w:rsidR="00A74287">
        <w:trPr>
          <w:gridAfter w:val="1"/>
          <w:wAfter w:w="15" w:type="pct"/>
          <w:trHeight w:val="1275"/>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Bois contreplaqués de conifères, sans</w:t>
            </w:r>
            <w:r>
              <w:rPr>
                <w:noProof/>
                <w:sz w:val="18"/>
              </w:rPr>
              <w:t xml:space="preserve"> adjonction d’autres matières: — dont les faces sont brutes de déroulage, d’une épaisseur supérieure à 8,5 mm ou — poncés, d’une épaisseur supérieure à 18,5 mm</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m cube</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650 000</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090013</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74,3 %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482 648</w:t>
            </w: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Ferrosilicium</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12 600</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090019</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12 600</w:t>
            </w: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Ferrosilicomanganèse</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18 550</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090021</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18 550</w:t>
            </w:r>
          </w:p>
        </w:tc>
      </w:tr>
      <w:tr w:rsidR="00A74287">
        <w:trPr>
          <w:gridAfter w:val="1"/>
          <w:wAfter w:w="15" w:type="pct"/>
          <w:trHeight w:val="855"/>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Ferrochrome contenant en poids 0,10 % ou moins de carbone et plus de 30 % jusqu’à 90 % inclus de chrome</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2 950</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090023</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95 %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2 804</w:t>
            </w:r>
          </w:p>
        </w:tc>
      </w:tr>
      <w:tr w:rsidR="00A74287">
        <w:trPr>
          <w:gridAfter w:val="1"/>
          <w:wAfter w:w="15" w:type="pct"/>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 xml:space="preserve">Articles similaires de verroterie autres que les perles de verre, </w:t>
            </w:r>
            <w:r>
              <w:rPr>
                <w:noProof/>
                <w:sz w:val="18"/>
              </w:rPr>
              <w:t>imitations de perles fines ou de culture et imitations de pierres gemmes</w:t>
            </w:r>
          </w:p>
        </w:tc>
        <w:tc>
          <w:tcPr>
            <w:tcW w:w="560" w:type="pct"/>
            <w:gridSpan w:val="2"/>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52</w:t>
            </w:r>
          </w:p>
        </w:tc>
        <w:tc>
          <w:tcPr>
            <w:tcW w:w="477"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090051</w:t>
            </w:r>
          </w:p>
        </w:tc>
        <w:tc>
          <w:tcPr>
            <w:tcW w:w="480"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540"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52</w:t>
            </w:r>
          </w:p>
        </w:tc>
      </w:tr>
      <w:tr w:rsidR="00A74287">
        <w:trPr>
          <w:gridAfter w:val="1"/>
          <w:wAfter w:w="15" w:type="pct"/>
          <w:cantSplit/>
          <w:trHeight w:val="600"/>
        </w:trPr>
        <w:tc>
          <w:tcPr>
            <w:tcW w:w="1735" w:type="pct"/>
            <w:tcBorders>
              <w:top w:val="nil"/>
              <w:left w:val="single" w:sz="4" w:space="0" w:color="auto"/>
              <w:bottom w:val="nil"/>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Fils de lin écrus (à l’exclusion des fils d’étoupes) tirant 333,3 décitex ou plus (n’excédant pas 30 numéros métriques)</w:t>
            </w:r>
          </w:p>
        </w:tc>
        <w:tc>
          <w:tcPr>
            <w:tcW w:w="560" w:type="pct"/>
            <w:gridSpan w:val="2"/>
            <w:tcBorders>
              <w:top w:val="nil"/>
              <w:left w:val="nil"/>
              <w:bottom w:val="nil"/>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t</w:t>
            </w:r>
          </w:p>
        </w:tc>
        <w:tc>
          <w:tcPr>
            <w:tcW w:w="637" w:type="pct"/>
            <w:tcBorders>
              <w:top w:val="nil"/>
              <w:left w:val="nil"/>
              <w:bottom w:val="nil"/>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400</w:t>
            </w:r>
          </w:p>
        </w:tc>
        <w:tc>
          <w:tcPr>
            <w:tcW w:w="477" w:type="pct"/>
            <w:tcBorders>
              <w:top w:val="nil"/>
              <w:left w:val="nil"/>
              <w:bottom w:val="nil"/>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nil"/>
              <w:right w:val="single" w:sz="4" w:space="0" w:color="auto"/>
            </w:tcBorders>
            <w:shd w:val="clear" w:color="auto" w:fill="auto"/>
            <w:noWrap/>
            <w:vAlign w:val="center"/>
            <w:hideMark/>
          </w:tcPr>
          <w:p w:rsidR="00A74287" w:rsidRDefault="00FA3D84">
            <w:pPr>
              <w:spacing w:before="0" w:after="0"/>
              <w:jc w:val="center"/>
              <w:rPr>
                <w:rFonts w:eastAsia="Times New Roman"/>
                <w:noProof/>
                <w:sz w:val="18"/>
                <w:szCs w:val="18"/>
              </w:rPr>
            </w:pPr>
            <w:r>
              <w:rPr>
                <w:noProof/>
                <w:sz w:val="18"/>
              </w:rPr>
              <w:t>090050</w:t>
            </w:r>
          </w:p>
        </w:tc>
        <w:tc>
          <w:tcPr>
            <w:tcW w:w="480" w:type="pct"/>
            <w:tcBorders>
              <w:top w:val="nil"/>
              <w:left w:val="nil"/>
              <w:bottom w:val="nil"/>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540" w:type="pct"/>
            <w:tcBorders>
              <w:top w:val="nil"/>
              <w:left w:val="nil"/>
              <w:bottom w:val="nil"/>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400</w:t>
            </w:r>
          </w:p>
        </w:tc>
      </w:tr>
      <w:tr w:rsidR="00A74287">
        <w:trPr>
          <w:gridAfter w:val="1"/>
          <w:wAfter w:w="15" w:type="pct"/>
          <w:cantSplit/>
          <w:trHeight w:val="600"/>
        </w:trPr>
        <w:tc>
          <w:tcPr>
            <w:tcW w:w="1735" w:type="pct"/>
            <w:tcBorders>
              <w:top w:val="nil"/>
              <w:left w:val="single" w:sz="4" w:space="0" w:color="auto"/>
              <w:bottom w:val="single" w:sz="4" w:space="0" w:color="auto"/>
              <w:right w:val="single" w:sz="4" w:space="0" w:color="auto"/>
            </w:tcBorders>
            <w:shd w:val="clear" w:color="auto" w:fill="auto"/>
          </w:tcPr>
          <w:p w:rsidR="00A74287" w:rsidRDefault="00A74287">
            <w:pPr>
              <w:spacing w:before="0" w:after="0"/>
              <w:rPr>
                <w:rFonts w:eastAsia="Times New Roman"/>
                <w:noProof/>
                <w:sz w:val="18"/>
                <w:szCs w:val="18"/>
              </w:rPr>
            </w:pPr>
          </w:p>
        </w:tc>
        <w:tc>
          <w:tcPr>
            <w:tcW w:w="560" w:type="pct"/>
            <w:gridSpan w:val="2"/>
            <w:tcBorders>
              <w:top w:val="nil"/>
              <w:left w:val="nil"/>
              <w:bottom w:val="single" w:sz="4" w:space="0" w:color="auto"/>
              <w:right w:val="single" w:sz="4" w:space="0" w:color="auto"/>
            </w:tcBorders>
            <w:shd w:val="clear" w:color="auto" w:fill="auto"/>
            <w:noWrap/>
            <w:vAlign w:val="center"/>
          </w:tcPr>
          <w:p w:rsidR="00A74287" w:rsidRDefault="00A74287">
            <w:pPr>
              <w:spacing w:before="0" w:after="0"/>
              <w:jc w:val="center"/>
              <w:rPr>
                <w:rFonts w:eastAsia="Times New Roman"/>
                <w:noProof/>
                <w:sz w:val="18"/>
                <w:szCs w:val="18"/>
              </w:rPr>
            </w:pPr>
          </w:p>
        </w:tc>
        <w:tc>
          <w:tcPr>
            <w:tcW w:w="637" w:type="pct"/>
            <w:tcBorders>
              <w:top w:val="nil"/>
              <w:left w:val="nil"/>
              <w:bottom w:val="single" w:sz="4" w:space="0" w:color="auto"/>
              <w:right w:val="single" w:sz="4" w:space="0" w:color="auto"/>
            </w:tcBorders>
            <w:shd w:val="clear" w:color="auto" w:fill="auto"/>
            <w:noWrap/>
            <w:vAlign w:val="center"/>
          </w:tcPr>
          <w:p w:rsidR="00A74287" w:rsidRDefault="00A74287">
            <w:pPr>
              <w:spacing w:before="0" w:after="0"/>
              <w:jc w:val="center"/>
              <w:rPr>
                <w:rFonts w:eastAsia="Times New Roman"/>
                <w:noProof/>
                <w:sz w:val="18"/>
                <w:szCs w:val="18"/>
              </w:rPr>
            </w:pPr>
          </w:p>
        </w:tc>
        <w:tc>
          <w:tcPr>
            <w:tcW w:w="477" w:type="pct"/>
            <w:tcBorders>
              <w:top w:val="nil"/>
              <w:left w:val="nil"/>
              <w:bottom w:val="single" w:sz="4" w:space="0" w:color="auto"/>
              <w:right w:val="single" w:sz="4" w:space="0" w:color="auto"/>
            </w:tcBorders>
            <w:shd w:val="clear" w:color="auto" w:fill="auto"/>
            <w:noWrap/>
            <w:vAlign w:val="center"/>
          </w:tcPr>
          <w:p w:rsidR="00A74287" w:rsidRDefault="00A74287">
            <w:pPr>
              <w:spacing w:before="0" w:after="0"/>
              <w:jc w:val="center"/>
              <w:rPr>
                <w:rFonts w:eastAsia="Times New Roman"/>
                <w:noProof/>
                <w:sz w:val="18"/>
                <w:szCs w:val="18"/>
              </w:rPr>
            </w:pPr>
          </w:p>
        </w:tc>
        <w:tc>
          <w:tcPr>
            <w:tcW w:w="556" w:type="pct"/>
            <w:tcBorders>
              <w:top w:val="nil"/>
              <w:left w:val="nil"/>
              <w:bottom w:val="single" w:sz="4" w:space="0" w:color="auto"/>
              <w:right w:val="single" w:sz="4" w:space="0" w:color="auto"/>
            </w:tcBorders>
            <w:shd w:val="clear" w:color="auto" w:fill="auto"/>
            <w:noWrap/>
            <w:vAlign w:val="center"/>
          </w:tcPr>
          <w:p w:rsidR="00A74287" w:rsidRDefault="00A74287">
            <w:pPr>
              <w:spacing w:before="0" w:after="0"/>
              <w:jc w:val="center"/>
              <w:rPr>
                <w:rFonts w:eastAsia="Times New Roman"/>
                <w:noProof/>
                <w:sz w:val="18"/>
                <w:szCs w:val="18"/>
              </w:rPr>
            </w:pPr>
          </w:p>
        </w:tc>
        <w:tc>
          <w:tcPr>
            <w:tcW w:w="480" w:type="pct"/>
            <w:tcBorders>
              <w:top w:val="nil"/>
              <w:left w:val="nil"/>
              <w:bottom w:val="single" w:sz="4" w:space="0" w:color="auto"/>
              <w:right w:val="single" w:sz="4" w:space="0" w:color="auto"/>
            </w:tcBorders>
            <w:shd w:val="clear" w:color="auto" w:fill="auto"/>
            <w:vAlign w:val="center"/>
          </w:tcPr>
          <w:p w:rsidR="00A74287" w:rsidRDefault="00A74287">
            <w:pPr>
              <w:spacing w:before="0" w:after="0"/>
              <w:jc w:val="center"/>
              <w:rPr>
                <w:rFonts w:eastAsia="Times New Roman"/>
                <w:b/>
                <w:bCs/>
                <w:noProof/>
                <w:sz w:val="18"/>
                <w:szCs w:val="18"/>
              </w:rPr>
            </w:pPr>
          </w:p>
        </w:tc>
        <w:tc>
          <w:tcPr>
            <w:tcW w:w="540" w:type="pct"/>
            <w:tcBorders>
              <w:top w:val="nil"/>
              <w:left w:val="nil"/>
              <w:bottom w:val="single" w:sz="4" w:space="0" w:color="auto"/>
              <w:right w:val="single" w:sz="4" w:space="0" w:color="auto"/>
            </w:tcBorders>
            <w:shd w:val="clear" w:color="auto" w:fill="auto"/>
            <w:vAlign w:val="center"/>
          </w:tcPr>
          <w:p w:rsidR="00A74287" w:rsidRDefault="00A74287">
            <w:pPr>
              <w:spacing w:before="0" w:after="0"/>
              <w:rPr>
                <w:rFonts w:eastAsia="Times New Roman"/>
                <w:b/>
                <w:bCs/>
                <w:noProof/>
                <w:sz w:val="18"/>
                <w:szCs w:val="18"/>
              </w:rPr>
            </w:pPr>
          </w:p>
        </w:tc>
      </w:tr>
      <w:tr w:rsidR="00A74287">
        <w:trPr>
          <w:trHeight w:val="600"/>
        </w:trPr>
        <w:tc>
          <w:tcPr>
            <w:tcW w:w="1735" w:type="pct"/>
            <w:tcBorders>
              <w:top w:val="nil"/>
              <w:left w:val="single" w:sz="4" w:space="0" w:color="auto"/>
              <w:bottom w:val="single" w:sz="4" w:space="0" w:color="auto"/>
              <w:right w:val="single" w:sz="4" w:space="0" w:color="auto"/>
            </w:tcBorders>
            <w:shd w:val="clear" w:color="auto" w:fill="auto"/>
            <w:hideMark/>
          </w:tcPr>
          <w:p w:rsidR="00A74287" w:rsidRDefault="00FA3D84">
            <w:pPr>
              <w:spacing w:before="0" w:after="0"/>
              <w:jc w:val="center"/>
              <w:rPr>
                <w:rFonts w:eastAsia="Times New Roman"/>
                <w:noProof/>
                <w:sz w:val="18"/>
                <w:szCs w:val="18"/>
              </w:rPr>
            </w:pPr>
            <w:r>
              <w:rPr>
                <w:noProof/>
                <w:sz w:val="18"/>
              </w:rPr>
              <w:t>Fructose chimiquement pur</w:t>
            </w:r>
          </w:p>
        </w:tc>
        <w:tc>
          <w:tcPr>
            <w:tcW w:w="556"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t</w:t>
            </w:r>
          </w:p>
        </w:tc>
        <w:tc>
          <w:tcPr>
            <w:tcW w:w="641" w:type="pct"/>
            <w:gridSpan w:val="2"/>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4 504</w:t>
            </w:r>
          </w:p>
        </w:tc>
        <w:tc>
          <w:tcPr>
            <w:tcW w:w="477"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EO</w:t>
            </w:r>
          </w:p>
        </w:tc>
        <w:tc>
          <w:tcPr>
            <w:tcW w:w="556" w:type="pct"/>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noProof/>
                <w:sz w:val="18"/>
                <w:szCs w:val="18"/>
              </w:rPr>
            </w:pPr>
            <w:r>
              <w:rPr>
                <w:noProof/>
                <w:sz w:val="18"/>
              </w:rPr>
              <w:t>090091</w:t>
            </w:r>
          </w:p>
        </w:tc>
        <w:tc>
          <w:tcPr>
            <w:tcW w:w="478" w:type="pct"/>
            <w:tcBorders>
              <w:top w:val="nil"/>
              <w:left w:val="nil"/>
              <w:bottom w:val="single" w:sz="4" w:space="0" w:color="auto"/>
              <w:right w:val="single" w:sz="4" w:space="0" w:color="auto"/>
            </w:tcBorders>
            <w:shd w:val="clear" w:color="auto" w:fill="auto"/>
            <w:vAlign w:val="center"/>
          </w:tcPr>
          <w:p w:rsidR="00A74287" w:rsidRDefault="00FA3D84">
            <w:pPr>
              <w:spacing w:before="0" w:after="0"/>
              <w:jc w:val="center"/>
              <w:rPr>
                <w:rFonts w:eastAsia="Times New Roman"/>
                <w:b/>
                <w:bCs/>
                <w:noProof/>
                <w:sz w:val="18"/>
                <w:szCs w:val="18"/>
              </w:rPr>
            </w:pPr>
            <w:r>
              <w:rPr>
                <w:b/>
                <w:noProof/>
                <w:sz w:val="18"/>
              </w:rPr>
              <w:t>100 %</w:t>
            </w:r>
          </w:p>
        </w:tc>
        <w:tc>
          <w:tcPr>
            <w:tcW w:w="557" w:type="pct"/>
            <w:gridSpan w:val="2"/>
            <w:tcBorders>
              <w:top w:val="nil"/>
              <w:left w:val="nil"/>
              <w:bottom w:val="single" w:sz="4" w:space="0" w:color="auto"/>
              <w:right w:val="single" w:sz="4" w:space="0" w:color="auto"/>
            </w:tcBorders>
            <w:shd w:val="clear" w:color="auto" w:fill="auto"/>
            <w:vAlign w:val="center"/>
            <w:hideMark/>
          </w:tcPr>
          <w:p w:rsidR="00A74287" w:rsidRDefault="00FA3D84">
            <w:pPr>
              <w:spacing w:before="0" w:after="0"/>
              <w:jc w:val="center"/>
              <w:rPr>
                <w:rFonts w:eastAsia="Times New Roman"/>
                <w:b/>
                <w:bCs/>
                <w:noProof/>
                <w:sz w:val="18"/>
                <w:szCs w:val="18"/>
              </w:rPr>
            </w:pPr>
            <w:r>
              <w:rPr>
                <w:b/>
                <w:noProof/>
                <w:sz w:val="18"/>
              </w:rPr>
              <w:t>4 504</w:t>
            </w:r>
          </w:p>
        </w:tc>
      </w:tr>
    </w:tbl>
    <w:p w:rsidR="00A74287" w:rsidRDefault="00A74287">
      <w:pPr>
        <w:keepNext/>
        <w:tabs>
          <w:tab w:val="left" w:pos="4252"/>
        </w:tabs>
        <w:spacing w:before="720" w:after="0"/>
        <w:rPr>
          <w:noProof/>
        </w:rPr>
      </w:pPr>
    </w:p>
    <w:sectPr w:rsidR="00A74287" w:rsidSect="00FA3D84">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87" w:rsidRDefault="00FA3D84">
      <w:pPr>
        <w:spacing w:before="0" w:after="0"/>
      </w:pPr>
      <w:r>
        <w:separator/>
      </w:r>
    </w:p>
  </w:endnote>
  <w:endnote w:type="continuationSeparator" w:id="0">
    <w:p w:rsidR="00A74287" w:rsidRDefault="00FA3D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84" w:rsidRPr="00FA3D84" w:rsidRDefault="00FA3D84" w:rsidP="00FA3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87" w:rsidRPr="00FA3D84" w:rsidRDefault="00FA3D84" w:rsidP="00FA3D84">
    <w:pPr>
      <w:pStyle w:val="Footer"/>
      <w:rPr>
        <w:rFonts w:ascii="Arial" w:hAnsi="Arial" w:cs="Arial"/>
        <w:b/>
        <w:sz w:val="48"/>
      </w:rPr>
    </w:pPr>
    <w:r w:rsidRPr="00FA3D84">
      <w:rPr>
        <w:rFonts w:ascii="Arial" w:hAnsi="Arial" w:cs="Arial"/>
        <w:b/>
        <w:sz w:val="48"/>
      </w:rPr>
      <w:t>FR</w:t>
    </w:r>
    <w:r w:rsidRPr="00FA3D84">
      <w:rPr>
        <w:rFonts w:ascii="Arial" w:hAnsi="Arial" w:cs="Arial"/>
        <w:b/>
        <w:sz w:val="48"/>
      </w:rPr>
      <w:tab/>
    </w:r>
    <w:r w:rsidRPr="00FA3D84">
      <w:rPr>
        <w:rFonts w:ascii="Arial" w:hAnsi="Arial" w:cs="Arial"/>
        <w:b/>
        <w:sz w:val="48"/>
      </w:rPr>
      <w:tab/>
    </w:r>
    <w:r w:rsidRPr="00FA3D84">
      <w:tab/>
    </w:r>
    <w:proofErr w:type="spellStart"/>
    <w:r w:rsidRPr="00FA3D84">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84" w:rsidRPr="00FA3D84" w:rsidRDefault="00FA3D84" w:rsidP="00FA3D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84" w:rsidRPr="00FA3D84" w:rsidRDefault="00FA3D84" w:rsidP="00FA3D84">
    <w:pPr>
      <w:pStyle w:val="Footer"/>
      <w:rPr>
        <w:rFonts w:ascii="Arial" w:hAnsi="Arial" w:cs="Arial"/>
        <w:b/>
        <w:sz w:val="48"/>
      </w:rPr>
    </w:pPr>
    <w:r w:rsidRPr="00FA3D84">
      <w:rPr>
        <w:rFonts w:ascii="Arial" w:hAnsi="Arial" w:cs="Arial"/>
        <w:b/>
        <w:sz w:val="48"/>
      </w:rPr>
      <w:t>FR</w:t>
    </w:r>
    <w:r w:rsidRPr="00FA3D8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FA3D84">
      <w:tab/>
    </w:r>
    <w:r w:rsidRPr="00FA3D8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84" w:rsidRPr="00FA3D84" w:rsidRDefault="00FA3D84" w:rsidP="00FA3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87" w:rsidRDefault="00FA3D84">
      <w:pPr>
        <w:spacing w:before="0" w:after="0"/>
      </w:pPr>
      <w:r>
        <w:separator/>
      </w:r>
    </w:p>
  </w:footnote>
  <w:footnote w:type="continuationSeparator" w:id="0">
    <w:p w:rsidR="00A74287" w:rsidRDefault="00FA3D84">
      <w:pPr>
        <w:spacing w:before="0" w:after="0"/>
      </w:pPr>
      <w:r>
        <w:continuationSeparator/>
      </w:r>
    </w:p>
  </w:footnote>
  <w:footnote w:id="1">
    <w:p w:rsidR="00A74287" w:rsidRDefault="00FA3D84">
      <w:pPr>
        <w:pStyle w:val="FootnoteText"/>
      </w:pPr>
      <w:r>
        <w:rPr>
          <w:rStyle w:val="FootnoteReference"/>
        </w:rPr>
        <w:footnoteRef/>
      </w:r>
      <w:r>
        <w:tab/>
        <w:t>Pour les codes officiels des pays, prière de se référer à:</w:t>
      </w:r>
      <w:r>
        <w:tab/>
        <w:t xml:space="preserve"> http://www.nationsonline.org/oneworld/country_code_list.htm</w:t>
      </w:r>
    </w:p>
  </w:footnote>
  <w:footnote w:id="2">
    <w:p w:rsidR="00A74287" w:rsidRDefault="00FA3D84">
      <w:pPr>
        <w:pStyle w:val="FootnoteText"/>
        <w:rPr>
          <w:lang w:val="fr-BE"/>
        </w:rPr>
      </w:pPr>
      <w:r>
        <w:rPr>
          <w:rStyle w:val="FootnoteReference"/>
        </w:rPr>
        <w:footnoteRef/>
      </w:r>
      <w:r>
        <w:t xml:space="preserve"> </w:t>
      </w:r>
      <w:r>
        <w:rPr>
          <w:lang w:val="fr-BE"/>
        </w:rPr>
        <w:tab/>
        <w:t xml:space="preserve">À des fins de présentation, le </w:t>
      </w:r>
      <w:r>
        <w:rPr>
          <w:lang w:val="fr-BE"/>
        </w:rPr>
        <w:t>pourcentage a été arrondi à une décimale. La taille du contingent tarifaire de l’UE</w:t>
      </w:r>
      <w:r>
        <w:rPr>
          <w:lang w:val="fr-BE"/>
        </w:rPr>
        <w:noBreakHyphen/>
        <w:t>27 est toutefois calculée sur la base du pourcentage exact.</w:t>
      </w:r>
    </w:p>
  </w:footnote>
  <w:footnote w:id="3">
    <w:p w:rsidR="00A74287" w:rsidRDefault="00FA3D84">
      <w:pPr>
        <w:pStyle w:val="FootnoteText"/>
        <w:rPr>
          <w:lang w:val="nn-NO"/>
        </w:rPr>
      </w:pPr>
      <w:r>
        <w:rPr>
          <w:rStyle w:val="FootnoteReference"/>
        </w:rPr>
        <w:footnoteRef/>
      </w:r>
      <w:r>
        <w:tab/>
        <w:t xml:space="preserve">EO = erga </w:t>
      </w:r>
      <w:proofErr w:type="spellStart"/>
      <w:r>
        <w:t>omnes</w:t>
      </w:r>
      <w:proofErr w:type="spellEnd"/>
    </w:p>
  </w:footnote>
  <w:footnote w:id="4">
    <w:p w:rsidR="00A74287" w:rsidRDefault="00FA3D84">
      <w:pPr>
        <w:pStyle w:val="FootnoteText"/>
      </w:pPr>
      <w:r>
        <w:rPr>
          <w:rStyle w:val="FootnoteReference"/>
        </w:rPr>
        <w:footnoteRef/>
      </w:r>
      <w:r>
        <w:tab/>
        <w:t xml:space="preserve">AUT = autres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84" w:rsidRPr="00FA3D84" w:rsidRDefault="00FA3D84" w:rsidP="00FA3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84" w:rsidRPr="00FA3D84" w:rsidRDefault="00FA3D84" w:rsidP="00FA3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84" w:rsidRPr="00FA3D84" w:rsidRDefault="00FA3D84" w:rsidP="00FA3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C01F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D2F5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9248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267D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383A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2A84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08200E"/>
    <w:lvl w:ilvl="0">
      <w:start w:val="1"/>
      <w:numFmt w:val="decimal"/>
      <w:pStyle w:val="ListNumber"/>
      <w:lvlText w:val="%1."/>
      <w:lvlJc w:val="left"/>
      <w:pPr>
        <w:tabs>
          <w:tab w:val="num" w:pos="360"/>
        </w:tabs>
        <w:ind w:left="360" w:hanging="360"/>
      </w:pPr>
    </w:lvl>
  </w:abstractNum>
  <w:abstractNum w:abstractNumId="7">
    <w:nsid w:val="FFFFFF89"/>
    <w:multiLevelType w:val="singleLevel"/>
    <w:tmpl w:val="E7DC91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8 10:43: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FigNum" w:val="1"/>
    <w:docVar w:name="LW_ACCOMPAGNANT" w:val="du"/>
    <w:docVar w:name="LW_ACCOMPAGNANT.CP" w:val="du"/>
    <w:docVar w:name="LW_ANNEX_NBR_FIRST" w:val="1"/>
    <w:docVar w:name="LW_ANNEX_NBR_LAST" w:val="1"/>
    <w:docVar w:name="LW_ANNEX_UNIQUE" w:val="1"/>
    <w:docVar w:name="LW_CORRIGENDUM" w:val="&lt;UNUSED&gt;"/>
    <w:docVar w:name="LW_COVERPAGE_EXISTS" w:val="True"/>
    <w:docVar w:name="LW_COVERPAGE_GUID" w:val="46D773E4-ECBA-403C-8357-4C2482CA440B"/>
    <w:docVar w:name="LW_COVERPAGE_TYPE" w:val="1"/>
    <w:docVar w:name="LW_CROSSREFERENCE" w:val="&lt;UNUSED&gt;"/>
    <w:docVar w:name="LW_DocType" w:val="ANNEX"/>
    <w:docVar w:name="LW_EMISSION" w:val="22.5.2018"/>
    <w:docVar w:name="LW_EMISSION_ISODATE" w:val="2018-05-22"/>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f à la répartition des contingents tarifaires de la liste OMC de l\u8217?Union après le retrait du Royaume-Uni de l'Union et modifiant le règlement (CE) nº&lt;LWCR:NBS&gt;32/2000 du Conseil _x000b_"/>
    <w:docVar w:name="LW_OBJETACTEPRINCIPAL.CP" w:val="relatif à la répartition des contingents tarifaires de la liste OMC de l\u8217?Union après le retrait du Royaume-Uni de l'Union et modifiant le règlement (CE) nº 32/2000 du Conseil _x000b_"/>
    <w:docVar w:name="LW_PART_NBR" w:val="1"/>
    <w:docVar w:name="LW_PART_NBR_TOTAL" w:val="1"/>
    <w:docVar w:name="LW_REF.INST.NEW" w:val="COM"/>
    <w:docVar w:name="LW_REF.INST.NEW_ADOPTED" w:val="final"/>
    <w:docVar w:name="LW_REF.INST.NEW_TEXT" w:val="(2018) 3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ÈGLEMENT DU PARLEMENT EUROPÉEN ET DU CONSEIL"/>
    <w:docVar w:name="LW_TYPEACTEPRINCIPAL.CP" w:val="RÈGLEMENT DU PARLEMENT EUROPÉEN ET DU CONSEIL"/>
  </w:docVars>
  <w:rsids>
    <w:rsidRoot w:val="00A74287"/>
    <w:rsid w:val="00A74287"/>
    <w:rsid w:val="00FA3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oc-first">
    <w:name w:val="title-doc-first"/>
    <w:basedOn w:val="Normal"/>
    <w:pPr>
      <w:spacing w:before="100" w:beforeAutospacing="1" w:after="100" w:afterAutospacing="1"/>
      <w:jc w:val="left"/>
    </w:pPr>
    <w:rPr>
      <w:rFonts w:eastAsia="Times New Roman"/>
      <w:szCs w:val="24"/>
    </w:rPr>
  </w:style>
  <w:style w:type="paragraph" w:customStyle="1" w:styleId="title-doc-last">
    <w:name w:val="title-doc-last"/>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paragraph" w:customStyle="1" w:styleId="title-doc-oj-reference">
    <w:name w:val="title-doc-oj-reference"/>
    <w:basedOn w:val="Normal"/>
    <w:pPr>
      <w:spacing w:before="100" w:beforeAutospacing="1" w:after="100" w:afterAutospacing="1"/>
      <w:jc w:val="left"/>
    </w:pPr>
    <w:rPr>
      <w:rFonts w:eastAsia="Times New Roman"/>
      <w:szCs w:val="24"/>
    </w:rPr>
  </w:style>
  <w:style w:type="paragraph" w:customStyle="1" w:styleId="tbl-norm">
    <w:name w:val="tbl-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paragraph" w:customStyle="1" w:styleId="item-none">
    <w:name w:val="item-none"/>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954F72"/>
      <w:u w:val="single"/>
    </w:rPr>
  </w:style>
  <w:style w:type="paragraph" w:customStyle="1" w:styleId="xl66">
    <w:name w:val="xl66"/>
    <w:basedOn w:val="Normal"/>
    <w:pPr>
      <w:spacing w:before="100" w:beforeAutospacing="1" w:after="100" w:afterAutospacing="1"/>
      <w:jc w:val="left"/>
    </w:pPr>
    <w:rPr>
      <w:rFonts w:eastAsia="Times New Roman"/>
      <w:sz w:val="20"/>
      <w:szCs w:val="20"/>
    </w:rPr>
  </w:style>
  <w:style w:type="paragraph" w:customStyle="1" w:styleId="xl67">
    <w:name w:val="xl67"/>
    <w:basedOn w:val="Normal"/>
    <w:pPr>
      <w:spacing w:before="100" w:beforeAutospacing="1" w:after="100" w:afterAutospacing="1"/>
      <w:jc w:val="left"/>
    </w:pPr>
    <w:rPr>
      <w:rFonts w:eastAsia="Times New Roman"/>
      <w:b/>
      <w:bCs/>
      <w:sz w:val="20"/>
      <w:szCs w:val="20"/>
    </w:rPr>
  </w:style>
  <w:style w:type="paragraph" w:customStyle="1" w:styleId="xl68">
    <w:name w:val="xl68"/>
    <w:basedOn w:val="Normal"/>
    <w:pPr>
      <w:spacing w:before="100" w:beforeAutospacing="1" w:after="100" w:afterAutospacing="1"/>
      <w:jc w:val="left"/>
    </w:pPr>
    <w:rPr>
      <w:rFonts w:eastAsia="Times New Roman"/>
      <w:b/>
      <w:bCs/>
      <w:sz w:val="20"/>
      <w:szCs w:val="20"/>
    </w:rPr>
  </w:style>
  <w:style w:type="paragraph" w:customStyle="1" w:styleId="xl69">
    <w:name w:val="xl69"/>
    <w:basedOn w:val="Normal"/>
    <w:pPr>
      <w:spacing w:before="100" w:beforeAutospacing="1" w:after="100" w:afterAutospacing="1"/>
      <w:jc w:val="left"/>
    </w:pPr>
    <w:rPr>
      <w:rFonts w:eastAsia="Times New Roman"/>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0">
    <w:name w:val="xl80"/>
    <w:basedOn w:val="Normal"/>
    <w:pPr>
      <w:spacing w:before="100" w:beforeAutospacing="1" w:after="100" w:afterAutospacing="1"/>
      <w:jc w:val="left"/>
    </w:pPr>
    <w:rPr>
      <w:rFonts w:eastAsia="Times New Roman"/>
      <w:b/>
      <w:bCs/>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5">
    <w:name w:val="xl85"/>
    <w:basedOn w:val="Normal"/>
    <w:pPr>
      <w:shd w:val="clear" w:color="000000" w:fill="FFFF00"/>
      <w:spacing w:before="100" w:beforeAutospacing="1" w:after="100" w:afterAutospacing="1"/>
      <w:jc w:val="left"/>
    </w:pPr>
    <w:rPr>
      <w:rFonts w:eastAsia="Times New Roman"/>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91">
    <w:name w:val="xl91"/>
    <w:basedOn w:val="Normal"/>
    <w:pPr>
      <w:shd w:val="clear" w:color="000000" w:fill="FFFFFF"/>
      <w:spacing w:before="100" w:beforeAutospacing="1" w:after="100" w:afterAutospacing="1"/>
      <w:jc w:val="left"/>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FF0000"/>
      <w:sz w:val="20"/>
      <w:szCs w:val="2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4">
    <w:name w:val="xl11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FA3D8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A3D84"/>
    <w:rPr>
      <w:rFonts w:ascii="Times New Roman" w:hAnsi="Times New Roman" w:cs="Times New Roman"/>
      <w:sz w:val="24"/>
      <w:lang w:eastAsia="en-US" w:bidi="ar-SA"/>
    </w:rPr>
  </w:style>
  <w:style w:type="paragraph" w:styleId="Footer">
    <w:name w:val="footer"/>
    <w:basedOn w:val="Normal"/>
    <w:link w:val="FooterChar"/>
    <w:uiPriority w:val="99"/>
    <w:unhideWhenUsed/>
    <w:rsid w:val="00FA3D84"/>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FA3D84"/>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A3D84"/>
    <w:pPr>
      <w:tabs>
        <w:tab w:val="center" w:pos="7285"/>
        <w:tab w:val="right" w:pos="14003"/>
      </w:tabs>
      <w:spacing w:before="0"/>
    </w:pPr>
    <w:rPr>
      <w:lang w:eastAsia="en-US" w:bidi="ar-SA"/>
    </w:rPr>
  </w:style>
  <w:style w:type="paragraph" w:customStyle="1" w:styleId="FooterLandscape">
    <w:name w:val="FooterLandscape"/>
    <w:basedOn w:val="Normal"/>
    <w:rsid w:val="00FA3D84"/>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A3D84"/>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FA3D84"/>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oc-first">
    <w:name w:val="title-doc-first"/>
    <w:basedOn w:val="Normal"/>
    <w:pPr>
      <w:spacing w:before="100" w:beforeAutospacing="1" w:after="100" w:afterAutospacing="1"/>
      <w:jc w:val="left"/>
    </w:pPr>
    <w:rPr>
      <w:rFonts w:eastAsia="Times New Roman"/>
      <w:szCs w:val="24"/>
    </w:rPr>
  </w:style>
  <w:style w:type="paragraph" w:customStyle="1" w:styleId="title-doc-last">
    <w:name w:val="title-doc-last"/>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paragraph" w:customStyle="1" w:styleId="title-doc-oj-reference">
    <w:name w:val="title-doc-oj-reference"/>
    <w:basedOn w:val="Normal"/>
    <w:pPr>
      <w:spacing w:before="100" w:beforeAutospacing="1" w:after="100" w:afterAutospacing="1"/>
      <w:jc w:val="left"/>
    </w:pPr>
    <w:rPr>
      <w:rFonts w:eastAsia="Times New Roman"/>
      <w:szCs w:val="24"/>
    </w:rPr>
  </w:style>
  <w:style w:type="paragraph" w:customStyle="1" w:styleId="tbl-norm">
    <w:name w:val="tbl-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paragraph" w:customStyle="1" w:styleId="item-none">
    <w:name w:val="item-none"/>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954F72"/>
      <w:u w:val="single"/>
    </w:rPr>
  </w:style>
  <w:style w:type="paragraph" w:customStyle="1" w:styleId="xl66">
    <w:name w:val="xl66"/>
    <w:basedOn w:val="Normal"/>
    <w:pPr>
      <w:spacing w:before="100" w:beforeAutospacing="1" w:after="100" w:afterAutospacing="1"/>
      <w:jc w:val="left"/>
    </w:pPr>
    <w:rPr>
      <w:rFonts w:eastAsia="Times New Roman"/>
      <w:sz w:val="20"/>
      <w:szCs w:val="20"/>
    </w:rPr>
  </w:style>
  <w:style w:type="paragraph" w:customStyle="1" w:styleId="xl67">
    <w:name w:val="xl67"/>
    <w:basedOn w:val="Normal"/>
    <w:pPr>
      <w:spacing w:before="100" w:beforeAutospacing="1" w:after="100" w:afterAutospacing="1"/>
      <w:jc w:val="left"/>
    </w:pPr>
    <w:rPr>
      <w:rFonts w:eastAsia="Times New Roman"/>
      <w:b/>
      <w:bCs/>
      <w:sz w:val="20"/>
      <w:szCs w:val="20"/>
    </w:rPr>
  </w:style>
  <w:style w:type="paragraph" w:customStyle="1" w:styleId="xl68">
    <w:name w:val="xl68"/>
    <w:basedOn w:val="Normal"/>
    <w:pPr>
      <w:spacing w:before="100" w:beforeAutospacing="1" w:after="100" w:afterAutospacing="1"/>
      <w:jc w:val="left"/>
    </w:pPr>
    <w:rPr>
      <w:rFonts w:eastAsia="Times New Roman"/>
      <w:b/>
      <w:bCs/>
      <w:sz w:val="20"/>
      <w:szCs w:val="20"/>
    </w:rPr>
  </w:style>
  <w:style w:type="paragraph" w:customStyle="1" w:styleId="xl69">
    <w:name w:val="xl69"/>
    <w:basedOn w:val="Normal"/>
    <w:pPr>
      <w:spacing w:before="100" w:beforeAutospacing="1" w:after="100" w:afterAutospacing="1"/>
      <w:jc w:val="left"/>
    </w:pPr>
    <w:rPr>
      <w:rFonts w:eastAsia="Times New Roman"/>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0">
    <w:name w:val="xl80"/>
    <w:basedOn w:val="Normal"/>
    <w:pPr>
      <w:spacing w:before="100" w:beforeAutospacing="1" w:after="100" w:afterAutospacing="1"/>
      <w:jc w:val="left"/>
    </w:pPr>
    <w:rPr>
      <w:rFonts w:eastAsia="Times New Roman"/>
      <w:b/>
      <w:bCs/>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5">
    <w:name w:val="xl85"/>
    <w:basedOn w:val="Normal"/>
    <w:pPr>
      <w:shd w:val="clear" w:color="000000" w:fill="FFFF00"/>
      <w:spacing w:before="100" w:beforeAutospacing="1" w:after="100" w:afterAutospacing="1"/>
      <w:jc w:val="left"/>
    </w:pPr>
    <w:rPr>
      <w:rFonts w:eastAsia="Times New Roman"/>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91">
    <w:name w:val="xl91"/>
    <w:basedOn w:val="Normal"/>
    <w:pPr>
      <w:shd w:val="clear" w:color="000000" w:fill="FFFFFF"/>
      <w:spacing w:before="100" w:beforeAutospacing="1" w:after="100" w:afterAutospacing="1"/>
      <w:jc w:val="left"/>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FF0000"/>
      <w:sz w:val="20"/>
      <w:szCs w:val="2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4">
    <w:name w:val="xl11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FA3D8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A3D84"/>
    <w:rPr>
      <w:rFonts w:ascii="Times New Roman" w:hAnsi="Times New Roman" w:cs="Times New Roman"/>
      <w:sz w:val="24"/>
      <w:lang w:eastAsia="en-US" w:bidi="ar-SA"/>
    </w:rPr>
  </w:style>
  <w:style w:type="paragraph" w:styleId="Footer">
    <w:name w:val="footer"/>
    <w:basedOn w:val="Normal"/>
    <w:link w:val="FooterChar"/>
    <w:uiPriority w:val="99"/>
    <w:unhideWhenUsed/>
    <w:rsid w:val="00FA3D84"/>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FA3D84"/>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A3D84"/>
    <w:pPr>
      <w:tabs>
        <w:tab w:val="center" w:pos="7285"/>
        <w:tab w:val="right" w:pos="14003"/>
      </w:tabs>
      <w:spacing w:before="0"/>
    </w:pPr>
    <w:rPr>
      <w:lang w:eastAsia="en-US" w:bidi="ar-SA"/>
    </w:rPr>
  </w:style>
  <w:style w:type="paragraph" w:customStyle="1" w:styleId="FooterLandscape">
    <w:name w:val="FooterLandscape"/>
    <w:basedOn w:val="Normal"/>
    <w:rsid w:val="00FA3D84"/>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A3D84"/>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FA3D84"/>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132B0-7876-44EA-97EC-C45D368C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Pages>
  <Words>4430</Words>
  <Characters>19295</Characters>
  <Application>Microsoft Office Word</Application>
  <DocSecurity>0</DocSecurity>
  <Lines>1879</Lines>
  <Paragraphs>1377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BERNER Christiane (AGRI)</dc:creator>
  <cp:lastModifiedBy>KOUTZIAVASILI Dimitra (SG)</cp:lastModifiedBy>
  <cp:revision>9</cp:revision>
  <dcterms:created xsi:type="dcterms:W3CDTF">2018-05-16T08:47:00Z</dcterms:created>
  <dcterms:modified xsi:type="dcterms:W3CDTF">2018-05-18T14:40:00Z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DQCStatus">
    <vt:lpwstr>Yellow (DQC version 03)</vt:lpwstr>
  </property>
  <property fmtid="{D5CDD505-2E9C-101B-9397-08002B2CF9AE}" pid="13" name="Unique annex">
    <vt:lpwstr>1</vt:lpwstr>
  </property>
</Properties>
</file>