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18D8913-487D-4E5B-A48C-FBEF06FE95F2" style="width:451.35pt;height:365.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rPr>
          <w:noProof/>
        </w:rPr>
      </w:pPr>
      <w:r>
        <w:rPr>
          <w:noProof/>
        </w:rPr>
        <w:t>На 29 март 2017 г. правителството на Обединеното кралство уведоми Европейския съвет за намерението на Обединеното кралство да се оттегли от Европейския съюз (ЕС), на когото то понастоящем е държава членка. Очаква се, че Обединеното кралство ще престане да бъде държава — членка на ЕС, считано от 30 март 2019 г.</w:t>
      </w:r>
    </w:p>
    <w:p>
      <w:pPr>
        <w:pStyle w:val="Text1"/>
        <w:rPr>
          <w:noProof/>
        </w:rPr>
      </w:pPr>
      <w:r>
        <w:rPr>
          <w:noProof/>
        </w:rPr>
        <w:t>Оттеглянето на Обединеното кралство от ЕС има последици, надхвърлящи двустранните отношения между ЕС и Обединеното кралство, по-специално по отношение на поетите от тях задължения съгласно Споразумението за създаване на Световната търговска организация (СТО). Както ЕС, така и Обединеното кралство са първоначални членове на СТО. Когато Европейската общност прие през 1994 г. Споразумението за СТО и многостранните търговски споразумения, списъкът на отстъпките и задълженията, приложен към Общото споразумение за митата и търговията от 1994 г. (ГАТТ от 1994 г.) за Европейските общности (списъкът на ЕС в рамките на СТО), бе едновременно с това приложен и за Обединеното кралство. Поради това списъкът на ЕС съдържа задължения, приложими също и по отношение на Обединеното кралство в качеството му на член на СТО. Що се отнася до ЕС, поетите от него отстъпки по отношение на стоките ще продължат да се прилагат на неговата територия, но съществуващите количествени задължения на ЕС и по-специално тарифните квоти (ТК) ще наложат извършването на някои корекции с цел отразяване на оттеглянето на Обединеното кралство от ЕС.</w:t>
      </w:r>
    </w:p>
    <w:p>
      <w:pPr>
        <w:pStyle w:val="Text1"/>
        <w:rPr>
          <w:noProof/>
        </w:rPr>
      </w:pPr>
      <w:r>
        <w:rPr>
          <w:noProof/>
        </w:rPr>
        <w:t>Настоящите количества на обвързващите тарифни квоти на ЕС в рамките на СТО за селскостопански стоки, рибни продукти и промишлени стоки бяха въведени въз основа на факта, че Обединеното кралство е държава членка и представлява част от посочения пазар на ЕС. Тези тарифни квоти се прилагат за пазара на ЕС като цяло, включително по отношение на Обединеното кралство. Поради това е необходимо да се отрази фактът, че списъкът на ЕС в рамките на СТО вече няма да се прилага по отношение на Обединеното кралство след оттеглянето му от ЕС или най-късно след 31 декември 2020 г., ако влязат в сила преходните договорености, договорени между преговарящите от ЕС и Обединеното кралство като част от споразумението за оттегляне.</w:t>
      </w:r>
    </w:p>
    <w:p>
      <w:pPr>
        <w:pStyle w:val="Text1"/>
        <w:rPr>
          <w:noProof/>
        </w:rPr>
      </w:pPr>
      <w:r>
        <w:rPr>
          <w:noProof/>
        </w:rPr>
        <w:t>Корекцията на обвързващите тарифни квоти на ЕС в рамките на СТО налага пропорционално разпределяне на съществуващите количества между Обединеното кралство и ЕС, което да влезе в сила на датата, на която Обединеното кралство вече няма да е част от списъка на ЕС в рамките на СТО.</w:t>
      </w:r>
    </w:p>
    <w:p>
      <w:pPr>
        <w:pStyle w:val="Text1"/>
        <w:rPr>
          <w:noProof/>
        </w:rPr>
      </w:pPr>
      <w:r>
        <w:rPr>
          <w:noProof/>
        </w:rPr>
        <w:t>В интерес на поддържането на яснота и предсказуемост в многостранната търговска система ЕС и Обединеното кралство изпратиха съвместно писмо на 11 октомври 2017 г. до всички членове на СТО, в което се посочва главното основание и принципите, предвидени за посоченото пропорционално разпределяне. Впоследствие ЕС и Обединеното кралство се ангажираха активно да работят по този въпрос по открит и прозрачен начин с основните си търговски партньори в рамките на СТО.</w:t>
      </w:r>
    </w:p>
    <w:p>
      <w:pPr>
        <w:pStyle w:val="Text1"/>
        <w:rPr>
          <w:noProof/>
        </w:rPr>
      </w:pPr>
      <w:r>
        <w:rPr>
          <w:noProof/>
        </w:rPr>
        <w:lastRenderedPageBreak/>
        <w:t xml:space="preserve">В съответствие с член XXVIII от ГАТТ от 1994 г. ЕС ще е необходимо да проведе преговори с някои засегнати членове на СТО, за да се внесат промени в списъка на ЕС в рамките на СТО, когато в него се съдържат обеми на тарифни квоти, чрез пропорционалното разпределяне на тези квоти. За тази цел Комисията представя на Съвета едновременно с това препоръка, придружена от проект за указания за водене на преговори, за упълномощаване на Комисията да започне преговори със засегнатите членове на СТО. Преговори ще бъдат проведени със съответните членове на СТО, за които е установено, че имат съответни интереси във връзка с достъпа до пазара, както е посочено в член XXVIII от ГАТТ от 1994 г. (имащи т.нар. интерес на основен или особено голям доставчик или разполагащи с право на първоначално преговаряне) по индивидуалните тарифни квоти. Очаква се Обединеното кралство да предприеме необходимите процедури с оглед на изготвянето на собствен списък на отстъпките и задълженията, приложен към ГАТТ от 1994 г., включително на пропорционално разпределените количествени задължения. </w:t>
      </w:r>
    </w:p>
    <w:p>
      <w:pPr>
        <w:pStyle w:val="Text1"/>
        <w:rPr>
          <w:noProof/>
        </w:rPr>
      </w:pPr>
      <w:r>
        <w:rPr>
          <w:noProof/>
        </w:rPr>
        <w:t>Предвид времевата рамка, в която тези преговори ще трябва да бъдат проведени, не може да се изключи възможността някои от тези преговори с отделни членове на СТО съгласно член XXVIII от ГАТТ от 1994 г. във връзка с една или повече тарифни квоти да не бъдат приключени със споразумение в рамките на необходимите срокове преди Обединеното кралство да престане да бъде част от списъка на ЕС в рамките на СТО. Поради това е необходимо да се гарантира, че при липсата на такова споразумение ЕС въпреки това може да пристъпи към пропорционалното разпределяне на тарифните квоти чрез изменение на тарифните отстъпки в рамките на СТО и че Комисията разполага с необходимите правомощия да измени съответните разпоредби на ЕС относно откриването и прилагането на съответните тарифни квоти.</w:t>
      </w:r>
    </w:p>
    <w:p>
      <w:pPr>
        <w:pStyle w:val="Text1"/>
        <w:rPr>
          <w:noProof/>
        </w:rPr>
      </w:pPr>
      <w:r>
        <w:rPr>
          <w:noProof/>
        </w:rPr>
        <w:t xml:space="preserve">С цел да се гарантира съвместимостта на тази процедура със задълженията на ЕС съгласно Споразумението на СТО, и по-специално член XXVIII от ГАТТ от 1994 г., посоченото пропорционално разпределяне следва да се основава на съществуващите търговски потоци в рамките на всяка тарифна квота за скорошен представителен период от време. Следва да бъде прилаган последователен подход към всички тарифни квоти, </w:t>
      </w:r>
      <w:r>
        <w:rPr>
          <w:i/>
          <w:noProof/>
        </w:rPr>
        <w:t>inter alia</w:t>
      </w:r>
      <w:r>
        <w:rPr>
          <w:noProof/>
        </w:rPr>
        <w:t xml:space="preserve"> по отношение на данните и методологията. Важно е да се отбележи, че съществуващите общи равнища на достъп на ЕС и Обединеното кралство до пазара, които са налични за други членове на СТО, следва да бъдат запазени в съответствие с член XXVIII, параграф 2 от ГАТТ от 1994 г. </w:t>
      </w:r>
    </w:p>
    <w:p>
      <w:pPr>
        <w:pStyle w:val="Text1"/>
        <w:rPr>
          <w:noProof/>
        </w:rPr>
      </w:pPr>
      <w:r>
        <w:rPr>
          <w:noProof/>
        </w:rPr>
        <w:t>Комисията използва ясна и обективна методология, която бе договорена съвместно с Обединеното кралство, като се предлага пропорционално разпределяне на съответните тарифни квоти. Като първа стъпка, за всяка отделна тарифна квота бе установен делът на използване от страна на Обединеното кралство. Делът на използване (в %) представлява делът на Обединеното кралство от общия внос на ЕС в рамките на тарифната квота по време на скорошен представителен тригодишен период (2013—2015 г.). Като втора стъпка, този дял на използване след това бе приложен към целия предвиден в списъка обем на тарифната квота, за да се получи делът на Обединеното кралство от дадена тарифна квота. Делът на ЕС се състои от останалата част от въпросната тарифна квота. Това означава, че общият обем на дадена тарифна квота не се променя (т.е. обемът за ЕС-27 = настоящия обем за ЕС-28 – обема за Обединеното кралство). Основните данни за тарифните квоти, управлявани от ГД „Данъчно облагане и митнически съюз“, бяха извлечени от базата данни Quota2, а основните данни за тарифните квоти, управлявани от ГД „Земеделие и развитие на селските райони“ — от базата данни на информационната система за селскостопанските пазари („AMIS“).</w:t>
      </w:r>
    </w:p>
    <w:p>
      <w:pPr>
        <w:pStyle w:val="Text1"/>
        <w:rPr>
          <w:noProof/>
        </w:rPr>
      </w:pPr>
      <w:r>
        <w:rPr>
          <w:noProof/>
        </w:rPr>
        <w:t xml:space="preserve">В случаите, когато през референтния период не е имало търговия с количествата на специфична тарифна квота, бяха предприети два алтернативни подхода, за да се установи делът на използване от страна на Обединеното кралство. В случаите, когато съществува друга тарифна квота с изцяло съвпадащо определение на продукта, делът на използване от посочената идентична тарифна квота бе приложен към тарифната квота, в рамките на която през референтния период не е имало търговия. В случаите, когато не съществува тарифна квота с идентично описание на продукта, формулата за изчисляване на дела на използване бе приложена за вноса в ЕС от съответните тарифни линии извън рамките на тарифната квота. </w:t>
      </w:r>
    </w:p>
    <w:p>
      <w:pPr>
        <w:pStyle w:val="Text1"/>
        <w:rPr>
          <w:noProof/>
        </w:rPr>
      </w:pPr>
      <w:r>
        <w:rPr>
          <w:noProof/>
        </w:rPr>
        <w:t>На 13 март 2018 г. бе подписано споразумение между Европейския съюз и Нова Зеландия съгласно член XXIV.6 от ГАТТ след присъединяването на Хърватия към ЕС и понастоящем се очаква одобрението на Европейския парламент преди сключването му от Съвета. С това споразумение тарифната квота за „Месо от животни от рода на овцете или козите, пресни, охладени или замразени“, разпределена за Нова Зеландия (пореден номер 092013), ще се увеличи със 135 тона, така че количеството ще стане 228 389 тона и съответното бъдещо количество за ЕС-27 ще бъде 114 184 тона.</w:t>
      </w:r>
    </w:p>
    <w:p>
      <w:pPr>
        <w:pStyle w:val="ManualHeading2"/>
        <w:rPr>
          <w:noProof/>
          <w:color w:val="000000"/>
          <w:u w:color="000000"/>
        </w:rPr>
      </w:pPr>
      <w:r>
        <w:rPr>
          <w:noProof/>
        </w:rPr>
        <w:t>•</w:t>
      </w:r>
      <w:r>
        <w:rPr>
          <w:noProof/>
        </w:rPr>
        <w:tab/>
        <w:t>Съгласуваност с действащите разпоредби в тази област на политиката</w:t>
      </w:r>
    </w:p>
    <w:p>
      <w:pPr>
        <w:pStyle w:val="Text1"/>
        <w:rPr>
          <w:noProof/>
        </w:rPr>
      </w:pPr>
      <w:r>
        <w:rPr>
          <w:noProof/>
        </w:rPr>
        <w:t xml:space="preserve">Настоящата инициатива е в съответствие с провежданите понастоящем действия на ЕС за подготовка за оттеглянето на Обединеното кралство от ЕС по организиран начин, и по-специално съвместното писмо от ЕС и Обединеното кралство до членовете на СТО от 11 октомври 2017 г. </w:t>
      </w:r>
    </w:p>
    <w:p>
      <w:pPr>
        <w:pStyle w:val="ManualHeading2"/>
        <w:rPr>
          <w:noProof/>
        </w:rPr>
      </w:pPr>
      <w:r>
        <w:rPr>
          <w:noProof/>
        </w:rPr>
        <w:t>•</w:t>
      </w:r>
      <w:r>
        <w:rPr>
          <w:noProof/>
        </w:rPr>
        <w:tab/>
        <w:t>Съгласуваност с другите политики на Съюза</w:t>
      </w:r>
    </w:p>
    <w:p>
      <w:pPr>
        <w:pStyle w:val="Text1"/>
        <w:rPr>
          <w:rFonts w:eastAsia="Arial Unicode MS"/>
          <w:noProof/>
        </w:rPr>
      </w:pPr>
      <w:r>
        <w:rPr>
          <w:noProof/>
        </w:rPr>
        <w:t>Както е посочено по-горе.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rPr>
          <w:rFonts w:eastAsia="Arial Unicode MS"/>
          <w:noProof/>
        </w:rPr>
      </w:pPr>
      <w:r>
        <w:rPr>
          <w:noProof/>
        </w:rPr>
        <w:t>Член 207, параграф 2 от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1"/>
        <w:rPr>
          <w:rFonts w:eastAsia="Arial Unicode MS"/>
          <w:noProof/>
        </w:rPr>
      </w:pPr>
      <w:r>
        <w:rPr>
          <w:noProof/>
        </w:rPr>
        <w:t>Общата търговска политика е от изключителната компетентност на Съюза.</w:t>
      </w:r>
    </w:p>
    <w:p>
      <w:pPr>
        <w:pStyle w:val="ManualHeading2"/>
        <w:rPr>
          <w:rFonts w:eastAsia="Arial Unicode MS"/>
          <w:noProof/>
          <w:u w:color="000000"/>
          <w:bdr w:val="nil"/>
        </w:rPr>
      </w:pPr>
      <w:r>
        <w:rPr>
          <w:noProof/>
        </w:rPr>
        <w:t>•</w:t>
      </w:r>
      <w:r>
        <w:rPr>
          <w:noProof/>
        </w:rPr>
        <w:tab/>
        <w:t>Пропорционалност</w:t>
      </w:r>
    </w:p>
    <w:p>
      <w:pPr>
        <w:pStyle w:val="Text1"/>
        <w:rPr>
          <w:rFonts w:eastAsia="Arial Unicode MS"/>
          <w:noProof/>
        </w:rPr>
      </w:pPr>
      <w:r>
        <w:rPr>
          <w:noProof/>
        </w:rPr>
        <w:t>Предвидената мярка представлява единственият начин за гарантиране на постигането на желания резултат.</w:t>
      </w:r>
    </w:p>
    <w:p>
      <w:pPr>
        <w:pStyle w:val="ManualHeading2"/>
        <w:rPr>
          <w:rFonts w:eastAsia="Arial Unicode MS"/>
          <w:noProof/>
          <w:u w:color="000000"/>
          <w:bdr w:val="nil"/>
        </w:rPr>
      </w:pPr>
      <w:r>
        <w:rPr>
          <w:noProof/>
        </w:rPr>
        <w:t>•</w:t>
      </w:r>
      <w:r>
        <w:rPr>
          <w:noProof/>
        </w:rPr>
        <w:tab/>
        <w:t>Избор на инструмент</w:t>
      </w:r>
    </w:p>
    <w:p>
      <w:pPr>
        <w:pStyle w:val="Text1"/>
        <w:rPr>
          <w:rFonts w:eastAsia="Arial Unicode MS"/>
          <w:noProof/>
        </w:rPr>
      </w:pPr>
      <w:r>
        <w:rPr>
          <w:noProof/>
        </w:rPr>
        <w:t>Необходим е законодателен акт, тъй като в съществуващото законодателство не се предвижда оправомощаване на Комисията да приеме предложените мерки, в случай че при преговорите в рамките на СТО не бъде постигнато споразумение с отделни членове на СТО в рамките на срока на фактическото оттегляне на Обединеното кралство.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Style w:val="Text1"/>
        <w:rPr>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Text1"/>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Оценка на въздействието</w:t>
      </w:r>
    </w:p>
    <w:p>
      <w:pPr>
        <w:pStyle w:val="Text1"/>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Регулаторна пригодност и опростяване</w:t>
      </w:r>
    </w:p>
    <w:p>
      <w:pPr>
        <w:pStyle w:val="Text1"/>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Style w:val="Text1"/>
        <w:rPr>
          <w:rFonts w:eastAsia="Arial Unicode MS"/>
          <w:noProof/>
        </w:rPr>
      </w:pPr>
      <w:r>
        <w:rPr>
          <w:noProof/>
        </w:rPr>
        <w:t>Предложението няма отражение върху основните права.</w:t>
      </w:r>
    </w:p>
    <w:p>
      <w:pPr>
        <w:pStyle w:val="ManualHeading1"/>
        <w:rPr>
          <w:noProof/>
        </w:rPr>
      </w:pPr>
      <w:r>
        <w:rPr>
          <w:noProof/>
        </w:rPr>
        <w:t>4.</w:t>
      </w:r>
      <w:r>
        <w:rPr>
          <w:noProof/>
        </w:rPr>
        <w:tab/>
        <w:t>ОТРАЖЕНИЕ ВЪРХУ БЮДЖЕТА</w:t>
      </w:r>
    </w:p>
    <w:p>
      <w:pPr>
        <w:pStyle w:val="Text1"/>
        <w:rPr>
          <w:rFonts w:eastAsia="Arial Unicode MS"/>
          <w:noProof/>
        </w:rPr>
      </w:pPr>
      <w:r>
        <w:rPr>
          <w:noProof/>
        </w:rPr>
        <w:t>Не е приложимо.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pStyle w:val="Text1"/>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Обяснителни документи (за директивите)</w:t>
      </w:r>
    </w:p>
    <w:p>
      <w:pPr>
        <w:pStyle w:val="Text1"/>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Style w:val="Text1"/>
        <w:rPr>
          <w:noProof/>
        </w:rPr>
      </w:pPr>
      <w:r>
        <w:rPr>
          <w:noProof/>
        </w:rPr>
        <w:t>В член 1 се предвижда, че тарифните квоти, фигуриращи в списъка на ЕС на отстъпките и задълженията в рамките на СТО ще бъдат разпределени пропорционално между ЕС и Обединеното кралство. Той препраща към приложението (част А и част Б), в което има подробен списък на тарифните квоти и съответната пропорционално разпределена сума за ЕС-27. В член 2 се предвижда, че част Б от приложението заменя приложение 1 към Регламент (ЕО) № 32/2000, в което понастоящем са изброени посочените тарифни квоти. В член 3 на Комисията се предоставя правомощието да измени приложението към настоящия предложен регламент и приложение I към Регламент (ЕО) № 32/2000 с цел промяна на пропорционалното разпределяне за обхващане на споразуменията, сключени междувременно с търговски партньори, в случай че след преговори с търговски партньори стане очевидно, че математическото прилагане на използвания метод за пропорционално разпределяне не е подходящо за дадена тарифна квота, или в случай че друга съответна информация, свързана с конкретна тарифна квота, стане известна на Комисията на по-късен етап. В член 4 се предвиждат редът и условията за използване на оправомощаването. И накрая, в член 5 се предвижда прилагането на регламента, което следва да започне от датата, на която правото на Съюза престане да се прилага по отношение на Обединеното кралство.</w:t>
      </w:r>
    </w:p>
    <w:p>
      <w:pPr>
        <w:pBdr>
          <w:top w:val="nil"/>
          <w:left w:val="nil"/>
          <w:bottom w:val="nil"/>
          <w:right w:val="nil"/>
          <w:between w:val="nil"/>
          <w:bar w:val="nil"/>
        </w:pBdr>
        <w:spacing w:before="0" w:after="240"/>
        <w:rPr>
          <w:rFonts w:eastAsia="Arial Unicode MS"/>
          <w:noProof/>
          <w:color w:val="008000"/>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2018/0158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пропорционално разпределяне на тарифните квоти, включени в списъка на Съюза в рамките на СТО, след оттеглянето на Обединеното кралство от Съюза, и за изменение на Регламент (ЕО) № 32/2000 на Съвета</w:t>
      </w:r>
    </w:p>
    <w:p>
      <w:pPr>
        <w:pStyle w:val="Institutionquiagit"/>
        <w:rPr>
          <w:noProof/>
        </w:rPr>
      </w:pPr>
      <w:r>
        <w:rPr>
          <w:noProof/>
        </w:rPr>
        <w:t>ЕВРОПЕЙСКИЯТ ПАРЛАМЕНТ И СЪВЕТЪТ НА ЕВРОПЕЙСКИЯ СЪЮЗ,</w:t>
      </w:r>
    </w:p>
    <w:p>
      <w:pPr>
        <w:rPr>
          <w:noProof/>
          <w:color w:val="00000A"/>
        </w:rPr>
      </w:pPr>
      <w:r>
        <w:rPr>
          <w:noProof/>
          <w:color w:val="00000A"/>
        </w:rPr>
        <w:t>като взеха предвид Договора за функционирането на Европейския съюз, и по-специално член 207, параграф 2 от него,</w:t>
      </w:r>
    </w:p>
    <w:p>
      <w:pPr>
        <w:rPr>
          <w:noProof/>
          <w:color w:val="00000A"/>
        </w:rPr>
      </w:pPr>
      <w:r>
        <w:rPr>
          <w:noProof/>
          <w:color w:val="00000A"/>
        </w:rPr>
        <w:t>като взеха предвид предложението на Европейската комисия,</w:t>
      </w:r>
    </w:p>
    <w:p>
      <w:pPr>
        <w:rPr>
          <w:noProof/>
          <w:color w:val="00000A"/>
        </w:rPr>
      </w:pPr>
      <w:r>
        <w:rPr>
          <w:noProof/>
          <w:color w:val="00000A"/>
        </w:rPr>
        <w:t>след предаване на проекта на законодателния акт на националните парламенти,</w:t>
      </w:r>
    </w:p>
    <w:p>
      <w:pPr>
        <w:rPr>
          <w:noProof/>
          <w:color w:val="00000A"/>
        </w:rPr>
      </w:pPr>
      <w:r>
        <w:rPr>
          <w:noProof/>
          <w:color w:val="00000A"/>
        </w:rPr>
        <w:t>в съответствие с обикновената законодателна процедура,</w:t>
      </w:r>
    </w:p>
    <w:p>
      <w:pPr>
        <w:rPr>
          <w:noProof/>
          <w:color w:val="00000A"/>
        </w:rPr>
      </w:pPr>
      <w:r>
        <w:rPr>
          <w:noProof/>
          <w:color w:val="00000A"/>
        </w:rPr>
        <w:t>като имат предвид, че:</w:t>
      </w:r>
    </w:p>
    <w:p>
      <w:pPr>
        <w:pStyle w:val="ManualConsidrant"/>
        <w:rPr>
          <w:noProof/>
        </w:rPr>
      </w:pPr>
      <w:r>
        <w:t>(1)</w:t>
      </w:r>
      <w:r>
        <w:tab/>
      </w:r>
      <w:r>
        <w:rPr>
          <w:noProof/>
        </w:rPr>
        <w:t xml:space="preserve">На 29 март 2017 г. правителството на Обединеното кралство уведоми Европейския съвет в съответствие с член 50 от Договора за Европейския съюз за намерението на Обединеното кралство да се оттегли от Съюза. Вследствие на това уведомление започнаха и продължават да се провеждат преговори между Обединеното кралство и Съюза с оглед на сключването на споразумение за оттегляне на Обединеното кралство. </w:t>
      </w:r>
    </w:p>
    <w:p>
      <w:pPr>
        <w:pStyle w:val="ManualConsidrant"/>
        <w:rPr>
          <w:noProof/>
        </w:rPr>
      </w:pPr>
      <w:r>
        <w:t>(2)</w:t>
      </w:r>
      <w:r>
        <w:tab/>
      </w:r>
      <w:r>
        <w:rPr>
          <w:noProof/>
        </w:rPr>
        <w:t>Оттеглянето на Обединеното кралство от Съюза ще има последици за отношенията на Обединеното кралство и Съюза с трети страни, по-специално в рамките на Световната търговска организация (СТО), на която те са първоначални членове.</w:t>
      </w:r>
    </w:p>
    <w:p>
      <w:pPr>
        <w:pStyle w:val="ManualConsidrant"/>
        <w:rPr>
          <w:noProof/>
        </w:rPr>
      </w:pPr>
      <w:r>
        <w:t>(3)</w:t>
      </w:r>
      <w:r>
        <w:tab/>
      </w:r>
      <w:r>
        <w:rPr>
          <w:noProof/>
        </w:rPr>
        <w:t xml:space="preserve">С писмо от 11 октомври 2017 г. Съюзът и Обединеното кралство информираха другите членове на СТО за намерението им при напускането на Съюза Обединеното кралство да възпроизведе, в рамките на възможното, настоящите си задължения като държава — членка на Съюза, в свой нов отделен списък на отстъпките и задълженията по отношение на търговията със стоки. Тъй като по отношение на количествените задължения обаче възпроизвеждането не е целесъобразен метод, Съюзът и Обединеното кралство информираха другите членове на СТО за намерението им да гарантират, че настоящите равнища на достъп до пазара на другите членове на СТО ще бъдат запазени чрез пропорционално разпределяне на тарифните квоти на Съюза между Съюза и Обединеното кралство. </w:t>
      </w:r>
    </w:p>
    <w:p>
      <w:pPr>
        <w:pStyle w:val="ManualConsidrant"/>
        <w:rPr>
          <w:noProof/>
        </w:rPr>
      </w:pPr>
      <w:r>
        <w:t>(4)</w:t>
      </w:r>
      <w:r>
        <w:tab/>
      </w:r>
      <w:r>
        <w:rPr>
          <w:noProof/>
        </w:rPr>
        <w:t xml:space="preserve">В съответствие с правилата на СТО такова пропорционално разпределяне на тарифни квоти, които са част от списъка на Съюза на отстъпките и задълженията, ще трябва да се извърши в съответствие с член XXVIII от Общото споразумение за митата и търговията от 1994 г. („ГАТТ от 1994 г.“). Поради това Съюзът, след установяване на предварителни контакти, ще започне преговори с членовете на СТО, имащи интерес на основен или особено голям доставчик или разполагащи с право на първоначално преговаряне по отношение на всяка от тези индивидуални тарифни квоти. </w:t>
      </w:r>
    </w:p>
    <w:p>
      <w:pPr>
        <w:pStyle w:val="ManualConsidrant"/>
        <w:rPr>
          <w:noProof/>
        </w:rPr>
      </w:pPr>
      <w:r>
        <w:t>(5)</w:t>
      </w:r>
      <w:r>
        <w:tab/>
      </w:r>
      <w:r>
        <w:rPr>
          <w:noProof/>
        </w:rPr>
        <w:t xml:space="preserve">Като се имат предвид обаче сроковете, наложени на този процес от преговорите за оттеглянето на Обединеното кралство от Съюза, е възможно посочените споразумения да не могат да бъдат сключени с всички засегнати членове на СТО по отношение на всички тарифни квоти към датата, на която списъкът на Съюза на отстъпките и задълженията в рамките на СТО по отношение на търговията със стоки престане да се прилага по отношение на Обединеното кралство. С оглед на необходимостта да се гарантира правна сигурност и непрекъснато безпрепятствено осъществяване на внос в рамките на тарифните квоти на Съюза и Обединеното кралство е необходимо Съюзът да има възможност да извърши едностранно пропорционално разпределяне на тарифните квоти. Използваната методология следва да бъде в съответствие с изискванията на член XXVIII от ГАТТ от 1994 г. </w:t>
      </w:r>
    </w:p>
    <w:p>
      <w:pPr>
        <w:pStyle w:val="ManualConsidrant"/>
        <w:rPr>
          <w:noProof/>
        </w:rPr>
      </w:pPr>
      <w:r>
        <w:t>(6)</w:t>
      </w:r>
      <w:r>
        <w:tab/>
      </w:r>
      <w:r>
        <w:rPr>
          <w:noProof/>
        </w:rPr>
        <w:t xml:space="preserve">Поради това следва да се използва посочената по-долу методология: като първа стъпка, за всяка отделна тарифна квота следва да бъде определен делът на използване от страна на Обединеното кралство. Делът на използване, изразен като процент, представлява делът на Обединеното кралство от общия внос на Съюза в рамките на тарифната квота по време на скорошен представителен тригодишен период. Този дял на използване след това следва да бъде приложен към целия предвиден в списъка обем на тарифната квота, за да се получи делът на Обединеното кралство от дадена тарифна квота. Така че делът на Съюза ще се състои от останалата част от въпросната тарифна квота. Това означава, че общият обем на дадена тарифна квота не се променя (т.е. обемът за ЕС-27 = настоящия обем за ЕС-28 – обема за Обединеното кралство). Основните данни следва да бъдат извлечени от съответните бази данни на Комисията. </w:t>
      </w:r>
    </w:p>
    <w:p>
      <w:pPr>
        <w:pStyle w:val="ManualConsidrant"/>
        <w:rPr>
          <w:noProof/>
        </w:rPr>
      </w:pPr>
      <w:r>
        <w:t>(7)</w:t>
      </w:r>
      <w:r>
        <w:tab/>
      </w:r>
      <w:r>
        <w:rPr>
          <w:noProof/>
        </w:rPr>
        <w:t xml:space="preserve">В случаите, когато през референтния период не е имало търговия с количествата на специфична тарифна квота, следва да се предприемат два алтернативни подхода, за да се установи делът на използване от страна на Обединеното кралство. В случаите, когато съществува друга тарифна квота с идентично определение на продукта, делът на използване от посочената идентична тарифна квота следва да бъде приложен към тарифната квота, в рамките на която през референтния период не е имало търговия. В случаите, когато не съществува тарифна квота с идентично определение на продукта, формулата за изчисляване на дела на използване следва да бъде приложена за вноса в Съюза от съответните тарифни линии извън рамките на тарифната квота. </w:t>
      </w:r>
    </w:p>
    <w:p>
      <w:pPr>
        <w:pStyle w:val="ManualConsidrant"/>
        <w:rPr>
          <w:noProof/>
        </w:rPr>
      </w:pPr>
      <w:r>
        <w:t>(8)</w:t>
      </w:r>
      <w:r>
        <w:tab/>
      </w:r>
      <w:r>
        <w:rPr>
          <w:noProof/>
        </w:rPr>
        <w:t>Що се отнася до съответните тарифни квоти за селскостопански продукти, в членове 184—188 от Регламент (ЕС) № 1308/2013</w:t>
      </w:r>
      <w:r>
        <w:rPr>
          <w:rStyle w:val="FootnoteReference"/>
          <w:noProof/>
        </w:rPr>
        <w:footnoteReference w:id="1"/>
      </w:r>
      <w:r>
        <w:rPr>
          <w:noProof/>
        </w:rPr>
        <w:t xml:space="preserve"> се предоставя необходимото правно основание за управлението на тарифните квоти, след като те бъдат разпределени пропорционално от настоящия регламент. Управлението на тарифните квоти, обхващащи рибни, промишлени и някои преработени селскостопански продукти, се извършва в съответствие с Регламент (ЕО) № 32/2000</w:t>
      </w:r>
      <w:r>
        <w:rPr>
          <w:rStyle w:val="FootnoteReference"/>
          <w:noProof/>
        </w:rPr>
        <w:footnoteReference w:id="2"/>
      </w:r>
      <w:r>
        <w:rPr>
          <w:noProof/>
        </w:rPr>
        <w:t xml:space="preserve">. Съответните количества от тарифната квота са определени в приложение I към посочения регламент и поради това следва да бъдат заменени с количествата, определени в част Б от приложението към настоящия регламент. </w:t>
      </w:r>
    </w:p>
    <w:p>
      <w:pPr>
        <w:pStyle w:val="ManualConsidrant"/>
        <w:rPr>
          <w:noProof/>
        </w:rPr>
      </w:pPr>
      <w:r>
        <w:t>(9)</w:t>
      </w:r>
      <w:r>
        <w:tab/>
      </w:r>
      <w:r>
        <w:rPr>
          <w:noProof/>
        </w:rPr>
        <w:t>Като се има предвид, че преговорите със засегнатите членове на СТО ще се проведат едновременно с обикновената законодателна процедура за приемането на настоящия регламент,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изменение на приложението към настоящия регламент и приложение I към Регламент (ЕО) № 32/2000 по отношение на количествата от изброените в тях пропорционално разпределени тарифни квоти, за да се вземат предвид всички сключени споразумения или съответна информация, която тя може да получи в контекста на тези преговори и която може да укаже, че специфични фактори, които преди това не са били известни, изискват коригиране на пропорционалното разпределяне на тарифните квоти между Съюза и Обединеното кралство. Същата възможност следва да бъде предоставена и когато такава информация стане налична извън рамките на тези преговори.</w:t>
      </w:r>
    </w:p>
    <w:p>
      <w:pPr>
        <w:pStyle w:val="ManualConsidrant"/>
        <w:rPr>
          <w:noProof/>
        </w:rPr>
      </w:pPr>
      <w:r>
        <w:t>(10)</w:t>
      </w:r>
      <w:r>
        <w:tab/>
      </w:r>
      <w:r>
        <w:rPr>
          <w:noProof/>
        </w:rPr>
        <w:t>Настоящият регламент следва да се прилага от момента, в който списъкът на Съюза в рамките на СТО престане да се прилага по отношение на Обединеното кралство, като се има предвид, че от този момент както Съюзът, така и Обединеното кралство трябва да знаят какви са задълженията им в рамките на СТО. На настоящия етап от преговорите за оттегляне между Съюза и Обединеното кралство не е възможно да се определи точната дата, на която това ще стане. Поради това следва да се предвиди, че настоящият регламент ще се прилага или от датата, предвидена в споразумение за оттегляне между Съюза и Обединеното кралство съгласно член 50 от Договора за Европейския съюз, или от 30 март 2019 г., тоест две години след датата на уведомлението на Обединеното кралство за намерението му да се оттегли от Съюза в съответствие с член 50 от Договора за Европейския съюз,</w:t>
      </w:r>
    </w:p>
    <w:p>
      <w:pPr>
        <w:pStyle w:val="Formuledadoption"/>
        <w:rPr>
          <w:noProof/>
        </w:rPr>
      </w:pPr>
      <w:r>
        <w:rPr>
          <w:noProof/>
        </w:rPr>
        <w:t>ПРИЕХА НАСТОЯЩИЯ РЕГЛАМЕНТ:</w:t>
      </w:r>
    </w:p>
    <w:p>
      <w:pPr>
        <w:pStyle w:val="Titrearticle"/>
        <w:rPr>
          <w:noProof/>
        </w:rPr>
      </w:pPr>
      <w:r>
        <w:rPr>
          <w:noProof/>
        </w:rPr>
        <w:t>Член 1</w:t>
      </w:r>
    </w:p>
    <w:p>
      <w:pPr>
        <w:rPr>
          <w:noProof/>
          <w:color w:val="00000A"/>
        </w:rPr>
      </w:pPr>
      <w:r>
        <w:rPr>
          <w:noProof/>
          <w:color w:val="00000A"/>
        </w:rPr>
        <w:t>Тарифните квоти, включени в списъка на Съюза на отстъпките и задълженията, приложен към Общото споразумение за митата и търговията от 1994 г., се разпределят пропорционално между Съюза и Обединено кралство Великобритания и Северна Ирландия („Обединеното кралство“), както следва:</w:t>
      </w:r>
    </w:p>
    <w:p>
      <w:pPr>
        <w:pStyle w:val="Point0"/>
        <w:rPr>
          <w:noProof/>
        </w:rPr>
      </w:pPr>
      <w:r>
        <w:rPr>
          <w:noProof/>
        </w:rPr>
        <w:t>а)</w:t>
      </w:r>
      <w:r>
        <w:rPr>
          <w:noProof/>
        </w:rPr>
        <w:tab/>
        <w:t>по отношение на тарифните квоти за земеделски продукти частта на Съюза е посочената в част А от приложението към настоящия регламент;</w:t>
      </w:r>
    </w:p>
    <w:p>
      <w:pPr>
        <w:pStyle w:val="Point0"/>
        <w:rPr>
          <w:noProof/>
        </w:rPr>
      </w:pPr>
      <w:r>
        <w:rPr>
          <w:noProof/>
        </w:rPr>
        <w:t>б)</w:t>
      </w:r>
      <w:r>
        <w:rPr>
          <w:noProof/>
        </w:rPr>
        <w:tab/>
        <w:t>по отношение на тарифните квоти за неземеделски продукти частта на Съюза е посочената в част Б от приложението към настоящия регламент.</w:t>
      </w:r>
    </w:p>
    <w:p>
      <w:pPr>
        <w:pStyle w:val="Titrearticle"/>
        <w:rPr>
          <w:noProof/>
        </w:rPr>
      </w:pPr>
      <w:r>
        <w:rPr>
          <w:noProof/>
        </w:rPr>
        <w:t>Член 2</w:t>
      </w:r>
    </w:p>
    <w:p>
      <w:pPr>
        <w:rPr>
          <w:noProof/>
        </w:rPr>
      </w:pPr>
      <w:r>
        <w:rPr>
          <w:noProof/>
        </w:rPr>
        <w:t xml:space="preserve">Приложение I към Регламент (ЕО) № 32/2000 на Съвета се заменя с текста в част Б от приложението към настоящия регламент. </w:t>
      </w:r>
    </w:p>
    <w:p>
      <w:pPr>
        <w:pStyle w:val="Titrearticle"/>
        <w:rPr>
          <w:noProof/>
        </w:rPr>
      </w:pPr>
      <w:r>
        <w:rPr>
          <w:noProof/>
        </w:rPr>
        <w:t>Член 3</w:t>
      </w:r>
    </w:p>
    <w:p>
      <w:pPr>
        <w:rPr>
          <w:noProof/>
        </w:rPr>
      </w:pPr>
      <w:r>
        <w:rPr>
          <w:noProof/>
        </w:rPr>
        <w:t xml:space="preserve">На Комисията се предоставя правомощието да приема делегирани актове в съответствие с член 4 за изменение на приложението към настоящия регламент и приложение I към Регламент (ЕО) № 32/2000 с цел да бъде взето предвид следното: </w:t>
      </w:r>
    </w:p>
    <w:p>
      <w:pPr>
        <w:pStyle w:val="Point0"/>
        <w:rPr>
          <w:noProof/>
        </w:rPr>
      </w:pPr>
      <w:r>
        <w:rPr>
          <w:noProof/>
        </w:rPr>
        <w:t>а)</w:t>
      </w:r>
      <w:r>
        <w:rPr>
          <w:noProof/>
        </w:rPr>
        <w:tab/>
        <w:t>всяко международно споразумение, сключено от Съюза съгласно член XXVIII от Общото споразумение за митата и търговията от 1994 г., което се отнася до тарифните квоти, посочени в тези приложения; както и</w:t>
      </w:r>
    </w:p>
    <w:p>
      <w:pPr>
        <w:pStyle w:val="Point0"/>
        <w:rPr>
          <w:noProof/>
        </w:rPr>
      </w:pPr>
      <w:r>
        <w:rPr>
          <w:noProof/>
        </w:rPr>
        <w:t>б)</w:t>
      </w:r>
      <w:r>
        <w:rPr>
          <w:noProof/>
        </w:rPr>
        <w:tab/>
        <w:t xml:space="preserve">съответна информация, която тя може да получи или в контекста на преговорите съгласно член XXVIII от Общото споразумение за митата и търговията от 1994 г., или чрез други средства. </w:t>
      </w:r>
    </w:p>
    <w:p>
      <w:pPr>
        <w:pStyle w:val="Titrearticle"/>
        <w:rPr>
          <w:noProof/>
          <w:shd w:val="clear" w:color="auto" w:fill="FFFFFF"/>
        </w:rPr>
      </w:pPr>
      <w:r>
        <w:rPr>
          <w:noProof/>
        </w:rPr>
        <w:t>Член 4</w:t>
      </w:r>
    </w:p>
    <w:p>
      <w:pPr>
        <w:pStyle w:val="Point0number"/>
        <w:numPr>
          <w:ilvl w:val="0"/>
          <w:numId w:val="10"/>
        </w:numPr>
        <w:rPr>
          <w:noProof/>
        </w:rPr>
      </w:pP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Point0number"/>
        <w:numPr>
          <w:ilvl w:val="0"/>
          <w:numId w:val="10"/>
        </w:numPr>
        <w:rPr>
          <w:noProof/>
        </w:rPr>
      </w:pPr>
      <w:r>
        <w:rPr>
          <w:noProof/>
        </w:rPr>
        <w:t xml:space="preserve">Правомощието да приема делегирани актове, посочено в член 3, се предоставя на Комисията за срок от </w:t>
      </w:r>
      <w:r>
        <w:rPr>
          <w:noProof/>
          <w:color w:val="00B050"/>
        </w:rPr>
        <w:t>[4]</w:t>
      </w:r>
      <w:r>
        <w:rPr>
          <w:noProof/>
        </w:rPr>
        <w:t xml:space="preserve"> години, считано от датата на влизане в сила на настоящия регламент. </w:t>
      </w:r>
    </w:p>
    <w:p>
      <w:pPr>
        <w:pStyle w:val="Point0number"/>
        <w:numPr>
          <w:ilvl w:val="0"/>
          <w:numId w:val="10"/>
        </w:numPr>
        <w:rPr>
          <w:noProof/>
        </w:rPr>
      </w:pPr>
      <w:r>
        <w:rPr>
          <w:noProof/>
        </w:rPr>
        <w:t xml:space="preserve">Делегирането на правомощия, посочено в член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Point0number"/>
        <w:numPr>
          <w:ilvl w:val="0"/>
          <w:numId w:val="10"/>
        </w:numPr>
        <w:rPr>
          <w:noProof/>
        </w:rPr>
      </w:pP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Point0number"/>
        <w:numPr>
          <w:ilvl w:val="0"/>
          <w:numId w:val="10"/>
        </w:numPr>
        <w:rPr>
          <w:noProof/>
        </w:rPr>
      </w:pPr>
      <w:r>
        <w:rPr>
          <w:noProof/>
        </w:rPr>
        <w:t>Веднага след като приеме делегиран акт, Комисията нотифицира акта едновременно на Европейския парламент и на Съвета.</w:t>
      </w:r>
    </w:p>
    <w:p>
      <w:pPr>
        <w:pStyle w:val="Point0number"/>
        <w:numPr>
          <w:ilvl w:val="0"/>
          <w:numId w:val="10"/>
        </w:numPr>
        <w:rPr>
          <w:noProof/>
        </w:rPr>
      </w:pPr>
      <w:r>
        <w:rPr>
          <w:noProof/>
          <w:color w:val="00000A"/>
        </w:rPr>
        <w:t xml:space="preserve">Делегиран акт, приет съгласно член 3, влиза в сила единствено ако нито Европейският парламент, нито Съветът не са представили възражения в срок от </w:t>
      </w:r>
      <w:r>
        <w:rPr>
          <w:noProof/>
          <w:color w:val="00B050"/>
        </w:rPr>
        <w:t>[два месеца]</w:t>
      </w:r>
      <w:r>
        <w:rPr>
          <w:noProof/>
          <w:color w:val="00000A"/>
        </w:rPr>
        <w:t xml:space="preserve">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w:t>
      </w:r>
      <w:r>
        <w:rPr>
          <w:noProof/>
        </w:rPr>
        <w:t xml:space="preserve"> </w:t>
      </w:r>
      <w:r>
        <w:rPr>
          <w:noProof/>
          <w:color w:val="00000A"/>
        </w:rPr>
        <w:t xml:space="preserve">Посоченият срок може да се удължи с </w:t>
      </w:r>
      <w:r>
        <w:rPr>
          <w:noProof/>
          <w:color w:val="00B050"/>
        </w:rPr>
        <w:t>[един месец]</w:t>
      </w:r>
      <w:r>
        <w:rPr>
          <w:noProof/>
          <w:color w:val="00000A"/>
        </w:rPr>
        <w:t xml:space="preserve"> по инициатива на Европейския парламент или на Съвета.</w:t>
      </w:r>
    </w:p>
    <w:p>
      <w:pPr>
        <w:keepNext/>
        <w:spacing w:before="360"/>
        <w:jc w:val="center"/>
        <w:rPr>
          <w:i/>
          <w:noProof/>
          <w:color w:val="00000A"/>
        </w:rPr>
      </w:pPr>
      <w:r>
        <w:rPr>
          <w:i/>
          <w:noProof/>
          <w:color w:val="00000A"/>
        </w:rPr>
        <w:t xml:space="preserve">Член 4 </w:t>
      </w:r>
    </w:p>
    <w:p>
      <w:pPr>
        <w:rPr>
          <w:noProof/>
          <w:color w:val="00000A"/>
        </w:rPr>
      </w:pPr>
      <w:r>
        <w:rPr>
          <w:noProof/>
          <w:color w:val="00000A"/>
        </w:rPr>
        <w:t xml:space="preserve">Настоящият регламент влиза в сила на двадесетия ден след деня на публикуването му в </w:t>
      </w:r>
      <w:r>
        <w:rPr>
          <w:i/>
          <w:noProof/>
          <w:color w:val="00000A"/>
        </w:rPr>
        <w:t>Официален вестник на Европейския съюз</w:t>
      </w:r>
      <w:r>
        <w:rPr>
          <w:noProof/>
          <w:color w:val="00000A"/>
        </w:rPr>
        <w:t>.</w:t>
      </w:r>
    </w:p>
    <w:p>
      <w:pPr>
        <w:rPr>
          <w:noProof/>
          <w:color w:val="00000A"/>
        </w:rPr>
      </w:pPr>
      <w:r>
        <w:rPr>
          <w:noProof/>
          <w:color w:val="00000A"/>
        </w:rPr>
        <w:t xml:space="preserve">Членове 1 и 2 се прилагат от датата, на която правото на Съюза престане да се прилага по отношение на Обединеното кралство в съответствие със сключеното от Съюза и Обединеното кралство споразумение в съответствие с член 50 от Договора за Европейския съюз, или при липсата на такова споразумение — от 30 март 2019 г. </w:t>
      </w:r>
    </w:p>
    <w:p>
      <w:pPr>
        <w:rPr>
          <w:noProof/>
          <w:color w:val="00000A"/>
        </w:rPr>
      </w:pPr>
      <w:r>
        <w:rPr>
          <w:noProof/>
          <w:color w:val="00000A"/>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FCF5AA" w15:done="0"/>
  <w15:commentEx w15:paraId="39A83F87" w15:done="0"/>
  <w15:commentEx w15:paraId="27EE0780" w15:done="0"/>
  <w15:commentEx w15:paraId="7D0F2DB6" w15:done="0"/>
  <w15:commentEx w15:paraId="52CE51ED" w15:done="0"/>
  <w15:commentEx w15:paraId="5C438BA8" w15:done="0"/>
  <w15:commentEx w15:paraId="54033544" w15:done="0"/>
  <w15:commentEx w15:paraId="6CE25DA6" w15:done="0"/>
  <w15:commentEx w15:paraId="578CC564" w15:done="0"/>
  <w15:commentEx w15:paraId="78BA2F9F" w15:done="0"/>
  <w15:commentEx w15:paraId="304E48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Съвета (ОВ L 347, 20.12.2013 г., стр. 671).</w:t>
      </w:r>
    </w:p>
  </w:footnote>
  <w:footnote w:id="2">
    <w:p>
      <w:pPr>
        <w:pStyle w:val="FootnoteText"/>
      </w:pPr>
      <w:r>
        <w:rPr>
          <w:rStyle w:val="FootnoteReference"/>
        </w:rPr>
        <w:footnoteRef/>
      </w:r>
      <w:r>
        <w:tab/>
        <w:t>Регламент (ЕО) № 32/2000 на Съвета от 17 декември 1999 г. за откриване и управление на тарифни квоти на Общността, обвързани в ГАТТ, както и на някои други тарифни квоти на Общността, и за установяване на подробни правила във връзка с уточняването на квотите и за отмяна на Регламент (ЕО) № 1808/95 на Съвета (OВ L 5, 8.1.2000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F00EF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F2CE5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AEC7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267D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383A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2A84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607340"/>
    <w:lvl w:ilvl="0">
      <w:start w:val="1"/>
      <w:numFmt w:val="decimal"/>
      <w:pStyle w:val="ListNumber"/>
      <w:lvlText w:val="%1."/>
      <w:lvlJc w:val="left"/>
      <w:pPr>
        <w:tabs>
          <w:tab w:val="num" w:pos="360"/>
        </w:tabs>
        <w:ind w:left="360" w:hanging="360"/>
      </w:pPr>
    </w:lvl>
  </w:abstractNum>
  <w:abstractNum w:abstractNumId="7">
    <w:nsid w:val="FFFFFF89"/>
    <w:multiLevelType w:val="singleLevel"/>
    <w:tmpl w:val="E7DC91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DAL PUIG Ramon (SJ)">
    <w15:presenceInfo w15:providerId="None" w15:userId="VIDAL PUIG Ramon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8 16:26:3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18D8913-487D-4E5B-A48C-FBEF06FE95F2"/>
    <w:docVar w:name="LW_COVERPAGE_TYPE" w:val="1"/>
    <w:docVar w:name="LW_CROSSREFERENCE" w:val="&lt;UNUSED&gt;"/>
    <w:docVar w:name="LW_DocType" w:val="COM"/>
    <w:docVar w:name="LW_EMISSION" w:val="22.5.2018"/>
    <w:docVar w:name="LW_EMISSION_ISODATE" w:val="2018-05-22"/>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58"/>
    <w:docVar w:name="LW_REF.II.NEW.CP_YEAR" w:val="2018"/>
    <w:docVar w:name="LW_REF.INST.NEW" w:val="COM"/>
    <w:docVar w:name="LW_REF.INST.NEW_ADOPTED" w:val="final"/>
    <w:docVar w:name="LW_REF.INST.NEW_TEXT" w:val="(2018) 3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7?\u1088?\u1086?\u1087?\u1086?\u1088?\u1094?\u1080?\u1086?\u1085?\u1072?\u1083?\u1085?\u1086? \u1088?\u1072?\u1079?\u1087?\u1088?\u1077?\u1076?\u1077?\u1083?\u1103?\u1085?\u1077? \u1085?\u1072? \u1090?\u1072?\u1088?\u1080?\u1092?\u1085?\u1080?\u1090?\u1077? \u1082?\u1074?\u1086?\u1090?\u1080?, \u1074?\u1082?\u1083?\u1102?\u1095?\u1077?\u1085?\u1080? \u1074? \u1089?\u1087?\u1080?\u1089?\u1098?\u1082?\u1072? \u1085?\u1072? \u1057?\u1098?\u1102?\u1079?\u1072? \u1074? \u1088?\u1072?\u1084?\u1082?\u1080?\u1090?\u1077? \u1085?\u1072? \u1057?\u1058?\u1054?, \u1089?\u1083?\u1077?\u1076? \u1086?\u1090?\u1090?\u1077?\u1075?\u1083?\u1103?\u1085?\u1077?\u1090?\u1086? \u1085?\u1072? \u1054?\u1073?\u1077?\u1076?\u1080?\u1085?\u1077?\u1085?\u1086?\u1090?\u1086? \u1082?\u1088?\u1072?\u1083?\u1089?\u1090?\u1074?\u1086? \u1086?\u1090? \u1057?\u1098?\u1102?\u1079?\u1072?, \u1080? \u1079?\u1072? \u1080?\u1079?\u1084?\u1077?\u1085?\u1077?\u1085?\u1080?\u1077? \u1085?\u1072? \u1056?\u1077?\u1075?\u1083?\u1072?\u1084?\u1077?\u1085?\u1090? (\u1045?\u1054?) \u8470? 32/2000 \u1085?\u1072? \u1057?\u1098?\u1074?\u1077?\u1090?\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doc-first">
    <w:name w:val="title-doc-first"/>
    <w:basedOn w:val="Normal"/>
    <w:pPr>
      <w:spacing w:before="100" w:beforeAutospacing="1" w:after="100" w:afterAutospacing="1"/>
      <w:jc w:val="left"/>
    </w:pPr>
    <w:rPr>
      <w:rFonts w:eastAsia="Times New Roman"/>
      <w:szCs w:val="24"/>
    </w:rPr>
  </w:style>
  <w:style w:type="paragraph" w:customStyle="1" w:styleId="title-doc-last">
    <w:name w:val="title-doc-last"/>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paragraph" w:customStyle="1" w:styleId="title-doc-oj-reference">
    <w:name w:val="title-doc-oj-reference"/>
    <w:basedOn w:val="Normal"/>
    <w:pPr>
      <w:spacing w:before="100" w:beforeAutospacing="1" w:after="100" w:afterAutospacing="1"/>
      <w:jc w:val="left"/>
    </w:pPr>
    <w:rPr>
      <w:rFonts w:eastAsia="Times New Roman"/>
      <w:szCs w:val="24"/>
    </w:rPr>
  </w:style>
  <w:style w:type="paragraph" w:customStyle="1" w:styleId="tbl-norm">
    <w:name w:val="tbl-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paragraph" w:customStyle="1" w:styleId="item-none">
    <w:name w:val="item-none"/>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954F72"/>
      <w:u w:val="single"/>
    </w:rPr>
  </w:style>
  <w:style w:type="paragraph" w:customStyle="1" w:styleId="xl66">
    <w:name w:val="xl66"/>
    <w:basedOn w:val="Normal"/>
    <w:pPr>
      <w:spacing w:before="100" w:beforeAutospacing="1" w:after="100" w:afterAutospacing="1"/>
      <w:jc w:val="left"/>
    </w:pPr>
    <w:rPr>
      <w:rFonts w:eastAsia="Times New Roman"/>
      <w:sz w:val="20"/>
      <w:szCs w:val="20"/>
    </w:rPr>
  </w:style>
  <w:style w:type="paragraph" w:customStyle="1" w:styleId="xl67">
    <w:name w:val="xl67"/>
    <w:basedOn w:val="Normal"/>
    <w:pPr>
      <w:spacing w:before="100" w:beforeAutospacing="1" w:after="100" w:afterAutospacing="1"/>
      <w:jc w:val="left"/>
    </w:pPr>
    <w:rPr>
      <w:rFonts w:eastAsia="Times New Roman"/>
      <w:b/>
      <w:bCs/>
      <w:sz w:val="20"/>
      <w:szCs w:val="20"/>
    </w:rPr>
  </w:style>
  <w:style w:type="paragraph" w:customStyle="1" w:styleId="xl68">
    <w:name w:val="xl68"/>
    <w:basedOn w:val="Normal"/>
    <w:pPr>
      <w:spacing w:before="100" w:beforeAutospacing="1" w:after="100" w:afterAutospacing="1"/>
      <w:jc w:val="left"/>
    </w:pPr>
    <w:rPr>
      <w:rFonts w:eastAsia="Times New Roman"/>
      <w:b/>
      <w:bCs/>
      <w:sz w:val="20"/>
      <w:szCs w:val="20"/>
    </w:rPr>
  </w:style>
  <w:style w:type="paragraph" w:customStyle="1" w:styleId="xl69">
    <w:name w:val="xl69"/>
    <w:basedOn w:val="Normal"/>
    <w:pPr>
      <w:spacing w:before="100" w:beforeAutospacing="1" w:after="100" w:afterAutospacing="1"/>
      <w:jc w:val="left"/>
    </w:pPr>
    <w:rPr>
      <w:rFonts w:eastAsia="Times New Roman"/>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0">
    <w:name w:val="xl80"/>
    <w:basedOn w:val="Normal"/>
    <w:pPr>
      <w:spacing w:before="100" w:beforeAutospacing="1" w:after="100" w:afterAutospacing="1"/>
      <w:jc w:val="left"/>
    </w:pPr>
    <w:rPr>
      <w:rFonts w:eastAsia="Times New Roman"/>
      <w:b/>
      <w:bCs/>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5">
    <w:name w:val="xl85"/>
    <w:basedOn w:val="Normal"/>
    <w:pPr>
      <w:shd w:val="clear" w:color="000000" w:fill="FFFF00"/>
      <w:spacing w:before="100" w:beforeAutospacing="1" w:after="100" w:afterAutospacing="1"/>
      <w:jc w:val="left"/>
    </w:pPr>
    <w:rPr>
      <w:rFonts w:eastAsia="Times New Roman"/>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91">
    <w:name w:val="xl91"/>
    <w:basedOn w:val="Normal"/>
    <w:pPr>
      <w:shd w:val="clear" w:color="000000" w:fill="FFFFFF"/>
      <w:spacing w:before="100" w:beforeAutospacing="1" w:after="100" w:afterAutospacing="1"/>
      <w:jc w:val="left"/>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FF0000"/>
      <w:sz w:val="20"/>
      <w:szCs w:val="2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4">
    <w:name w:val="xl11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doc-first">
    <w:name w:val="title-doc-first"/>
    <w:basedOn w:val="Normal"/>
    <w:pPr>
      <w:spacing w:before="100" w:beforeAutospacing="1" w:after="100" w:afterAutospacing="1"/>
      <w:jc w:val="left"/>
    </w:pPr>
    <w:rPr>
      <w:rFonts w:eastAsia="Times New Roman"/>
      <w:szCs w:val="24"/>
    </w:rPr>
  </w:style>
  <w:style w:type="paragraph" w:customStyle="1" w:styleId="title-doc-last">
    <w:name w:val="title-doc-last"/>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paragraph" w:customStyle="1" w:styleId="title-doc-oj-reference">
    <w:name w:val="title-doc-oj-reference"/>
    <w:basedOn w:val="Normal"/>
    <w:pPr>
      <w:spacing w:before="100" w:beforeAutospacing="1" w:after="100" w:afterAutospacing="1"/>
      <w:jc w:val="left"/>
    </w:pPr>
    <w:rPr>
      <w:rFonts w:eastAsia="Times New Roman"/>
      <w:szCs w:val="24"/>
    </w:rPr>
  </w:style>
  <w:style w:type="paragraph" w:customStyle="1" w:styleId="tbl-norm">
    <w:name w:val="tbl-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paragraph" w:customStyle="1" w:styleId="item-none">
    <w:name w:val="item-none"/>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954F72"/>
      <w:u w:val="single"/>
    </w:rPr>
  </w:style>
  <w:style w:type="paragraph" w:customStyle="1" w:styleId="xl66">
    <w:name w:val="xl66"/>
    <w:basedOn w:val="Normal"/>
    <w:pPr>
      <w:spacing w:before="100" w:beforeAutospacing="1" w:after="100" w:afterAutospacing="1"/>
      <w:jc w:val="left"/>
    </w:pPr>
    <w:rPr>
      <w:rFonts w:eastAsia="Times New Roman"/>
      <w:sz w:val="20"/>
      <w:szCs w:val="20"/>
    </w:rPr>
  </w:style>
  <w:style w:type="paragraph" w:customStyle="1" w:styleId="xl67">
    <w:name w:val="xl67"/>
    <w:basedOn w:val="Normal"/>
    <w:pPr>
      <w:spacing w:before="100" w:beforeAutospacing="1" w:after="100" w:afterAutospacing="1"/>
      <w:jc w:val="left"/>
    </w:pPr>
    <w:rPr>
      <w:rFonts w:eastAsia="Times New Roman"/>
      <w:b/>
      <w:bCs/>
      <w:sz w:val="20"/>
      <w:szCs w:val="20"/>
    </w:rPr>
  </w:style>
  <w:style w:type="paragraph" w:customStyle="1" w:styleId="xl68">
    <w:name w:val="xl68"/>
    <w:basedOn w:val="Normal"/>
    <w:pPr>
      <w:spacing w:before="100" w:beforeAutospacing="1" w:after="100" w:afterAutospacing="1"/>
      <w:jc w:val="left"/>
    </w:pPr>
    <w:rPr>
      <w:rFonts w:eastAsia="Times New Roman"/>
      <w:b/>
      <w:bCs/>
      <w:sz w:val="20"/>
      <w:szCs w:val="20"/>
    </w:rPr>
  </w:style>
  <w:style w:type="paragraph" w:customStyle="1" w:styleId="xl69">
    <w:name w:val="xl69"/>
    <w:basedOn w:val="Normal"/>
    <w:pPr>
      <w:spacing w:before="100" w:beforeAutospacing="1" w:after="100" w:afterAutospacing="1"/>
      <w:jc w:val="left"/>
    </w:pPr>
    <w:rPr>
      <w:rFonts w:eastAsia="Times New Roman"/>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5B9BD5" w:fill="F4B084"/>
      <w:spacing w:before="100" w:beforeAutospacing="1" w:after="100" w:afterAutospacing="1"/>
      <w:jc w:val="center"/>
      <w:textAlignment w:val="center"/>
    </w:pPr>
    <w:rPr>
      <w:rFonts w:eastAsia="Times New Roman"/>
      <w:b/>
      <w:bCs/>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0">
    <w:name w:val="xl80"/>
    <w:basedOn w:val="Normal"/>
    <w:pPr>
      <w:spacing w:before="100" w:beforeAutospacing="1" w:after="100" w:afterAutospacing="1"/>
      <w:jc w:val="left"/>
    </w:pPr>
    <w:rPr>
      <w:rFonts w:eastAsia="Times New Roman"/>
      <w:b/>
      <w:bCs/>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5">
    <w:name w:val="xl85"/>
    <w:basedOn w:val="Normal"/>
    <w:pPr>
      <w:shd w:val="clear" w:color="000000" w:fill="FFFF00"/>
      <w:spacing w:before="100" w:beforeAutospacing="1" w:after="100" w:afterAutospacing="1"/>
      <w:jc w:val="left"/>
    </w:pPr>
    <w:rPr>
      <w:rFonts w:eastAsia="Times New Roman"/>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91">
    <w:name w:val="xl91"/>
    <w:basedOn w:val="Normal"/>
    <w:pPr>
      <w:shd w:val="clear" w:color="000000" w:fill="FFFFFF"/>
      <w:spacing w:before="100" w:beforeAutospacing="1" w:after="100" w:afterAutospacing="1"/>
      <w:jc w:val="left"/>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FF0000"/>
      <w:sz w:val="20"/>
      <w:szCs w:val="2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b/>
      <w:bCs/>
      <w:sz w:val="20"/>
      <w:szCs w:val="20"/>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5B9BD5" w:fill="ACB9CA"/>
      <w:spacing w:before="100" w:beforeAutospacing="1" w:after="100" w:afterAutospacing="1"/>
      <w:jc w:val="center"/>
      <w:textAlignment w:val="top"/>
    </w:pPr>
    <w:rPr>
      <w:rFonts w:eastAsia="Times New Roman"/>
      <w:b/>
      <w:bCs/>
      <w:sz w:val="20"/>
      <w:szCs w:val="20"/>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top"/>
    </w:pPr>
    <w:rPr>
      <w:rFonts w:eastAsia="Times New Roman"/>
      <w:b/>
      <w:bCs/>
      <w:sz w:val="20"/>
      <w:szCs w:val="20"/>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4">
    <w:name w:val="xl11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35783">
      <w:bodyDiv w:val="1"/>
      <w:marLeft w:val="0"/>
      <w:marRight w:val="0"/>
      <w:marTop w:val="0"/>
      <w:marBottom w:val="0"/>
      <w:divBdr>
        <w:top w:val="none" w:sz="0" w:space="0" w:color="auto"/>
        <w:left w:val="none" w:sz="0" w:space="0" w:color="auto"/>
        <w:bottom w:val="none" w:sz="0" w:space="0" w:color="auto"/>
        <w:right w:val="none" w:sz="0" w:space="0" w:color="auto"/>
      </w:divBdr>
    </w:div>
    <w:div w:id="382414019">
      <w:bodyDiv w:val="1"/>
      <w:marLeft w:val="0"/>
      <w:marRight w:val="0"/>
      <w:marTop w:val="0"/>
      <w:marBottom w:val="0"/>
      <w:divBdr>
        <w:top w:val="none" w:sz="0" w:space="0" w:color="auto"/>
        <w:left w:val="none" w:sz="0" w:space="0" w:color="auto"/>
        <w:bottom w:val="none" w:sz="0" w:space="0" w:color="auto"/>
        <w:right w:val="none" w:sz="0" w:space="0" w:color="auto"/>
      </w:divBdr>
    </w:div>
    <w:div w:id="704915319">
      <w:bodyDiv w:val="1"/>
      <w:marLeft w:val="0"/>
      <w:marRight w:val="0"/>
      <w:marTop w:val="0"/>
      <w:marBottom w:val="0"/>
      <w:divBdr>
        <w:top w:val="none" w:sz="0" w:space="0" w:color="auto"/>
        <w:left w:val="none" w:sz="0" w:space="0" w:color="auto"/>
        <w:bottom w:val="none" w:sz="0" w:space="0" w:color="auto"/>
        <w:right w:val="none" w:sz="0" w:space="0" w:color="auto"/>
      </w:divBdr>
    </w:div>
    <w:div w:id="1303193973">
      <w:bodyDiv w:val="1"/>
      <w:marLeft w:val="0"/>
      <w:marRight w:val="0"/>
      <w:marTop w:val="0"/>
      <w:marBottom w:val="0"/>
      <w:divBdr>
        <w:top w:val="none" w:sz="0" w:space="0" w:color="auto"/>
        <w:left w:val="none" w:sz="0" w:space="0" w:color="auto"/>
        <w:bottom w:val="none" w:sz="0" w:space="0" w:color="auto"/>
        <w:right w:val="none" w:sz="0" w:space="0" w:color="auto"/>
      </w:divBdr>
      <w:divsChild>
        <w:div w:id="1685206966">
          <w:marLeft w:val="240"/>
          <w:marRight w:val="0"/>
          <w:marTop w:val="0"/>
          <w:marBottom w:val="0"/>
          <w:divBdr>
            <w:top w:val="none" w:sz="0" w:space="0" w:color="auto"/>
            <w:left w:val="none" w:sz="0" w:space="0" w:color="auto"/>
            <w:bottom w:val="none" w:sz="0" w:space="0" w:color="auto"/>
            <w:right w:val="none" w:sz="0" w:space="0" w:color="auto"/>
          </w:divBdr>
        </w:div>
        <w:div w:id="2125881830">
          <w:marLeft w:val="240"/>
          <w:marRight w:val="0"/>
          <w:marTop w:val="0"/>
          <w:marBottom w:val="0"/>
          <w:divBdr>
            <w:top w:val="none" w:sz="0" w:space="0" w:color="auto"/>
            <w:left w:val="none" w:sz="0" w:space="0" w:color="auto"/>
            <w:bottom w:val="none" w:sz="0" w:space="0" w:color="auto"/>
            <w:right w:val="none" w:sz="0" w:space="0" w:color="auto"/>
          </w:divBdr>
        </w:div>
      </w:divsChild>
    </w:div>
    <w:div w:id="1835339065">
      <w:bodyDiv w:val="1"/>
      <w:marLeft w:val="0"/>
      <w:marRight w:val="0"/>
      <w:marTop w:val="0"/>
      <w:marBottom w:val="0"/>
      <w:divBdr>
        <w:top w:val="none" w:sz="0" w:space="0" w:color="auto"/>
        <w:left w:val="none" w:sz="0" w:space="0" w:color="auto"/>
        <w:bottom w:val="none" w:sz="0" w:space="0" w:color="auto"/>
        <w:right w:val="none" w:sz="0" w:space="0" w:color="auto"/>
      </w:divBdr>
    </w:div>
    <w:div w:id="1976638858">
      <w:bodyDiv w:val="1"/>
      <w:marLeft w:val="0"/>
      <w:marRight w:val="0"/>
      <w:marTop w:val="0"/>
      <w:marBottom w:val="0"/>
      <w:divBdr>
        <w:top w:val="none" w:sz="0" w:space="0" w:color="auto"/>
        <w:left w:val="none" w:sz="0" w:space="0" w:color="auto"/>
        <w:bottom w:val="none" w:sz="0" w:space="0" w:color="auto"/>
        <w:right w:val="none" w:sz="0" w:space="0" w:color="auto"/>
      </w:divBdr>
    </w:div>
    <w:div w:id="19774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F3E05E-B773-4249-961A-601BC0A2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3386</Words>
  <Characters>18827</Characters>
  <Application>Microsoft Office Word</Application>
  <DocSecurity>0</DocSecurity>
  <Lines>355</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2018-05-14T09:30:00Z</cp:lastPrinted>
  <dcterms:created xsi:type="dcterms:W3CDTF">2018-05-16T07:51:00Z</dcterms:created>
  <dcterms:modified xsi:type="dcterms:W3CDTF">2018-05-18T14:26:00Z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