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E0" w:rsidRDefault="002D5C64" w:rsidP="002D5C6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1AEBED4-9E76-4F99-8F5D-9991F2464E24" style="width:450.75pt;height:397.5pt">
            <v:imagedata r:id="rId9" o:title=""/>
          </v:shape>
        </w:pict>
      </w:r>
    </w:p>
    <w:p w:rsidR="006228E0" w:rsidRDefault="006228E0">
      <w:pPr>
        <w:rPr>
          <w:noProof/>
        </w:rPr>
        <w:sectPr w:rsidR="006228E0" w:rsidSect="002D5C6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6228E0" w:rsidRDefault="002D5C64">
      <w:pPr>
        <w:pStyle w:val="Annexetitre"/>
        <w:rPr>
          <w:noProof/>
        </w:rPr>
      </w:pPr>
      <w:bookmarkStart w:id="0" w:name="_GoBack"/>
      <w:bookmarkEnd w:id="0"/>
      <w:r>
        <w:rPr>
          <w:noProof/>
        </w:rPr>
        <w:lastRenderedPageBreak/>
        <w:t>ANNEX</w:t>
      </w:r>
    </w:p>
    <w:p w:rsidR="006228E0" w:rsidRDefault="006228E0">
      <w:pPr>
        <w:tabs>
          <w:tab w:val="left" w:pos="4252"/>
        </w:tabs>
        <w:spacing w:before="0" w:after="0"/>
        <w:jc w:val="left"/>
        <w:rPr>
          <w:b/>
          <w:noProof/>
          <w:szCs w:val="24"/>
        </w:rPr>
      </w:pPr>
    </w:p>
    <w:p w:rsidR="006228E0" w:rsidRDefault="006228E0">
      <w:pPr>
        <w:tabs>
          <w:tab w:val="left" w:pos="4252"/>
        </w:tabs>
        <w:spacing w:before="0" w:after="0"/>
        <w:jc w:val="left"/>
        <w:rPr>
          <w:b/>
          <w:noProof/>
          <w:szCs w:val="24"/>
        </w:rPr>
      </w:pPr>
    </w:p>
    <w:p w:rsidR="006228E0" w:rsidRDefault="002D5C64">
      <w:pPr>
        <w:tabs>
          <w:tab w:val="left" w:pos="4252"/>
        </w:tabs>
        <w:spacing w:before="0" w:after="0"/>
        <w:jc w:val="left"/>
        <w:rPr>
          <w:rFonts w:asciiTheme="minorHAnsi" w:hAnsiTheme="minorHAnsi" w:cstheme="minorBidi"/>
          <w:noProof/>
          <w:sz w:val="18"/>
          <w:szCs w:val="18"/>
          <w:lang w:val="en-US"/>
        </w:rPr>
      </w:pPr>
      <w:r>
        <w:rPr>
          <w:b/>
          <w:noProof/>
          <w:szCs w:val="24"/>
        </w:rPr>
        <w:t>Part A</w:t>
      </w:r>
    </w:p>
    <w:tbl>
      <w:tblPr>
        <w:tblW w:w="4789" w:type="pct"/>
        <w:tblLayout w:type="fixed"/>
        <w:tblLook w:val="04A0" w:firstRow="1" w:lastRow="0" w:firstColumn="1" w:lastColumn="0" w:noHBand="0" w:noVBand="1"/>
      </w:tblPr>
      <w:tblGrid>
        <w:gridCol w:w="3085"/>
        <w:gridCol w:w="1278"/>
        <w:gridCol w:w="851"/>
        <w:gridCol w:w="706"/>
        <w:gridCol w:w="852"/>
        <w:gridCol w:w="995"/>
        <w:gridCol w:w="1130"/>
      </w:tblGrid>
      <w:tr w:rsidR="006228E0">
        <w:trPr>
          <w:cantSplit/>
          <w:trHeight w:val="1134"/>
          <w:tblHeader/>
        </w:trPr>
        <w:tc>
          <w:tcPr>
            <w:tcW w:w="1734" w:type="pct"/>
            <w:tcBorders>
              <w:top w:val="single" w:sz="4" w:space="0" w:color="auto"/>
              <w:left w:val="single" w:sz="4" w:space="0" w:color="auto"/>
              <w:bottom w:val="single" w:sz="4" w:space="0" w:color="auto"/>
              <w:right w:val="single" w:sz="4" w:space="0" w:color="auto"/>
            </w:tcBorders>
            <w:shd w:val="clear" w:color="5B9BD5" w:fill="F4B084"/>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Product Description</w:t>
            </w:r>
          </w:p>
        </w:tc>
        <w:tc>
          <w:tcPr>
            <w:tcW w:w="718" w:type="pct"/>
            <w:tcBorders>
              <w:top w:val="single" w:sz="4" w:space="0" w:color="auto"/>
              <w:left w:val="nil"/>
              <w:bottom w:val="single" w:sz="4" w:space="0" w:color="auto"/>
              <w:right w:val="single" w:sz="4" w:space="0" w:color="auto"/>
            </w:tcBorders>
            <w:shd w:val="clear" w:color="5B9BD5" w:fill="F4B084"/>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Unit</w:t>
            </w:r>
          </w:p>
        </w:tc>
        <w:tc>
          <w:tcPr>
            <w:tcW w:w="478" w:type="pct"/>
            <w:tcBorders>
              <w:top w:val="single" w:sz="4" w:space="0" w:color="auto"/>
              <w:left w:val="nil"/>
              <w:bottom w:val="single" w:sz="4" w:space="0" w:color="auto"/>
              <w:right w:val="single" w:sz="4" w:space="0" w:color="auto"/>
            </w:tcBorders>
            <w:shd w:val="clear" w:color="5B9BD5" w:fill="F4B084"/>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EU28 scheduled quantity</w:t>
            </w:r>
          </w:p>
        </w:tc>
        <w:tc>
          <w:tcPr>
            <w:tcW w:w="397"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Country</w:t>
            </w:r>
            <w:r>
              <w:rPr>
                <w:rStyle w:val="FootnoteReference"/>
                <w:rFonts w:eastAsia="Times New Roman"/>
                <w:b/>
                <w:bCs/>
                <w:noProof/>
                <w:sz w:val="18"/>
                <w:szCs w:val="18"/>
                <w:lang w:eastAsia="en-GB"/>
              </w:rPr>
              <w:footnoteReference w:id="1"/>
            </w:r>
          </w:p>
        </w:tc>
        <w:tc>
          <w:tcPr>
            <w:tcW w:w="479"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Order number</w:t>
            </w:r>
          </w:p>
        </w:tc>
        <w:tc>
          <w:tcPr>
            <w:tcW w:w="559"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6228E0" w:rsidRDefault="002D5C64">
            <w:pPr>
              <w:spacing w:before="0" w:after="0"/>
              <w:ind w:left="113" w:right="113"/>
              <w:jc w:val="center"/>
              <w:rPr>
                <w:rFonts w:eastAsia="Times New Roman"/>
                <w:b/>
                <w:bCs/>
                <w:noProof/>
                <w:sz w:val="18"/>
                <w:szCs w:val="18"/>
                <w:lang w:val="it-IT" w:eastAsia="en-GB"/>
              </w:rPr>
            </w:pPr>
            <w:r>
              <w:rPr>
                <w:rFonts w:eastAsia="Times New Roman"/>
                <w:b/>
                <w:bCs/>
                <w:noProof/>
                <w:sz w:val="18"/>
                <w:szCs w:val="18"/>
                <w:lang w:val="it-IT" w:eastAsia="en-GB"/>
              </w:rPr>
              <w:t>EU27 share in quota usage</w:t>
            </w:r>
            <w:r>
              <w:rPr>
                <w:rStyle w:val="FootnoteReference"/>
                <w:rFonts w:eastAsia="Times New Roman"/>
                <w:b/>
                <w:bCs/>
                <w:noProof/>
                <w:sz w:val="18"/>
                <w:szCs w:val="18"/>
                <w:lang w:val="it-IT" w:eastAsia="en-GB"/>
              </w:rPr>
              <w:footnoteReference w:id="2"/>
            </w:r>
          </w:p>
        </w:tc>
        <w:tc>
          <w:tcPr>
            <w:tcW w:w="635"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EU27-TRQ size</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Live bovine animals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head</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710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r>
              <w:rPr>
                <w:rStyle w:val="FootnoteReference"/>
                <w:rFonts w:eastAsia="Times New Roman"/>
                <w:noProof/>
                <w:sz w:val="18"/>
                <w:szCs w:val="18"/>
                <w:lang w:eastAsia="en-GB"/>
              </w:rPr>
              <w:footnoteReference w:id="3"/>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090114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710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Live bovine animals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head</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711</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090115</w:t>
            </w:r>
          </w:p>
        </w:tc>
        <w:tc>
          <w:tcPr>
            <w:tcW w:w="559" w:type="pct"/>
            <w:tcBorders>
              <w:top w:val="nil"/>
              <w:left w:val="nil"/>
              <w:bottom w:val="single" w:sz="4" w:space="0" w:color="auto"/>
              <w:right w:val="single" w:sz="4" w:space="0" w:color="auto"/>
            </w:tcBorders>
            <w:shd w:val="clear" w:color="auto" w:fill="auto"/>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711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Live bovine animals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head</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24,070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090113</w:t>
            </w:r>
          </w:p>
        </w:tc>
        <w:tc>
          <w:tcPr>
            <w:tcW w:w="559" w:type="pct"/>
            <w:tcBorders>
              <w:top w:val="nil"/>
              <w:left w:val="nil"/>
              <w:bottom w:val="single" w:sz="4" w:space="0" w:color="auto"/>
              <w:right w:val="single" w:sz="4" w:space="0" w:color="auto"/>
            </w:tcBorders>
            <w:shd w:val="clear" w:color="auto" w:fill="auto"/>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24,070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bovine animals, fresh, chilled or frozen</w:t>
            </w:r>
            <w:r>
              <w:rPr>
                <w:rFonts w:eastAsia="Times New Roman"/>
                <w:noProof/>
                <w:sz w:val="18"/>
                <w:szCs w:val="18"/>
                <w:lang w:eastAsia="en-GB"/>
              </w:rPr>
              <w:br/>
              <w:t>Edible offal of bovine animals,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(product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7,150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AUS</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094451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34.7%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2,481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noWrap/>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High quality meat with or without bone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(product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17,000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ARG</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094450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16,936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Boneless high quality meat of bovine animals, fresh or chilled</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(product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12,500</w:t>
            </w:r>
          </w:p>
        </w:tc>
        <w:tc>
          <w:tcPr>
            <w:tcW w:w="397"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479"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12,453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noWrap/>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High quality meat with or </w:t>
            </w:r>
            <w:r>
              <w:rPr>
                <w:rFonts w:eastAsia="Times New Roman"/>
                <w:noProof/>
                <w:sz w:val="18"/>
                <w:szCs w:val="18"/>
                <w:lang w:eastAsia="en-GB"/>
              </w:rPr>
              <w:t>without bone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(product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2,300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URY</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094452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87.9%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2,022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Boneless high quilati meat of bovine animals, fresh or chilled</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(product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4,076</w:t>
            </w:r>
          </w:p>
        </w:tc>
        <w:tc>
          <w:tcPr>
            <w:tcW w:w="397"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479"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87.9%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3,584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bovine animals, fresh, chilled or frozen</w:t>
            </w:r>
            <w:r>
              <w:rPr>
                <w:rFonts w:eastAsia="Times New Roman"/>
                <w:noProof/>
                <w:sz w:val="18"/>
                <w:szCs w:val="18"/>
                <w:lang w:eastAsia="en-GB"/>
              </w:rPr>
              <w:br/>
              <w:t xml:space="preserve">Edible offal of bovine animals, fresh, </w:t>
            </w:r>
            <w:r>
              <w:rPr>
                <w:rFonts w:eastAsia="Times New Roman"/>
                <w:noProof/>
                <w:sz w:val="18"/>
                <w:szCs w:val="18"/>
                <w:lang w:eastAsia="en-GB"/>
              </w:rPr>
              <w:t>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(product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11,500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USA / CAN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094002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11,481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High quality meat of bovine animals,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noProof/>
                <w:sz w:val="18"/>
                <w:szCs w:val="18"/>
                <w:lang w:eastAsia="en-GB"/>
              </w:rPr>
            </w:pP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PAR</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094455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71.1%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711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High quality meat of bovine animals,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1,300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NZL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094454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65.1%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846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Boneless meat of bovine animals, fresh, chilled or frozen</w:t>
            </w:r>
            <w:r>
              <w:rPr>
                <w:rFonts w:eastAsia="Times New Roman"/>
                <w:noProof/>
                <w:sz w:val="18"/>
                <w:szCs w:val="18"/>
                <w:lang w:eastAsia="en-GB"/>
              </w:rPr>
              <w:br/>
              <w:t>Edible offal of bovine animals,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094453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89.5%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8,951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bovine animals, frozen</w:t>
            </w:r>
            <w:r>
              <w:rPr>
                <w:rFonts w:eastAsia="Times New Roman"/>
                <w:noProof/>
                <w:sz w:val="18"/>
                <w:szCs w:val="18"/>
                <w:lang w:eastAsia="en-GB"/>
              </w:rPr>
              <w:br/>
              <w:t>Edible offal of bovine animals,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(boneless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54,875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094003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79.7%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43,732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Boneless buffalo meat,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(without bone)</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2,250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AUS</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094001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62.4%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1,405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Boneless buffalo meat, frozen</w:t>
            </w:r>
            <w:r>
              <w:rPr>
                <w:rFonts w:eastAsia="Times New Roman"/>
                <w:noProof/>
                <w:sz w:val="18"/>
                <w:szCs w:val="18"/>
                <w:lang w:eastAsia="en-GB"/>
              </w:rPr>
              <w:br/>
              <w:t>Boneless buffalo meat,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(without bone)</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ARG</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094004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lastRenderedPageBreak/>
              <w:t>Meat of bovine animals, frozen</w:t>
            </w:r>
            <w:r>
              <w:rPr>
                <w:rFonts w:eastAsia="Times New Roman"/>
                <w:noProof/>
                <w:sz w:val="18"/>
                <w:szCs w:val="18"/>
                <w:lang w:eastAsia="en-GB"/>
              </w:rPr>
              <w:br/>
              <w:t xml:space="preserve">Edible offal </w:t>
            </w:r>
            <w:r>
              <w:rPr>
                <w:rFonts w:eastAsia="Times New Roman"/>
                <w:noProof/>
                <w:sz w:val="18"/>
                <w:szCs w:val="18"/>
                <w:lang w:eastAsia="en-GB"/>
              </w:rPr>
              <w:t>of bovine animals,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(bone-in weight)</w:t>
            </w:r>
          </w:p>
        </w:tc>
        <w:tc>
          <w:tcPr>
            <w:tcW w:w="478" w:type="pct"/>
            <w:vMerge w:val="restart"/>
            <w:tcBorders>
              <w:top w:val="nil"/>
              <w:left w:val="single" w:sz="4" w:space="0" w:color="auto"/>
              <w:bottom w:val="single" w:sz="4" w:space="0" w:color="000000"/>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63,703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094057</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30.9%</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19,676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bovine animals, frozen</w:t>
            </w:r>
            <w:r>
              <w:rPr>
                <w:rFonts w:eastAsia="Times New Roman"/>
                <w:noProof/>
                <w:sz w:val="18"/>
                <w:szCs w:val="18"/>
                <w:lang w:eastAsia="en-GB"/>
              </w:rPr>
              <w:br/>
              <w:t>Edible offal of bovine animals,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(bone-in weight)</w:t>
            </w:r>
          </w:p>
        </w:tc>
        <w:tc>
          <w:tcPr>
            <w:tcW w:w="478" w:type="pct"/>
            <w:vMerge/>
            <w:tcBorders>
              <w:top w:val="nil"/>
              <w:left w:val="single" w:sz="4" w:space="0" w:color="auto"/>
              <w:bottom w:val="single" w:sz="4" w:space="0" w:color="000000"/>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094058</w:t>
            </w:r>
          </w:p>
        </w:tc>
        <w:tc>
          <w:tcPr>
            <w:tcW w:w="559" w:type="pct"/>
            <w:vMerge/>
            <w:tcBorders>
              <w:top w:val="nil"/>
              <w:left w:val="single" w:sz="4" w:space="0" w:color="auto"/>
              <w:bottom w:val="single" w:sz="4" w:space="0" w:color="auto"/>
              <w:right w:val="single" w:sz="4" w:space="0" w:color="auto"/>
            </w:tcBorders>
            <w:vAlign w:val="center"/>
          </w:tcPr>
          <w:p w:rsidR="006228E0" w:rsidRDefault="006228E0">
            <w:pPr>
              <w:spacing w:before="0" w:after="0"/>
              <w:jc w:val="center"/>
              <w:rPr>
                <w:rFonts w:eastAsia="Times New Roman"/>
                <w:b/>
                <w:bCs/>
                <w:noProof/>
                <w:sz w:val="18"/>
                <w:szCs w:val="18"/>
                <w:lang w:eastAsia="en-GB"/>
              </w:rPr>
            </w:pPr>
          </w:p>
        </w:tc>
        <w:tc>
          <w:tcPr>
            <w:tcW w:w="635"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b/>
                <w:bCs/>
                <w:noProof/>
                <w:sz w:val="18"/>
                <w:szCs w:val="18"/>
                <w:lang w:eastAsia="en-GB"/>
              </w:rPr>
            </w:pP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Edible offal of bovine animals,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r>
              <w:rPr>
                <w:rStyle w:val="FootnoteReference"/>
                <w:rFonts w:eastAsia="Times New Roman"/>
                <w:noProof/>
                <w:sz w:val="18"/>
                <w:szCs w:val="18"/>
                <w:lang w:eastAsia="en-GB"/>
              </w:rPr>
              <w:footnoteReference w:id="4"/>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094020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800</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Edible </w:t>
            </w:r>
            <w:r>
              <w:rPr>
                <w:rFonts w:eastAsia="Times New Roman"/>
                <w:noProof/>
                <w:sz w:val="18"/>
                <w:szCs w:val="18"/>
                <w:lang w:eastAsia="en-GB"/>
              </w:rPr>
              <w:t>offal of bovine animals,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ARG</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094460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700</w:t>
            </w:r>
          </w:p>
        </w:tc>
      </w:tr>
      <w:tr w:rsidR="006228E0">
        <w:trPr>
          <w:trHeight w:val="84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swine, fresh, chilled or frozen:</w:t>
            </w:r>
            <w:r>
              <w:rPr>
                <w:rFonts w:eastAsia="Times New Roman"/>
                <w:noProof/>
                <w:sz w:val="18"/>
                <w:szCs w:val="18"/>
                <w:lang w:eastAsia="en-GB"/>
              </w:rPr>
              <w:br/>
              <w:t>- Carcasses and half-carcasses of domestic swine,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15,067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15,067</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swine, fresh, chilled or frozen:</w:t>
            </w:r>
            <w:r>
              <w:rPr>
                <w:rFonts w:eastAsia="Times New Roman"/>
                <w:noProof/>
                <w:sz w:val="18"/>
                <w:szCs w:val="18"/>
                <w:lang w:eastAsia="en-GB"/>
              </w:rPr>
              <w:br/>
              <w:t xml:space="preserve">- Cuts </w:t>
            </w:r>
            <w:r>
              <w:rPr>
                <w:rFonts w:eastAsia="Times New Roman"/>
                <w:noProof/>
                <w:sz w:val="18"/>
                <w:szCs w:val="18"/>
                <w:lang w:eastAsia="en-GB"/>
              </w:rPr>
              <w:t>of domestic swine, fresh, chilled or frozen, with or without bone, excluding tenderloin presented separately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4,624</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CAN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094204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4,623</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swine, fresh, chilled or frozen:</w:t>
            </w:r>
            <w:r>
              <w:rPr>
                <w:rFonts w:eastAsia="Times New Roman"/>
                <w:noProof/>
                <w:sz w:val="18"/>
                <w:szCs w:val="18"/>
                <w:lang w:eastAsia="en-GB"/>
              </w:rPr>
              <w:br/>
              <w:t xml:space="preserve">- Cuts of domestic swine, fresh, chilled or frozen, with or without bone, </w:t>
            </w:r>
            <w:r>
              <w:rPr>
                <w:rFonts w:eastAsia="Times New Roman"/>
                <w:noProof/>
                <w:sz w:val="18"/>
                <w:szCs w:val="18"/>
                <w:lang w:eastAsia="en-GB"/>
              </w:rPr>
              <w:t>excluding tenderloin presented separately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6,135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6,133</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swine, fresh, chilled or frozen:</w:t>
            </w:r>
            <w:r>
              <w:rPr>
                <w:rFonts w:eastAsia="Times New Roman"/>
                <w:noProof/>
                <w:sz w:val="18"/>
                <w:szCs w:val="18"/>
                <w:lang w:eastAsia="en-GB"/>
              </w:rPr>
              <w:br/>
              <w:t>- Loins of domestic swine and cuts thereof, with bone in, fresh or chilled</w:t>
            </w:r>
            <w:r>
              <w:rPr>
                <w:rFonts w:eastAsia="Times New Roman"/>
                <w:noProof/>
                <w:sz w:val="18"/>
                <w:szCs w:val="18"/>
                <w:lang w:eastAsia="en-GB"/>
              </w:rPr>
              <w:br/>
              <w:t>- Bellies (streaky) of domestic swine and cuts thereof,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090119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7,000</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swine, fresh, chilled or frozen:</w:t>
            </w:r>
            <w:r>
              <w:rPr>
                <w:rFonts w:eastAsia="Times New Roman"/>
                <w:noProof/>
                <w:sz w:val="18"/>
                <w:szCs w:val="18"/>
                <w:lang w:eastAsia="en-GB"/>
              </w:rPr>
              <w:br/>
              <w:t>- Boneless loins and hams of domestic swine,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35,265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094038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12,680</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swine, fresh, chilled or frozen:</w:t>
            </w:r>
            <w:r>
              <w:rPr>
                <w:rFonts w:eastAsia="Times New Roman"/>
                <w:noProof/>
                <w:sz w:val="18"/>
                <w:szCs w:val="18"/>
                <w:lang w:eastAsia="en-GB"/>
              </w:rPr>
              <w:br/>
              <w:t xml:space="preserve">- Boneless loins and hams of domestic swine, </w:t>
            </w:r>
            <w:r>
              <w:rPr>
                <w:rFonts w:eastAsia="Times New Roman"/>
                <w:noProof/>
                <w:sz w:val="18"/>
                <w:szCs w:val="18"/>
                <w:lang w:eastAsia="en-GB"/>
              </w:rPr>
              <w:t>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4,922</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US</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094170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1,770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swine, fresh, chilled or frozen:</w:t>
            </w:r>
            <w:r>
              <w:rPr>
                <w:rFonts w:eastAsia="Times New Roman"/>
                <w:noProof/>
                <w:sz w:val="18"/>
                <w:szCs w:val="18"/>
                <w:lang w:eastAsia="en-GB"/>
              </w:rPr>
              <w:br/>
              <w:t>- Tenderloins of domestic swine,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090118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75.6%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3,780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Prepared or preserved meat of domestic swine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6,161</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6,161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Sausages, dry or for spreading, uncooked</w:t>
            </w:r>
            <w:r>
              <w:rPr>
                <w:rFonts w:eastAsia="Times New Roman"/>
                <w:noProof/>
                <w:sz w:val="18"/>
                <w:szCs w:val="18"/>
                <w:lang w:eastAsia="en-GB"/>
              </w:rPr>
              <w:br/>
              <w:t>Other sausages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3,002</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164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Live sheep and goats, other than pure-bred breeding animals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Live sheep and goats, other than pure-bred breeding animals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215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MKD</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noProof/>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215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Live sheep and goats, other than pure-bred breeding animals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91</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lastRenderedPageBreak/>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23,000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ARG</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73.9%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17,006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Meat of sheep </w:t>
            </w:r>
            <w:r>
              <w:rPr>
                <w:rFonts w:eastAsia="Times New Roman"/>
                <w:noProof/>
                <w:sz w:val="18"/>
                <w:szCs w:val="18"/>
                <w:lang w:eastAsia="en-GB"/>
              </w:rPr>
              <w:t>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ISL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090790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58.2%</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349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850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BIH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noProof/>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48.3%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410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19,186</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AUS</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3,837</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091922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87.6%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2,628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GRL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090693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48.3%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t </w:t>
            </w:r>
            <w:r>
              <w:rPr>
                <w:rFonts w:eastAsia="Times New Roman"/>
                <w:noProof/>
                <w:sz w:val="18"/>
                <w:szCs w:val="18"/>
                <w:lang w:eastAsia="en-GB"/>
              </w:rPr>
              <w:t>(carcasse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228,254</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NZL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114,116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5,800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URY</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82.1%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4,759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of sheep</w:t>
            </w:r>
            <w:r>
              <w:rPr>
                <w:rFonts w:eastAsia="Times New Roman"/>
                <w:noProof/>
                <w:sz w:val="18"/>
                <w:szCs w:val="18"/>
                <w:lang w:eastAsia="en-GB"/>
              </w:rPr>
              <w:t xml:space="preserve"> or goats,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(carcasse weight)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092016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89.2%</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178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Chicken carcasses,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6,249</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094067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64.9%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4,054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Chicken cuts,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8,570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094068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96.3%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8,253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Boneless cuts of fowls of the </w:t>
            </w:r>
            <w:r>
              <w:rPr>
                <w:rFonts w:eastAsia="Times New Roman"/>
                <w:noProof/>
                <w:sz w:val="18"/>
                <w:szCs w:val="18"/>
                <w:lang w:eastAsia="en-GB"/>
              </w:rPr>
              <w:t>species Gallus domesticus,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2,705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094069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89.7%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2,427</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Cuts of fowls of the species Gallus domesticus,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9,598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094410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86.6%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8,308</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Cuts of fowls of the species Gallus domesticus,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15,500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094411</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86.9%</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13,471</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Cuts of fowls of</w:t>
            </w:r>
            <w:r>
              <w:rPr>
                <w:rFonts w:eastAsia="Times New Roman"/>
                <w:noProof/>
                <w:sz w:val="18"/>
                <w:szCs w:val="18"/>
                <w:lang w:eastAsia="en-GB"/>
              </w:rPr>
              <w:t xml:space="preserve"> the species Gallus domesticus,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397"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094412</w:t>
            </w:r>
          </w:p>
        </w:tc>
        <w:tc>
          <w:tcPr>
            <w:tcW w:w="559" w:type="pct"/>
            <w:vMerge/>
            <w:tcBorders>
              <w:top w:val="nil"/>
              <w:left w:val="single" w:sz="4" w:space="0" w:color="auto"/>
              <w:bottom w:val="single" w:sz="4" w:space="0" w:color="auto"/>
              <w:right w:val="single" w:sz="4" w:space="0" w:color="auto"/>
            </w:tcBorders>
            <w:vAlign w:val="center"/>
          </w:tcPr>
          <w:p w:rsidR="006228E0" w:rsidRDefault="006228E0">
            <w:pPr>
              <w:spacing w:before="0" w:after="0"/>
              <w:jc w:val="center"/>
              <w:rPr>
                <w:rFonts w:eastAsia="Times New Roman"/>
                <w:b/>
                <w:bCs/>
                <w:noProof/>
                <w:sz w:val="18"/>
                <w:szCs w:val="18"/>
                <w:lang w:eastAsia="en-GB"/>
              </w:rPr>
            </w:pPr>
          </w:p>
        </w:tc>
        <w:tc>
          <w:tcPr>
            <w:tcW w:w="635"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b/>
                <w:bCs/>
                <w:noProof/>
                <w:sz w:val="18"/>
                <w:szCs w:val="18"/>
                <w:lang w:eastAsia="en-GB"/>
              </w:rPr>
            </w:pP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Turkey meat,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1,781</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094070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1,781</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Cuts of turkeys,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3,110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094420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86.5%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2,692</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Cuts of turkeys,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4,985</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094421</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85.3%</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4,253</w:t>
            </w:r>
          </w:p>
        </w:tc>
      </w:tr>
      <w:tr w:rsidR="006228E0">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Cuts of turkeys,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397"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094422</w:t>
            </w:r>
          </w:p>
        </w:tc>
        <w:tc>
          <w:tcPr>
            <w:tcW w:w="559" w:type="pct"/>
            <w:vMerge/>
            <w:tcBorders>
              <w:top w:val="nil"/>
              <w:left w:val="single" w:sz="4" w:space="0" w:color="auto"/>
              <w:bottom w:val="single" w:sz="4" w:space="0" w:color="auto"/>
              <w:right w:val="single" w:sz="4" w:space="0" w:color="auto"/>
            </w:tcBorders>
            <w:vAlign w:val="center"/>
          </w:tcPr>
          <w:p w:rsidR="006228E0" w:rsidRDefault="006228E0">
            <w:pPr>
              <w:spacing w:before="0" w:after="0"/>
              <w:jc w:val="center"/>
              <w:rPr>
                <w:rFonts w:eastAsia="Times New Roman"/>
                <w:b/>
                <w:bCs/>
                <w:noProof/>
                <w:sz w:val="18"/>
                <w:szCs w:val="18"/>
                <w:lang w:eastAsia="en-GB"/>
              </w:rPr>
            </w:pPr>
          </w:p>
        </w:tc>
        <w:tc>
          <w:tcPr>
            <w:tcW w:w="635"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b/>
                <w:bCs/>
                <w:noProof/>
                <w:sz w:val="18"/>
                <w:szCs w:val="18"/>
                <w:lang w:eastAsia="en-GB"/>
              </w:rPr>
            </w:pP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Meat and edible offal of poultry, fresh, chilled or frozen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21,345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USA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094169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21,345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Salted poultry meat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170,807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76.1%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129,930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Salted poultry meat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92,610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73.8%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68,385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Salted poultry meat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828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824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Prepared turkey meat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92,300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97.5%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89,950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Prepared turkey meat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11,596</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97.5%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11,301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Cooked meat of fowls of the species Gallus domesticus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79,477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66.3%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52,665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Cooked meat of fowls of the species Gallus </w:t>
            </w:r>
            <w:r>
              <w:rPr>
                <w:rFonts w:eastAsia="Times New Roman"/>
                <w:noProof/>
                <w:sz w:val="18"/>
                <w:szCs w:val="18"/>
                <w:lang w:eastAsia="en-GB"/>
              </w:rPr>
              <w:t>domesticus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160,033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68.4%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109,441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Cooked meat of fowls of the species Gallus domesticus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11,443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094216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8,471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uncooked, containing 57 % or more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15,800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69.4%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10,969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uncooked, containing 57 % or more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340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094261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69.4%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236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containing 25 % or more but less than 57 %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62,905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94.9%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59,699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containing 25 % or more but less than 57 %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14,000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57.3%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8,019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containing 25 % or more but less than 57 %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2,800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094260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59.6%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1,669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containing less than 25 %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295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55.3%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163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containing less than 25 %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2,100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55.3%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1,162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chicken meat, containing less than 25 %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470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094262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55.3%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260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duck, geese, guinea fowl meat, uncooked, containing 57 % or more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Processed </w:t>
            </w:r>
            <w:r>
              <w:rPr>
                <w:rFonts w:eastAsia="Times New Roman"/>
                <w:noProof/>
                <w:sz w:val="18"/>
                <w:szCs w:val="18"/>
                <w:lang w:eastAsia="en-GB"/>
              </w:rPr>
              <w:t>duck, geese, guinea fowl meat, cooked, containing 57 % or more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13,500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63.5%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8,572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duck, geese, guinea fowl meat, cooked, containing 57 % or more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220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094263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72.1%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159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duck, geese, guinea fowl meat, cooked, containing 25 % or more but less than 57 %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Processed duck, geese, guinea fowl meat, cooked, containing 25 % or more but less than 57 % </w:t>
            </w:r>
            <w:r>
              <w:rPr>
                <w:rFonts w:eastAsia="Times New Roman"/>
                <w:noProof/>
                <w:sz w:val="18"/>
                <w:szCs w:val="18"/>
                <w:lang w:eastAsia="en-GB"/>
              </w:rPr>
              <w:t>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148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094264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Processed duck, geese, guinea fowl meat, cooked, containing less than 25 %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094259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46.4%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278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Processed duck, geese, guinea fowl meat, cooked, containing </w:t>
            </w:r>
            <w:r>
              <w:rPr>
                <w:rFonts w:eastAsia="Times New Roman"/>
                <w:noProof/>
                <w:sz w:val="18"/>
                <w:szCs w:val="18"/>
                <w:lang w:eastAsia="en-GB"/>
              </w:rPr>
              <w:t>less than 25 % by weight of poultry meat or offal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094265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46.4%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Poultry eggs for consumption, in shell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135,000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094015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84.9%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114,669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Eggs yolks</w:t>
            </w:r>
            <w:r>
              <w:rPr>
                <w:rFonts w:eastAsia="Times New Roman"/>
                <w:noProof/>
                <w:sz w:val="18"/>
                <w:szCs w:val="18"/>
                <w:lang w:eastAsia="en-GB"/>
              </w:rPr>
              <w:br/>
              <w:t>Bird eggs, not in shell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(shell egg equivalent)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094401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Egg albumin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t </w:t>
            </w:r>
            <w:r>
              <w:rPr>
                <w:rFonts w:eastAsia="Times New Roman"/>
                <w:noProof/>
                <w:sz w:val="18"/>
                <w:szCs w:val="18"/>
                <w:lang w:eastAsia="en-GB"/>
              </w:rPr>
              <w:t>(shell egg equivalent)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094402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15,500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Skimmed-milk powder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68,537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99.998%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68,536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Butter and other fats and oils derived from milk</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(in butter equivalent)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11,360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11,360</w:t>
            </w:r>
          </w:p>
        </w:tc>
      </w:tr>
      <w:tr w:rsidR="006228E0">
        <w:trPr>
          <w:trHeight w:val="105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Butter, at least six weeks old, of a fat </w:t>
            </w:r>
            <w:r>
              <w:rPr>
                <w:rFonts w:eastAsia="Times New Roman"/>
                <w:noProof/>
                <w:sz w:val="18"/>
                <w:szCs w:val="18"/>
                <w:lang w:eastAsia="en-GB"/>
              </w:rPr>
              <w:t>content by weight of not less than 80% but less than 85% manufactured directly from milk or cream without the use of stored materials, in a single, self-contained and uninterrupted process.</w:t>
            </w:r>
            <w:r>
              <w:rPr>
                <w:rFonts w:eastAsia="Times New Roman"/>
                <w:noProof/>
                <w:sz w:val="18"/>
                <w:szCs w:val="18"/>
                <w:lang w:eastAsia="en-GB"/>
              </w:rPr>
              <w:br/>
              <w:t xml:space="preserve">Butter, at least six weeks old, of a fat content by weight of not </w:t>
            </w:r>
            <w:r>
              <w:rPr>
                <w:rFonts w:eastAsia="Times New Roman"/>
                <w:noProof/>
                <w:sz w:val="18"/>
                <w:szCs w:val="18"/>
                <w:lang w:eastAsia="en-GB"/>
              </w:rPr>
              <w:t>less than 80% but less than 85% manufactured directly from milk or cream without the use of stored materials, in a single, self-contained and uninterrupted process which may involve the cream passing through a stage where the butterfat is concentrated and/</w:t>
            </w:r>
            <w:r>
              <w:rPr>
                <w:rFonts w:eastAsia="Times New Roman"/>
                <w:noProof/>
                <w:sz w:val="18"/>
                <w:szCs w:val="18"/>
                <w:lang w:eastAsia="en-GB"/>
              </w:rPr>
              <w:t>or fractionated (the process referred to as "Ammix" and "Spreadable").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val="restart"/>
            <w:tcBorders>
              <w:top w:val="nil"/>
              <w:left w:val="single" w:sz="4" w:space="0" w:color="auto"/>
              <w:bottom w:val="single" w:sz="4" w:space="0" w:color="000000"/>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74,693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NZL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094182</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63.2%</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47,177</w:t>
            </w:r>
          </w:p>
        </w:tc>
      </w:tr>
      <w:tr w:rsidR="006228E0">
        <w:trPr>
          <w:trHeight w:val="105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Butter, at least six weeks old, of a fat content by weight of not less than 80% but less than 85% manufactured directly from milk or cream without the </w:t>
            </w:r>
            <w:r>
              <w:rPr>
                <w:rFonts w:eastAsia="Times New Roman"/>
                <w:noProof/>
                <w:sz w:val="18"/>
                <w:szCs w:val="18"/>
                <w:lang w:eastAsia="en-GB"/>
              </w:rPr>
              <w:t>use of stored materials, in a single, self-contained and uninterrupted process.</w:t>
            </w:r>
            <w:r>
              <w:rPr>
                <w:rFonts w:eastAsia="Times New Roman"/>
                <w:noProof/>
                <w:sz w:val="18"/>
                <w:szCs w:val="18"/>
                <w:lang w:eastAsia="en-GB"/>
              </w:rPr>
              <w:br/>
              <w:t xml:space="preserve">Butter, at least six weeks old, of a fat content by weight of not less than 80% but less than 85% manufactured directly from milk or cream without the use of stored materials, </w:t>
            </w:r>
            <w:r>
              <w:rPr>
                <w:rFonts w:eastAsia="Times New Roman"/>
                <w:noProof/>
                <w:sz w:val="18"/>
                <w:szCs w:val="18"/>
                <w:lang w:eastAsia="en-GB"/>
              </w:rPr>
              <w:t>in a single, self-contained and uninterrupted process which may involve the cream passing through a stage where the butterfat is concentrated and/or fractionated (the process referred to as "Ammix" and "Spreadable").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tcBorders>
              <w:top w:val="nil"/>
              <w:left w:val="single" w:sz="4" w:space="0" w:color="auto"/>
              <w:bottom w:val="single" w:sz="4" w:space="0" w:color="000000"/>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NZL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094195</w:t>
            </w:r>
          </w:p>
        </w:tc>
        <w:tc>
          <w:tcPr>
            <w:tcW w:w="559" w:type="pct"/>
            <w:vMerge/>
            <w:tcBorders>
              <w:top w:val="nil"/>
              <w:left w:val="single" w:sz="4" w:space="0" w:color="auto"/>
              <w:bottom w:val="single" w:sz="4" w:space="0" w:color="auto"/>
              <w:right w:val="single" w:sz="4" w:space="0" w:color="auto"/>
            </w:tcBorders>
            <w:vAlign w:val="center"/>
          </w:tcPr>
          <w:p w:rsidR="006228E0" w:rsidRDefault="006228E0">
            <w:pPr>
              <w:spacing w:before="0" w:after="0"/>
              <w:jc w:val="center"/>
              <w:rPr>
                <w:rFonts w:eastAsia="Times New Roman"/>
                <w:b/>
                <w:bCs/>
                <w:noProof/>
                <w:sz w:val="18"/>
                <w:szCs w:val="18"/>
                <w:lang w:eastAsia="en-GB"/>
              </w:rPr>
            </w:pPr>
          </w:p>
        </w:tc>
        <w:tc>
          <w:tcPr>
            <w:tcW w:w="635"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b/>
                <w:bCs/>
                <w:noProof/>
                <w:sz w:val="18"/>
                <w:szCs w:val="18"/>
                <w:lang w:eastAsia="en-GB"/>
              </w:rPr>
            </w:pPr>
          </w:p>
        </w:tc>
      </w:tr>
      <w:tr w:rsidR="006228E0">
        <w:trPr>
          <w:trHeight w:val="129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Cheese and curd:</w:t>
            </w:r>
            <w:r>
              <w:rPr>
                <w:rFonts w:eastAsia="Times New Roman"/>
                <w:noProof/>
                <w:sz w:val="18"/>
                <w:szCs w:val="18"/>
                <w:lang w:eastAsia="en-GB"/>
              </w:rPr>
              <w:br/>
              <w:t xml:space="preserve">- </w:t>
            </w:r>
            <w:r>
              <w:rPr>
                <w:rFonts w:eastAsia="Times New Roman"/>
                <w:noProof/>
                <w:sz w:val="18"/>
                <w:szCs w:val="18"/>
                <w:lang w:eastAsia="en-GB"/>
              </w:rPr>
              <w:t>Pizza cheese, frozen, cut into pieces each weighing not more than 1 g, in containers with a net content of 5 kg or more, of a water content, by weight, of 52 % or more, and a fat content, by weight, in the dry matter of 38 % or more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5,360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5,360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Cheese and curd:</w:t>
            </w:r>
            <w:r>
              <w:rPr>
                <w:rFonts w:eastAsia="Times New Roman"/>
                <w:noProof/>
                <w:sz w:val="18"/>
                <w:szCs w:val="18"/>
                <w:lang w:eastAsia="en-GB"/>
              </w:rPr>
              <w:br/>
              <w:t>- Emmentaler, including processed Emmentaler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18,438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18,438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Cheese and curd:</w:t>
            </w:r>
            <w:r>
              <w:rPr>
                <w:rFonts w:eastAsia="Times New Roman"/>
                <w:noProof/>
                <w:sz w:val="18"/>
                <w:szCs w:val="18"/>
                <w:lang w:eastAsia="en-GB"/>
              </w:rPr>
              <w:br/>
              <w:t>- Gruyère, Sbrinz, including processed Gruyère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5,413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5,413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Cheese and curd:</w:t>
            </w:r>
            <w:r>
              <w:rPr>
                <w:rFonts w:eastAsia="Times New Roman"/>
                <w:noProof/>
                <w:sz w:val="18"/>
                <w:szCs w:val="18"/>
                <w:lang w:eastAsia="en-GB"/>
              </w:rPr>
              <w:br/>
              <w:t>- Cheese for processing</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58.7%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11,741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Cheese for processing</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NZL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094515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41.7%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1,670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Cheese for processing</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AUS</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094522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Cheese and curd:</w:t>
            </w:r>
            <w:r>
              <w:rPr>
                <w:rFonts w:eastAsia="Times New Roman"/>
                <w:noProof/>
                <w:sz w:val="18"/>
                <w:szCs w:val="18"/>
                <w:lang w:eastAsia="en-GB"/>
              </w:rPr>
              <w:br/>
              <w:t>- Cheddar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15,005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14,941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Cheddar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NZL</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094514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62.3%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4,361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Cheddar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3,711</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AUS</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094521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3,711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Cheddar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CAN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094513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Other cheeses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19,525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094596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19,525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Potatoes, fresh or chilled, from 1 January to 15 May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4,295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4,292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Tomatoes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472</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98.2%</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464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Garlic</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19,147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ARG</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094104</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19,147</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Garlic</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ARG</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094099</w:t>
            </w:r>
          </w:p>
        </w:tc>
        <w:tc>
          <w:tcPr>
            <w:tcW w:w="559" w:type="pct"/>
            <w:vMerge/>
            <w:tcBorders>
              <w:top w:val="nil"/>
              <w:left w:val="single" w:sz="4" w:space="0" w:color="auto"/>
              <w:bottom w:val="single" w:sz="4" w:space="0" w:color="auto"/>
              <w:right w:val="single" w:sz="4" w:space="0" w:color="auto"/>
            </w:tcBorders>
            <w:vAlign w:val="center"/>
          </w:tcPr>
          <w:p w:rsidR="006228E0" w:rsidRDefault="006228E0">
            <w:pPr>
              <w:spacing w:before="0" w:after="0"/>
              <w:jc w:val="center"/>
              <w:rPr>
                <w:rFonts w:eastAsia="Times New Roman"/>
                <w:b/>
                <w:bCs/>
                <w:noProof/>
                <w:sz w:val="18"/>
                <w:szCs w:val="18"/>
                <w:lang w:eastAsia="en-GB"/>
              </w:rPr>
            </w:pPr>
          </w:p>
        </w:tc>
        <w:tc>
          <w:tcPr>
            <w:tcW w:w="635"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b/>
                <w:bCs/>
                <w:noProof/>
                <w:sz w:val="18"/>
                <w:szCs w:val="18"/>
                <w:lang w:eastAsia="en-GB"/>
              </w:rPr>
            </w:pP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Garlic</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48,225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094105</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84.1%</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40,556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Garlic</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094100</w:t>
            </w:r>
          </w:p>
        </w:tc>
        <w:tc>
          <w:tcPr>
            <w:tcW w:w="559" w:type="pct"/>
            <w:vMerge/>
            <w:tcBorders>
              <w:top w:val="nil"/>
              <w:left w:val="single" w:sz="4" w:space="0" w:color="auto"/>
              <w:bottom w:val="single" w:sz="4" w:space="0" w:color="auto"/>
              <w:right w:val="single" w:sz="4" w:space="0" w:color="auto"/>
            </w:tcBorders>
            <w:vAlign w:val="center"/>
          </w:tcPr>
          <w:p w:rsidR="006228E0" w:rsidRDefault="006228E0">
            <w:pPr>
              <w:spacing w:before="0" w:after="0"/>
              <w:jc w:val="center"/>
              <w:rPr>
                <w:rFonts w:eastAsia="Times New Roman"/>
                <w:b/>
                <w:bCs/>
                <w:noProof/>
                <w:sz w:val="18"/>
                <w:szCs w:val="18"/>
                <w:lang w:eastAsia="en-GB"/>
              </w:rPr>
            </w:pPr>
          </w:p>
        </w:tc>
        <w:tc>
          <w:tcPr>
            <w:tcW w:w="635"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b/>
                <w:bCs/>
                <w:noProof/>
                <w:sz w:val="18"/>
                <w:szCs w:val="18"/>
                <w:lang w:eastAsia="en-GB"/>
              </w:rPr>
            </w:pP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Garlic</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6,023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094106</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61.6%</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3,711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Garlic</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noProof/>
                <w:sz w:val="18"/>
                <w:szCs w:val="18"/>
                <w:lang w:eastAsia="en-GB"/>
              </w:rPr>
            </w:pP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094102</w:t>
            </w:r>
          </w:p>
        </w:tc>
        <w:tc>
          <w:tcPr>
            <w:tcW w:w="559" w:type="pct"/>
            <w:vMerge/>
            <w:tcBorders>
              <w:top w:val="nil"/>
              <w:left w:val="single" w:sz="4" w:space="0" w:color="auto"/>
              <w:bottom w:val="single" w:sz="4" w:space="0" w:color="auto"/>
              <w:right w:val="single" w:sz="4" w:space="0" w:color="auto"/>
            </w:tcBorders>
            <w:vAlign w:val="center"/>
          </w:tcPr>
          <w:p w:rsidR="006228E0" w:rsidRDefault="006228E0">
            <w:pPr>
              <w:spacing w:before="0" w:after="0"/>
              <w:jc w:val="center"/>
              <w:rPr>
                <w:rFonts w:eastAsia="Times New Roman"/>
                <w:b/>
                <w:bCs/>
                <w:noProof/>
                <w:sz w:val="18"/>
                <w:szCs w:val="18"/>
                <w:lang w:eastAsia="en-GB"/>
              </w:rPr>
            </w:pPr>
          </w:p>
        </w:tc>
        <w:tc>
          <w:tcPr>
            <w:tcW w:w="635" w:type="pct"/>
            <w:vMerge/>
            <w:tcBorders>
              <w:top w:val="nil"/>
              <w:left w:val="single" w:sz="4" w:space="0" w:color="auto"/>
              <w:bottom w:val="single" w:sz="4" w:space="0" w:color="auto"/>
              <w:right w:val="single" w:sz="4" w:space="0" w:color="auto"/>
            </w:tcBorders>
            <w:vAlign w:val="center"/>
            <w:hideMark/>
          </w:tcPr>
          <w:p w:rsidR="006228E0" w:rsidRDefault="006228E0">
            <w:pPr>
              <w:spacing w:before="0" w:after="0"/>
              <w:jc w:val="center"/>
              <w:rPr>
                <w:rFonts w:eastAsia="Times New Roman"/>
                <w:b/>
                <w:bCs/>
                <w:noProof/>
                <w:sz w:val="18"/>
                <w:szCs w:val="18"/>
                <w:lang w:eastAsia="en-GB"/>
              </w:rPr>
            </w:pP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Carrots and turnips, fresh or chilled</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1,244</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95.8%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1,192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Cucumbers, fresh or chilled, from 1 November to </w:t>
            </w:r>
            <w:r>
              <w:rPr>
                <w:rFonts w:eastAsia="Times New Roman"/>
                <w:noProof/>
                <w:sz w:val="18"/>
                <w:szCs w:val="18"/>
                <w:lang w:eastAsia="en-GB"/>
              </w:rPr>
              <w:t>15 May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1,134</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44.1%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Other vegetables, fresh or chilled (sweet peppers)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Dried onions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090035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80.8%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9,696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Manioc (casava)</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5,750,000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090708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53.8%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3,096,027</w:t>
            </w:r>
          </w:p>
        </w:tc>
      </w:tr>
      <w:tr w:rsidR="006228E0">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Manioc (casava) other than pellets of </w:t>
            </w:r>
            <w:r>
              <w:rPr>
                <w:rFonts w:eastAsia="Times New Roman"/>
                <w:noProof/>
                <w:sz w:val="18"/>
                <w:szCs w:val="18"/>
                <w:lang w:eastAsia="en-GB"/>
              </w:rPr>
              <w:t>flour and meal</w:t>
            </w:r>
            <w:r>
              <w:rPr>
                <w:rFonts w:eastAsia="Times New Roman"/>
                <w:noProof/>
                <w:sz w:val="18"/>
                <w:szCs w:val="18"/>
                <w:lang w:eastAsia="en-GB"/>
              </w:rPr>
              <w:br/>
              <w:t>Arrowroot, salep and similar roots and tubers with high starch content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825,000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IDN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r>
      <w:tr w:rsidR="006228E0">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Manioc (casava) other than pellets of flour and meal</w:t>
            </w:r>
            <w:r>
              <w:rPr>
                <w:rFonts w:eastAsia="Times New Roman"/>
                <w:noProof/>
                <w:sz w:val="18"/>
                <w:szCs w:val="18"/>
                <w:lang w:eastAsia="en-GB"/>
              </w:rPr>
              <w:br/>
              <w:t>Arrowroot, salep and similar roots and tubers with high starch content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350,000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78.8%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275,805</w:t>
            </w:r>
          </w:p>
        </w:tc>
      </w:tr>
      <w:tr w:rsidR="006228E0">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Manioc (casava) other than pellets of flour and meal</w:t>
            </w:r>
            <w:r>
              <w:rPr>
                <w:rFonts w:eastAsia="Times New Roman"/>
                <w:noProof/>
                <w:sz w:val="18"/>
                <w:szCs w:val="18"/>
                <w:lang w:eastAsia="en-GB"/>
              </w:rPr>
              <w:br/>
              <w:t>Arrowroot, salep and similar roots and tubers with high starch content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145,590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85.5%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124,552</w:t>
            </w:r>
          </w:p>
        </w:tc>
      </w:tr>
      <w:tr w:rsidR="006228E0">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Manioc (casava) other than pellets of flour and meal</w:t>
            </w:r>
            <w:r>
              <w:rPr>
                <w:rFonts w:eastAsia="Times New Roman"/>
                <w:noProof/>
                <w:sz w:val="18"/>
                <w:szCs w:val="18"/>
                <w:lang w:eastAsia="en-GB"/>
              </w:rPr>
              <w:br/>
              <w:t xml:space="preserve">Arrowroot, salep and </w:t>
            </w:r>
            <w:r>
              <w:rPr>
                <w:rFonts w:eastAsia="Times New Roman"/>
                <w:noProof/>
                <w:sz w:val="18"/>
                <w:szCs w:val="18"/>
                <w:lang w:eastAsia="en-GB"/>
              </w:rPr>
              <w:t>similar roots and tubers with high starch content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NW</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30,000</w:t>
            </w:r>
          </w:p>
        </w:tc>
      </w:tr>
      <w:tr w:rsidR="006228E0">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Manioc (casava) other than pellets of flour and meal</w:t>
            </w:r>
            <w:r>
              <w:rPr>
                <w:rFonts w:eastAsia="Times New Roman"/>
                <w:noProof/>
                <w:sz w:val="18"/>
                <w:szCs w:val="18"/>
                <w:lang w:eastAsia="en-GB"/>
              </w:rPr>
              <w:br/>
              <w:t>Arrowroot, salep and similar roots and tubers with high starch content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NW</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090130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84.6%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1,691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Sweet potatoes, </w:t>
            </w:r>
            <w:r>
              <w:rPr>
                <w:rFonts w:eastAsia="Times New Roman"/>
                <w:noProof/>
                <w:sz w:val="18"/>
                <w:szCs w:val="18"/>
                <w:lang w:eastAsia="en-GB"/>
              </w:rPr>
              <w:t>other than for human consumption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600,000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090124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42.1%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252,641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Sweet potatoes, other than for human consumption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090131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4,985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Mushrooms of the species Agaricus, prepared, preserved or provisionally preserved</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33,980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noProof/>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33,980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Mushrooms of the species Agaricus, prepared, preserved or provisionally preserved</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1,450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noProof/>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1,450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Almonds, other than bitter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090041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95.5%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85,958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Sweet oranges, fresh</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090025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Other citrus hybrids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090027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14,931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Lemons, from 15 January to 14 June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090039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81.6%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8,156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Table grapes, fresh, from 21 July to 31 October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090060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885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Apples, fresh, from 1 April to 31 July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696</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090061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95.7%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666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Pears, fresh, other than </w:t>
            </w:r>
            <w:r>
              <w:rPr>
                <w:rFonts w:eastAsia="Times New Roman"/>
                <w:noProof/>
                <w:sz w:val="18"/>
                <w:szCs w:val="18"/>
                <w:lang w:eastAsia="en-GB"/>
              </w:rPr>
              <w:t>perry pears in bulk, from 1 August to 31 December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090062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810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Apricots, fresh, from 1 August to 31 May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14.9%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Apricots, fresh, from 1 June to 31 July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090063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55.5%</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1,387</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Cherries, fresh, other than sour </w:t>
            </w:r>
            <w:r>
              <w:rPr>
                <w:rFonts w:eastAsia="Times New Roman"/>
                <w:noProof/>
                <w:sz w:val="18"/>
                <w:szCs w:val="18"/>
                <w:lang w:eastAsia="en-GB"/>
              </w:rPr>
              <w:t>cherries, from 21 May to 15 July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090040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13.1%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Preserved pineapples, citrus fruit, pears, apricots, cherries, peaches and strawberries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2,838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2,820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Orange juice, frozen, of a density not exceeding 1,33 g/cm3 at 20° C</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090033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1,500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Fruit juices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7,044</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91.4%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6,436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Grape juice (including grape must):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14,029</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090067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Durum wheat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090074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Quality wheat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300,000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090075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300,000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Common wheat (medium and low quality)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572,000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USA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094123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99.99%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571,943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Common wheat (medium and low quality)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38,853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CAN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094124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1,463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Common wheat (medium and low quality)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2,371,600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094125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96.4%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2,285,665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Common wheat (medium and low quality)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129,577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094133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129,577</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Barley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307,105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094126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306,812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Malting barley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50,890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090076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40.9%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20,789</w:t>
            </w:r>
          </w:p>
        </w:tc>
      </w:tr>
      <w:tr w:rsidR="006228E0">
        <w:trPr>
          <w:trHeight w:val="132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Preparations consisting of a mixture of malt sprouts and of barley screenings before the malting process (possibly including other seeds) with barley cleanings </w:t>
            </w:r>
            <w:r>
              <w:rPr>
                <w:rFonts w:eastAsia="Times New Roman"/>
                <w:noProof/>
                <w:sz w:val="18"/>
                <w:szCs w:val="18"/>
                <w:lang w:eastAsia="en-GB"/>
              </w:rPr>
              <w:t>after the malting process, and containing, by weight, 12,5 % or more of protein</w:t>
            </w:r>
            <w:r>
              <w:rPr>
                <w:rFonts w:eastAsia="Times New Roman"/>
                <w:noProof/>
                <w:sz w:val="18"/>
                <w:szCs w:val="18"/>
                <w:lang w:eastAsia="en-GB"/>
              </w:rPr>
              <w:br/>
              <w:t>Preparations consisting of a mixture of malt sprouts and of barley screenings before the malting process (possibly including their seeds) with barley cleanings after the maltin</w:t>
            </w:r>
            <w:r>
              <w:rPr>
                <w:rFonts w:eastAsia="Times New Roman"/>
                <w:noProof/>
                <w:sz w:val="18"/>
                <w:szCs w:val="18"/>
                <w:lang w:eastAsia="en-GB"/>
              </w:rPr>
              <w:t>g process, and containing, by weight, 12,5 % or more of protein and not more than 28 % of starch</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092905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20,000</w:t>
            </w:r>
          </w:p>
        </w:tc>
      </w:tr>
      <w:tr w:rsidR="006228E0">
        <w:trPr>
          <w:trHeight w:val="132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Preparations consisting of a mixture of malt sprouts and of barley screenings before the malting process (possibly including </w:t>
            </w:r>
            <w:r>
              <w:rPr>
                <w:rFonts w:eastAsia="Times New Roman"/>
                <w:noProof/>
                <w:sz w:val="18"/>
                <w:szCs w:val="18"/>
                <w:lang w:eastAsia="en-GB"/>
              </w:rPr>
              <w:t>other seeds) with barley cleanings after the malting process, and containing, by weight, 15,5 % or more of protein</w:t>
            </w:r>
            <w:r>
              <w:rPr>
                <w:rFonts w:eastAsia="Times New Roman"/>
                <w:noProof/>
                <w:sz w:val="18"/>
                <w:szCs w:val="18"/>
                <w:lang w:eastAsia="en-GB"/>
              </w:rPr>
              <w:br/>
              <w:t>Preparations consisting of a mixture of malt sprouts and of barley screenings before the malting process (possibly including other seeds) wit</w:t>
            </w:r>
            <w:r>
              <w:rPr>
                <w:rFonts w:eastAsia="Times New Roman"/>
                <w:noProof/>
                <w:sz w:val="18"/>
                <w:szCs w:val="18"/>
                <w:lang w:eastAsia="en-GB"/>
              </w:rPr>
              <w:t>h barley cleanings after the malting process, and containing, by weight, 15,5 % or more of protein and not more than 23 % of starch</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092903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Maize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277,988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094131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96.8%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269,214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Maize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No order number</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Maize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No order number</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2,000,000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Corn gluten</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USA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Grain sorghum</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300,000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No order number</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300,000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Millet</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1,300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090071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68.3%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888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Worked oats, other than kibbled</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090043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231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Manioc starch</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090132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82.9%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6,632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Manioc starch</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090132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82.9%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1,658</w:t>
            </w:r>
          </w:p>
        </w:tc>
      </w:tr>
      <w:tr w:rsidR="006228E0">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Bran, sharps and other residues whether or not in the form of pellets derived from the sifting, milling or other working of cereals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475,000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090072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96.4%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458,068</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Paddy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090083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66.7%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Husked (brown)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1,634</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094148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86.6%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1,416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Semi-milled or wholly milled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63,000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b/>
                <w:bCs/>
                <w:noProof/>
                <w:color w:val="FF0000"/>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58.3%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36,731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Semi-milled or wholly milled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4,313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094112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84.9%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3,663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Semi-milled or wholly milled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9,187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b/>
                <w:bCs/>
                <w:noProof/>
                <w:color w:val="FF0000"/>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74.7%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6,859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Semi-milled or wholly milled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094112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84.9%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1,019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Semi-milled or wholly milled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25,516</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094166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88%</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22,442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Broken rice, intended for the production of foodstuffs of subheading 1901 10 00</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094079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Broken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31,788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094168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83.6%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26,581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Broken rice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6228E0">
            <w:pPr>
              <w:spacing w:before="0" w:after="0"/>
              <w:jc w:val="center"/>
              <w:rPr>
                <w:rFonts w:eastAsia="Times New Roman"/>
                <w:b/>
                <w:bCs/>
                <w:noProof/>
                <w:color w:val="FF0000"/>
                <w:sz w:val="18"/>
                <w:szCs w:val="18"/>
                <w:lang w:eastAsia="en-GB"/>
              </w:rPr>
            </w:pP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93.7%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93,709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val="nn-NO" w:eastAsia="en-GB"/>
              </w:rPr>
            </w:pPr>
            <w:r>
              <w:rPr>
                <w:rFonts w:eastAsia="Times New Roman"/>
                <w:noProof/>
                <w:sz w:val="18"/>
                <w:szCs w:val="18"/>
                <w:lang w:val="nn-NO" w:eastAsia="en-GB"/>
              </w:rPr>
              <w:t>Raw cane sugar, for refining</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9,925</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AUS</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094317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4,961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val="nn-NO" w:eastAsia="en-GB"/>
              </w:rPr>
            </w:pPr>
            <w:r>
              <w:rPr>
                <w:rFonts w:eastAsia="Times New Roman"/>
                <w:noProof/>
                <w:sz w:val="18"/>
                <w:szCs w:val="18"/>
                <w:lang w:val="nn-NO" w:eastAsia="en-GB"/>
              </w:rPr>
              <w:t>Raw cane sugar, for refining</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388,124</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BRA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094318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92.4%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358,454</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val="nn-NO" w:eastAsia="en-GB"/>
              </w:rPr>
            </w:pPr>
            <w:r>
              <w:rPr>
                <w:rFonts w:eastAsia="Times New Roman"/>
                <w:noProof/>
                <w:sz w:val="18"/>
                <w:szCs w:val="18"/>
                <w:lang w:val="nn-NO" w:eastAsia="en-GB"/>
              </w:rPr>
              <w:t>Raw cane sugar, for refining</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CUB</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094319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10,000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val="nn-NO" w:eastAsia="en-GB"/>
              </w:rPr>
            </w:pPr>
            <w:r>
              <w:rPr>
                <w:rFonts w:eastAsia="Times New Roman"/>
                <w:noProof/>
                <w:sz w:val="18"/>
                <w:szCs w:val="18"/>
                <w:lang w:val="nn-NO" w:eastAsia="en-GB"/>
              </w:rPr>
              <w:t>Raw cane sugar, for refining</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372,876</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094320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91.6%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341,460</w:t>
            </w:r>
          </w:p>
        </w:tc>
      </w:tr>
      <w:tr w:rsidR="006228E0">
        <w:trPr>
          <w:trHeight w:val="81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Cane or beet sugar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(white sugar equivalent)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IDN</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094321</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58.4%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5,841</w:t>
            </w:r>
          </w:p>
        </w:tc>
      </w:tr>
      <w:tr w:rsidR="006228E0">
        <w:trPr>
          <w:trHeight w:val="81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Cane or beet sugar</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 (white sugar equivalent)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1,294,700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ACP</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N/A</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71.2%</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921,707</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Chemically </w:t>
            </w:r>
            <w:r>
              <w:rPr>
                <w:rFonts w:eastAsia="Times New Roman"/>
                <w:noProof/>
                <w:sz w:val="18"/>
                <w:szCs w:val="18"/>
                <w:lang w:eastAsia="en-GB"/>
              </w:rPr>
              <w:t>pure fructose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1,253</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090084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1,253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Confectionary</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2,289</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98.1%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2,245</w:t>
            </w:r>
          </w:p>
        </w:tc>
      </w:tr>
      <w:tr w:rsidR="006228E0">
        <w:trPr>
          <w:trHeight w:val="85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Other preparations of a kind used in animal feeding: </w:t>
            </w:r>
            <w:r>
              <w:rPr>
                <w:rFonts w:eastAsia="Times New Roman"/>
                <w:noProof/>
                <w:sz w:val="18"/>
                <w:szCs w:val="18"/>
                <w:lang w:eastAsia="en-GB"/>
              </w:rPr>
              <w:br/>
              <w:t>Containing no milk products or containing less than 10 % by weight of such products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2,800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090073</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98.1%</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2,746</w:t>
            </w:r>
          </w:p>
        </w:tc>
      </w:tr>
      <w:tr w:rsidR="006228E0">
        <w:trPr>
          <w:trHeight w:val="855"/>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Other preparations of a kind used in animal feeding:</w:t>
            </w:r>
            <w:r>
              <w:rPr>
                <w:rFonts w:eastAsia="Times New Roman"/>
                <w:noProof/>
                <w:sz w:val="18"/>
                <w:szCs w:val="18"/>
                <w:lang w:eastAsia="en-GB"/>
              </w:rPr>
              <w:br/>
              <w:t>Containing no milk products or containing less than 10 % by weight of such products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2,700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090070</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98.9%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2,670</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Food preparations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921</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090088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76.2%</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702</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Food preparations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1,550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USA</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53.6%</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831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Dog and cat food</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2,058</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090089</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67.7%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1,393</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Chocolate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107</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090085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75.3%</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81</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Chocolate</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2,026</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090052</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2,026</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Pasta</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532</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090086</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93.4%</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497</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Biscuits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409</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090054</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409</w:t>
            </w:r>
          </w:p>
        </w:tc>
      </w:tr>
      <w:tr w:rsidR="006228E0">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Food preparations with cereals</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191</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090087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191</w:t>
            </w:r>
          </w:p>
        </w:tc>
      </w:tr>
      <w:tr w:rsidR="006228E0">
        <w:trPr>
          <w:trHeight w:val="78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Wine of fresh grapes (other than sparkling wine and quality wine produced in specified regions) in containers holding =&lt; 2 L and of an alcoholic strength of =&lt;13% vol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hl</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090097</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11.7%</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4,689</w:t>
            </w:r>
          </w:p>
        </w:tc>
      </w:tr>
      <w:tr w:rsidR="006228E0">
        <w:trPr>
          <w:trHeight w:val="78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Wine of fresh grapes (other than sparkling wine and</w:t>
            </w:r>
            <w:r>
              <w:rPr>
                <w:rFonts w:eastAsia="Times New Roman"/>
                <w:noProof/>
                <w:sz w:val="18"/>
                <w:szCs w:val="18"/>
                <w:lang w:eastAsia="en-GB"/>
              </w:rPr>
              <w:t xml:space="preserve"> quality wine produced in specified regions) in containers holding &gt; 2 L and of an alcoholic strength of =&lt; 13% vol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hl</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090095</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78.2%</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15,647</w:t>
            </w:r>
          </w:p>
        </w:tc>
      </w:tr>
      <w:tr w:rsidR="006228E0">
        <w:trPr>
          <w:trHeight w:val="780"/>
        </w:trPr>
        <w:tc>
          <w:tcPr>
            <w:tcW w:w="1734"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Vermouth and other wine of fresh grapes, flavoured with plants or aromatic substances in containers </w:t>
            </w:r>
            <w:r>
              <w:rPr>
                <w:rFonts w:eastAsia="Times New Roman"/>
                <w:noProof/>
                <w:sz w:val="18"/>
                <w:szCs w:val="18"/>
                <w:lang w:eastAsia="en-GB"/>
              </w:rPr>
              <w:t>holding &gt; 2 L and of an alcoholic strength of =&lt; 18% vol</w:t>
            </w:r>
          </w:p>
        </w:tc>
        <w:tc>
          <w:tcPr>
            <w:tcW w:w="71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hl</w:t>
            </w:r>
          </w:p>
        </w:tc>
        <w:tc>
          <w:tcPr>
            <w:tcW w:w="478"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13,810</w:t>
            </w:r>
          </w:p>
        </w:tc>
        <w:tc>
          <w:tcPr>
            <w:tcW w:w="39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479"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090098</w:t>
            </w:r>
          </w:p>
        </w:tc>
        <w:tc>
          <w:tcPr>
            <w:tcW w:w="559"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99.99%</w:t>
            </w:r>
          </w:p>
        </w:tc>
        <w:tc>
          <w:tcPr>
            <w:tcW w:w="635"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13,808</w:t>
            </w:r>
          </w:p>
        </w:tc>
      </w:tr>
    </w:tbl>
    <w:p w:rsidR="006228E0" w:rsidRDefault="006228E0">
      <w:pPr>
        <w:tabs>
          <w:tab w:val="left" w:pos="4252"/>
        </w:tabs>
        <w:spacing w:before="0" w:after="0"/>
        <w:jc w:val="left"/>
        <w:rPr>
          <w:i/>
          <w:noProof/>
          <w:sz w:val="18"/>
          <w:szCs w:val="18"/>
        </w:rPr>
      </w:pPr>
    </w:p>
    <w:p w:rsidR="006228E0" w:rsidRDefault="006228E0">
      <w:pPr>
        <w:tabs>
          <w:tab w:val="left" w:pos="4252"/>
        </w:tabs>
        <w:spacing w:before="0" w:after="0"/>
        <w:jc w:val="left"/>
        <w:rPr>
          <w:i/>
          <w:noProof/>
          <w:sz w:val="18"/>
          <w:szCs w:val="18"/>
        </w:rPr>
      </w:pPr>
    </w:p>
    <w:p w:rsidR="006228E0" w:rsidRDefault="002D5C64">
      <w:pPr>
        <w:spacing w:before="0" w:after="200" w:line="276" w:lineRule="auto"/>
        <w:jc w:val="left"/>
        <w:rPr>
          <w:i/>
          <w:noProof/>
          <w:sz w:val="18"/>
          <w:szCs w:val="18"/>
        </w:rPr>
      </w:pPr>
      <w:r>
        <w:rPr>
          <w:i/>
          <w:noProof/>
          <w:sz w:val="18"/>
          <w:szCs w:val="18"/>
        </w:rPr>
        <w:br w:type="page"/>
      </w:r>
    </w:p>
    <w:p w:rsidR="006228E0" w:rsidRDefault="002D5C64">
      <w:pPr>
        <w:spacing w:before="0" w:after="200" w:line="276" w:lineRule="auto"/>
        <w:jc w:val="left"/>
        <w:rPr>
          <w:i/>
          <w:noProof/>
          <w:sz w:val="18"/>
          <w:szCs w:val="18"/>
        </w:rPr>
      </w:pPr>
      <w:r>
        <w:rPr>
          <w:b/>
          <w:noProof/>
        </w:rPr>
        <w:t>Part B</w:t>
      </w:r>
    </w:p>
    <w:p w:rsidR="006228E0" w:rsidRDefault="006228E0">
      <w:pPr>
        <w:tabs>
          <w:tab w:val="left" w:pos="4252"/>
        </w:tabs>
        <w:spacing w:before="100" w:beforeAutospacing="1" w:after="0"/>
        <w:jc w:val="left"/>
        <w:rPr>
          <w:b/>
          <w:i/>
          <w:noProof/>
          <w:u w:val="single"/>
        </w:rPr>
      </w:pPr>
    </w:p>
    <w:tbl>
      <w:tblPr>
        <w:tblW w:w="4789" w:type="pct"/>
        <w:tblLayout w:type="fixed"/>
        <w:tblLook w:val="04A0" w:firstRow="1" w:lastRow="0" w:firstColumn="1" w:lastColumn="0" w:noHBand="0" w:noVBand="1"/>
      </w:tblPr>
      <w:tblGrid>
        <w:gridCol w:w="3088"/>
        <w:gridCol w:w="989"/>
        <w:gridCol w:w="7"/>
        <w:gridCol w:w="1133"/>
        <w:gridCol w:w="849"/>
        <w:gridCol w:w="989"/>
        <w:gridCol w:w="854"/>
        <w:gridCol w:w="961"/>
        <w:gridCol w:w="27"/>
      </w:tblGrid>
      <w:tr w:rsidR="006228E0">
        <w:trPr>
          <w:gridAfter w:val="1"/>
          <w:wAfter w:w="15" w:type="pct"/>
          <w:cantSplit/>
          <w:trHeight w:val="1134"/>
          <w:tblHeader/>
        </w:trPr>
        <w:tc>
          <w:tcPr>
            <w:tcW w:w="1735" w:type="pct"/>
            <w:tcBorders>
              <w:top w:val="single" w:sz="4" w:space="0" w:color="auto"/>
              <w:left w:val="single" w:sz="4" w:space="0" w:color="auto"/>
              <w:bottom w:val="single" w:sz="4" w:space="0" w:color="auto"/>
              <w:right w:val="single" w:sz="4" w:space="0" w:color="auto"/>
            </w:tcBorders>
            <w:shd w:val="clear" w:color="5B9BD5" w:fill="F4B084"/>
            <w:textDirection w:val="btLr"/>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Product Description</w:t>
            </w:r>
          </w:p>
          <w:p w:rsidR="006228E0" w:rsidRDefault="006228E0">
            <w:pPr>
              <w:spacing w:before="0" w:after="0"/>
              <w:ind w:left="113" w:right="113"/>
              <w:jc w:val="center"/>
              <w:rPr>
                <w:rFonts w:eastAsia="Times New Roman"/>
                <w:b/>
                <w:bCs/>
                <w:noProof/>
                <w:sz w:val="18"/>
                <w:szCs w:val="18"/>
                <w:lang w:eastAsia="en-GB"/>
              </w:rPr>
            </w:pPr>
          </w:p>
        </w:tc>
        <w:tc>
          <w:tcPr>
            <w:tcW w:w="560" w:type="pct"/>
            <w:gridSpan w:val="2"/>
            <w:tcBorders>
              <w:top w:val="single" w:sz="4" w:space="0" w:color="auto"/>
              <w:left w:val="nil"/>
              <w:bottom w:val="single" w:sz="4" w:space="0" w:color="auto"/>
              <w:right w:val="single" w:sz="4" w:space="0" w:color="auto"/>
            </w:tcBorders>
            <w:shd w:val="clear" w:color="5B9BD5" w:fill="F4B084"/>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Unit</w:t>
            </w:r>
          </w:p>
        </w:tc>
        <w:tc>
          <w:tcPr>
            <w:tcW w:w="637" w:type="pct"/>
            <w:tcBorders>
              <w:top w:val="single" w:sz="4" w:space="0" w:color="auto"/>
              <w:left w:val="nil"/>
              <w:bottom w:val="single" w:sz="4" w:space="0" w:color="auto"/>
              <w:right w:val="single" w:sz="4" w:space="0" w:color="auto"/>
            </w:tcBorders>
            <w:shd w:val="clear" w:color="5B9BD5" w:fill="F4B084"/>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EU28 scheduled quantity</w:t>
            </w:r>
          </w:p>
        </w:tc>
        <w:tc>
          <w:tcPr>
            <w:tcW w:w="477"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Country</w:t>
            </w:r>
          </w:p>
        </w:tc>
        <w:tc>
          <w:tcPr>
            <w:tcW w:w="556"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Order number</w:t>
            </w:r>
          </w:p>
        </w:tc>
        <w:tc>
          <w:tcPr>
            <w:tcW w:w="480"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6228E0" w:rsidRDefault="002D5C64">
            <w:pPr>
              <w:spacing w:before="0" w:after="0"/>
              <w:ind w:left="113" w:right="113"/>
              <w:jc w:val="center"/>
              <w:rPr>
                <w:rFonts w:eastAsia="Times New Roman"/>
                <w:b/>
                <w:bCs/>
                <w:noProof/>
                <w:sz w:val="18"/>
                <w:szCs w:val="18"/>
                <w:lang w:val="it-IT" w:eastAsia="en-GB"/>
              </w:rPr>
            </w:pPr>
            <w:r>
              <w:rPr>
                <w:rFonts w:eastAsia="Times New Roman"/>
                <w:b/>
                <w:bCs/>
                <w:noProof/>
                <w:sz w:val="18"/>
                <w:szCs w:val="18"/>
                <w:lang w:val="it-IT" w:eastAsia="en-GB"/>
              </w:rPr>
              <w:t>EU27 share in quota usage</w:t>
            </w:r>
          </w:p>
        </w:tc>
        <w:tc>
          <w:tcPr>
            <w:tcW w:w="540"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6228E0" w:rsidRDefault="002D5C64">
            <w:pPr>
              <w:spacing w:before="0" w:after="0"/>
              <w:ind w:left="113" w:right="113"/>
              <w:jc w:val="center"/>
              <w:rPr>
                <w:rFonts w:eastAsia="Times New Roman"/>
                <w:b/>
                <w:bCs/>
                <w:noProof/>
                <w:sz w:val="18"/>
                <w:szCs w:val="18"/>
                <w:lang w:eastAsia="en-GB"/>
              </w:rPr>
            </w:pPr>
            <w:r>
              <w:rPr>
                <w:rFonts w:eastAsia="Times New Roman"/>
                <w:b/>
                <w:bCs/>
                <w:noProof/>
                <w:sz w:val="18"/>
                <w:szCs w:val="18"/>
                <w:lang w:eastAsia="en-GB"/>
              </w:rPr>
              <w:t>EU27 TRQ size</w:t>
            </w:r>
          </w:p>
        </w:tc>
      </w:tr>
      <w:tr w:rsidR="006228E0">
        <w:trPr>
          <w:gridAfter w:val="1"/>
          <w:wAfter w:w="15" w:type="pct"/>
          <w:trHeight w:val="240"/>
        </w:trPr>
        <w:tc>
          <w:tcPr>
            <w:tcW w:w="1735" w:type="pct"/>
            <w:tcBorders>
              <w:top w:val="nil"/>
              <w:left w:val="single" w:sz="4" w:space="0" w:color="auto"/>
              <w:bottom w:val="single" w:sz="4" w:space="0" w:color="auto"/>
              <w:right w:val="single" w:sz="4" w:space="0" w:color="auto"/>
            </w:tcBorders>
            <w:shd w:val="clear" w:color="5B9BD5" w:fill="ACB9CA"/>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FISHERY PRODUCTS</w:t>
            </w:r>
          </w:p>
        </w:tc>
        <w:tc>
          <w:tcPr>
            <w:tcW w:w="560" w:type="pct"/>
            <w:gridSpan w:val="2"/>
            <w:tcBorders>
              <w:top w:val="nil"/>
              <w:left w:val="nil"/>
              <w:bottom w:val="single" w:sz="4" w:space="0" w:color="auto"/>
              <w:right w:val="single" w:sz="4" w:space="0" w:color="auto"/>
            </w:tcBorders>
            <w:shd w:val="clear" w:color="5B9BD5" w:fill="ACB9CA"/>
          </w:tcPr>
          <w:p w:rsidR="006228E0" w:rsidRDefault="006228E0">
            <w:pPr>
              <w:spacing w:before="0" w:after="0"/>
              <w:jc w:val="center"/>
              <w:rPr>
                <w:rFonts w:eastAsia="Times New Roman"/>
                <w:b/>
                <w:bCs/>
                <w:noProof/>
                <w:sz w:val="18"/>
                <w:szCs w:val="18"/>
                <w:lang w:eastAsia="en-GB"/>
              </w:rPr>
            </w:pPr>
          </w:p>
        </w:tc>
        <w:tc>
          <w:tcPr>
            <w:tcW w:w="637" w:type="pct"/>
            <w:tcBorders>
              <w:top w:val="nil"/>
              <w:left w:val="nil"/>
              <w:bottom w:val="single" w:sz="4" w:space="0" w:color="auto"/>
              <w:right w:val="single" w:sz="4" w:space="0" w:color="auto"/>
            </w:tcBorders>
            <w:shd w:val="clear" w:color="5B9BD5" w:fill="ACB9CA"/>
          </w:tcPr>
          <w:p w:rsidR="006228E0" w:rsidRDefault="006228E0">
            <w:pPr>
              <w:spacing w:before="0" w:after="0"/>
              <w:jc w:val="center"/>
              <w:rPr>
                <w:rFonts w:eastAsia="Times New Roman"/>
                <w:b/>
                <w:bCs/>
                <w:noProof/>
                <w:sz w:val="18"/>
                <w:szCs w:val="18"/>
                <w:lang w:eastAsia="en-GB"/>
              </w:rPr>
            </w:pPr>
          </w:p>
        </w:tc>
        <w:tc>
          <w:tcPr>
            <w:tcW w:w="477" w:type="pct"/>
            <w:tcBorders>
              <w:top w:val="nil"/>
              <w:left w:val="nil"/>
              <w:bottom w:val="single" w:sz="4" w:space="0" w:color="auto"/>
              <w:right w:val="single" w:sz="4" w:space="0" w:color="auto"/>
            </w:tcBorders>
            <w:shd w:val="clear" w:color="5B9BD5" w:fill="ACB9CA"/>
            <w:noWrap/>
          </w:tcPr>
          <w:p w:rsidR="006228E0" w:rsidRDefault="006228E0">
            <w:pPr>
              <w:spacing w:before="0" w:after="0"/>
              <w:jc w:val="center"/>
              <w:rPr>
                <w:rFonts w:eastAsia="Times New Roman"/>
                <w:b/>
                <w:bCs/>
                <w:noProof/>
                <w:sz w:val="18"/>
                <w:szCs w:val="18"/>
                <w:lang w:eastAsia="en-GB"/>
              </w:rPr>
            </w:pPr>
          </w:p>
        </w:tc>
        <w:tc>
          <w:tcPr>
            <w:tcW w:w="556" w:type="pct"/>
            <w:tcBorders>
              <w:top w:val="nil"/>
              <w:left w:val="nil"/>
              <w:bottom w:val="single" w:sz="4" w:space="0" w:color="auto"/>
              <w:right w:val="single" w:sz="4" w:space="0" w:color="auto"/>
            </w:tcBorders>
            <w:shd w:val="clear" w:color="5B9BD5" w:fill="ACB9CA"/>
            <w:noWrap/>
          </w:tcPr>
          <w:p w:rsidR="006228E0" w:rsidRDefault="006228E0">
            <w:pPr>
              <w:spacing w:before="0" w:after="0"/>
              <w:jc w:val="center"/>
              <w:rPr>
                <w:rFonts w:eastAsia="Times New Roman"/>
                <w:b/>
                <w:bCs/>
                <w:noProof/>
                <w:sz w:val="18"/>
                <w:szCs w:val="18"/>
                <w:lang w:eastAsia="en-GB"/>
              </w:rPr>
            </w:pPr>
          </w:p>
        </w:tc>
        <w:tc>
          <w:tcPr>
            <w:tcW w:w="480" w:type="pct"/>
            <w:tcBorders>
              <w:top w:val="nil"/>
              <w:left w:val="nil"/>
              <w:bottom w:val="single" w:sz="4" w:space="0" w:color="auto"/>
              <w:right w:val="single" w:sz="4" w:space="0" w:color="auto"/>
            </w:tcBorders>
            <w:shd w:val="clear" w:color="000000" w:fill="ACB9CA"/>
          </w:tcPr>
          <w:p w:rsidR="006228E0" w:rsidRDefault="006228E0">
            <w:pPr>
              <w:spacing w:before="0" w:after="0"/>
              <w:jc w:val="center"/>
              <w:rPr>
                <w:rFonts w:eastAsia="Times New Roman"/>
                <w:b/>
                <w:bCs/>
                <w:noProof/>
                <w:sz w:val="18"/>
                <w:szCs w:val="18"/>
                <w:lang w:eastAsia="en-GB"/>
              </w:rPr>
            </w:pPr>
          </w:p>
        </w:tc>
        <w:tc>
          <w:tcPr>
            <w:tcW w:w="540" w:type="pct"/>
            <w:tcBorders>
              <w:top w:val="nil"/>
              <w:left w:val="nil"/>
              <w:bottom w:val="single" w:sz="4" w:space="0" w:color="auto"/>
              <w:right w:val="single" w:sz="4" w:space="0" w:color="auto"/>
            </w:tcBorders>
            <w:shd w:val="clear" w:color="000000" w:fill="ACB9CA"/>
            <w:noWrap/>
          </w:tcPr>
          <w:p w:rsidR="006228E0" w:rsidRDefault="006228E0">
            <w:pPr>
              <w:spacing w:before="0" w:after="0"/>
              <w:jc w:val="center"/>
              <w:rPr>
                <w:rFonts w:eastAsia="Times New Roman"/>
                <w:b/>
                <w:bCs/>
                <w:noProof/>
                <w:sz w:val="18"/>
                <w:szCs w:val="18"/>
                <w:lang w:eastAsia="en-GB"/>
              </w:rPr>
            </w:pP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val="sv-SE" w:eastAsia="en-GB"/>
              </w:rPr>
            </w:pPr>
            <w:r>
              <w:rPr>
                <w:rFonts w:eastAsia="Times New Roman"/>
                <w:noProof/>
                <w:sz w:val="18"/>
                <w:szCs w:val="18"/>
                <w:lang w:val="sv-SE" w:eastAsia="en-GB"/>
              </w:rPr>
              <w:t xml:space="preserve">Herring, fresh </w:t>
            </w:r>
            <w:r>
              <w:rPr>
                <w:rFonts w:eastAsia="Times New Roman"/>
                <w:noProof/>
                <w:sz w:val="18"/>
                <w:szCs w:val="18"/>
                <w:lang w:val="sv-SE" w:eastAsia="en-GB"/>
              </w:rPr>
              <w:t>frozen en fillets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34,000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090006</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93.8%</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31,888</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Cod of the species Gadus morhua and Gadus ogac Fish of the species Boreogadus saida</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25,000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090007</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99.99%</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24,998</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ascii="Calibri" w:eastAsia="Times New Roman" w:hAnsi="Calibri" w:cs="Arial"/>
                <w:noProof/>
                <w:color w:val="000000"/>
                <w:sz w:val="18"/>
                <w:szCs w:val="18"/>
                <w:lang w:eastAsia="en-GB"/>
              </w:rPr>
            </w:pPr>
            <w:r>
              <w:rPr>
                <w:rFonts w:eastAsia="Times New Roman"/>
                <w:noProof/>
                <w:sz w:val="18"/>
                <w:szCs w:val="18"/>
                <w:lang w:eastAsia="en-GB"/>
              </w:rPr>
              <w:t>Hake, fresh and frozen</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090009</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99.9%</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1,999</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Salmonids frozen of the genus </w:t>
            </w:r>
            <w:r>
              <w:rPr>
                <w:rFonts w:eastAsia="Times New Roman"/>
                <w:noProof/>
                <w:sz w:val="18"/>
                <w:szCs w:val="18"/>
                <w:lang w:eastAsia="en-GB"/>
              </w:rPr>
              <w:t>Coregonus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1,000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090045</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1,000</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Freshwater crayfish, cooked in dill, frozen</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3,000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090046</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98.8%</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2,965</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Shrimps of the species Pandalus borealis, shelled, boiled, frozen, but not further prepared</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090047</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94.7%</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474</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Fish of the genus </w:t>
            </w:r>
            <w:r>
              <w:rPr>
                <w:rFonts w:eastAsia="Times New Roman"/>
                <w:noProof/>
                <w:sz w:val="18"/>
                <w:szCs w:val="18"/>
                <w:lang w:eastAsia="en-GB"/>
              </w:rPr>
              <w:t>Allocyttus and of the species Pseudocyttus maculatus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090048</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200</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Prepared or preserved fish (excl. whole or in pieces): of tuna, skipjack or other fish of the genus Euthynnus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1,816</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090704</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1,816</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Prepared or preserved fish (excl. </w:t>
            </w:r>
            <w:r>
              <w:rPr>
                <w:rFonts w:eastAsia="Times New Roman"/>
                <w:noProof/>
                <w:sz w:val="18"/>
                <w:szCs w:val="18"/>
                <w:lang w:eastAsia="en-GB"/>
              </w:rPr>
              <w:t>whole or in pieces): of tuna, skipjack or other fish of the genus Euthynnus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742</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090705</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742</w:t>
            </w:r>
          </w:p>
        </w:tc>
      </w:tr>
      <w:tr w:rsidR="006228E0">
        <w:trPr>
          <w:gridAfter w:val="1"/>
          <w:wAfter w:w="15" w:type="pct"/>
          <w:trHeight w:val="1065"/>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Prepared or preserved fish (excl. whole or in pieces): of sardines, bonito, mackerel of the species Scomber scombrus and Scomber japonicas, fish of the </w:t>
            </w:r>
            <w:r>
              <w:rPr>
                <w:rFonts w:eastAsia="Times New Roman"/>
                <w:noProof/>
                <w:sz w:val="18"/>
                <w:szCs w:val="18"/>
                <w:lang w:eastAsia="en-GB"/>
              </w:rPr>
              <w:t>species Orcynopsis unicolor</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1,410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THA</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090706</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8.7%</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123</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6228E0" w:rsidRDefault="002D5C64">
            <w:pPr>
              <w:spacing w:before="0" w:after="0"/>
              <w:jc w:val="left"/>
              <w:rPr>
                <w:rFonts w:eastAsia="Times New Roman"/>
                <w:noProof/>
                <w:sz w:val="18"/>
                <w:szCs w:val="18"/>
                <w:lang w:eastAsia="en-GB"/>
              </w:rPr>
            </w:pPr>
            <w:r>
              <w:rPr>
                <w:rFonts w:eastAsia="Times New Roman"/>
                <w:noProof/>
                <w:sz w:val="18"/>
                <w:szCs w:val="18"/>
                <w:lang w:eastAsia="en-GB"/>
              </w:rPr>
              <w:t>Prepared or preserved fish (excl. whole or in pieces): of sardines, bonito, mackerel of the species Scomber scombrus and Scomber japonicas, fish of the species Orcynopsis unicolor</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865</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090707</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72.9%</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631</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6228E0" w:rsidRDefault="002D5C64">
            <w:pPr>
              <w:spacing w:before="0" w:after="0"/>
              <w:jc w:val="left"/>
              <w:rPr>
                <w:rFonts w:eastAsia="Times New Roman"/>
                <w:noProof/>
                <w:sz w:val="18"/>
                <w:szCs w:val="18"/>
                <w:lang w:eastAsia="en-GB"/>
              </w:rPr>
            </w:pPr>
            <w:r>
              <w:rPr>
                <w:rFonts w:eastAsia="Times New Roman"/>
                <w:noProof/>
                <w:sz w:val="18"/>
                <w:szCs w:val="18"/>
                <w:lang w:eastAsia="en-GB"/>
              </w:rPr>
              <w:t>Tunas (of the genus Thunnus)  and  fish of the genus Euthynnus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17,250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Not used</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99.83%</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17,221</w:t>
            </w:r>
          </w:p>
        </w:tc>
      </w:tr>
      <w:tr w:rsidR="006228E0">
        <w:trPr>
          <w:gridAfter w:val="1"/>
          <w:wAfter w:w="15" w:type="pct"/>
          <w:trHeight w:val="240"/>
        </w:trPr>
        <w:tc>
          <w:tcPr>
            <w:tcW w:w="1735" w:type="pct"/>
            <w:tcBorders>
              <w:top w:val="nil"/>
              <w:left w:val="single" w:sz="4" w:space="0" w:color="auto"/>
              <w:bottom w:val="single" w:sz="4" w:space="0" w:color="auto"/>
              <w:right w:val="single" w:sz="4" w:space="0" w:color="auto"/>
            </w:tcBorders>
            <w:shd w:val="clear" w:color="5B9BD5" w:fill="ACB9CA"/>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 xml:space="preserve"> INDUSTRIAL GOODS AND FRUCTOSE </w:t>
            </w:r>
          </w:p>
        </w:tc>
        <w:tc>
          <w:tcPr>
            <w:tcW w:w="560" w:type="pct"/>
            <w:gridSpan w:val="2"/>
            <w:tcBorders>
              <w:top w:val="nil"/>
              <w:left w:val="nil"/>
              <w:bottom w:val="single" w:sz="4" w:space="0" w:color="auto"/>
              <w:right w:val="single" w:sz="4" w:space="0" w:color="auto"/>
            </w:tcBorders>
            <w:shd w:val="clear" w:color="5B9BD5" w:fill="ACB9CA"/>
            <w:vAlign w:val="center"/>
            <w:hideMark/>
          </w:tcPr>
          <w:p w:rsidR="006228E0" w:rsidRDefault="006228E0">
            <w:pPr>
              <w:spacing w:before="0" w:after="0"/>
              <w:jc w:val="center"/>
              <w:rPr>
                <w:rFonts w:eastAsia="Times New Roman"/>
                <w:b/>
                <w:bCs/>
                <w:noProof/>
                <w:sz w:val="18"/>
                <w:szCs w:val="18"/>
                <w:lang w:eastAsia="en-GB"/>
              </w:rPr>
            </w:pPr>
          </w:p>
        </w:tc>
        <w:tc>
          <w:tcPr>
            <w:tcW w:w="637" w:type="pct"/>
            <w:tcBorders>
              <w:top w:val="nil"/>
              <w:left w:val="nil"/>
              <w:bottom w:val="single" w:sz="4" w:space="0" w:color="auto"/>
              <w:right w:val="single" w:sz="4" w:space="0" w:color="auto"/>
            </w:tcBorders>
            <w:shd w:val="clear" w:color="5B9BD5" w:fill="ACB9CA"/>
            <w:vAlign w:val="center"/>
            <w:hideMark/>
          </w:tcPr>
          <w:p w:rsidR="006228E0" w:rsidRDefault="006228E0">
            <w:pPr>
              <w:spacing w:before="0" w:after="0"/>
              <w:jc w:val="center"/>
              <w:rPr>
                <w:rFonts w:eastAsia="Times New Roman"/>
                <w:b/>
                <w:bCs/>
                <w:noProof/>
                <w:sz w:val="18"/>
                <w:szCs w:val="18"/>
                <w:lang w:eastAsia="en-GB"/>
              </w:rPr>
            </w:pPr>
          </w:p>
        </w:tc>
        <w:tc>
          <w:tcPr>
            <w:tcW w:w="477" w:type="pct"/>
            <w:tcBorders>
              <w:top w:val="nil"/>
              <w:left w:val="nil"/>
              <w:bottom w:val="single" w:sz="4" w:space="0" w:color="auto"/>
              <w:right w:val="single" w:sz="4" w:space="0" w:color="auto"/>
            </w:tcBorders>
            <w:shd w:val="clear" w:color="5B9BD5" w:fill="ACB9CA"/>
            <w:noWrap/>
            <w:vAlign w:val="center"/>
            <w:hideMark/>
          </w:tcPr>
          <w:p w:rsidR="006228E0" w:rsidRDefault="006228E0">
            <w:pPr>
              <w:spacing w:before="0" w:after="0"/>
              <w:jc w:val="center"/>
              <w:rPr>
                <w:rFonts w:eastAsia="Times New Roman"/>
                <w:b/>
                <w:bCs/>
                <w:noProof/>
                <w:sz w:val="18"/>
                <w:szCs w:val="18"/>
                <w:lang w:eastAsia="en-GB"/>
              </w:rPr>
            </w:pPr>
          </w:p>
        </w:tc>
        <w:tc>
          <w:tcPr>
            <w:tcW w:w="556" w:type="pct"/>
            <w:tcBorders>
              <w:top w:val="nil"/>
              <w:left w:val="nil"/>
              <w:bottom w:val="single" w:sz="4" w:space="0" w:color="auto"/>
              <w:right w:val="single" w:sz="4" w:space="0" w:color="auto"/>
            </w:tcBorders>
            <w:shd w:val="clear" w:color="5B9BD5" w:fill="ACB9CA"/>
            <w:noWrap/>
            <w:vAlign w:val="center"/>
            <w:hideMark/>
          </w:tcPr>
          <w:p w:rsidR="006228E0" w:rsidRDefault="006228E0">
            <w:pPr>
              <w:spacing w:before="0" w:after="0"/>
              <w:jc w:val="center"/>
              <w:rPr>
                <w:rFonts w:eastAsia="Times New Roman"/>
                <w:b/>
                <w:bCs/>
                <w:noProof/>
                <w:sz w:val="18"/>
                <w:szCs w:val="18"/>
                <w:lang w:eastAsia="en-GB"/>
              </w:rPr>
            </w:pPr>
          </w:p>
        </w:tc>
        <w:tc>
          <w:tcPr>
            <w:tcW w:w="480" w:type="pct"/>
            <w:tcBorders>
              <w:top w:val="nil"/>
              <w:left w:val="nil"/>
              <w:bottom w:val="single" w:sz="4" w:space="0" w:color="auto"/>
              <w:right w:val="single" w:sz="4" w:space="0" w:color="auto"/>
            </w:tcBorders>
            <w:shd w:val="clear" w:color="000000" w:fill="ACB9CA"/>
            <w:vAlign w:val="center"/>
          </w:tcPr>
          <w:p w:rsidR="006228E0" w:rsidRDefault="006228E0">
            <w:pPr>
              <w:spacing w:before="0" w:after="0"/>
              <w:jc w:val="center"/>
              <w:rPr>
                <w:rFonts w:eastAsia="Times New Roman"/>
                <w:b/>
                <w:bCs/>
                <w:noProof/>
                <w:sz w:val="18"/>
                <w:szCs w:val="18"/>
                <w:lang w:eastAsia="en-GB"/>
              </w:rPr>
            </w:pPr>
          </w:p>
        </w:tc>
        <w:tc>
          <w:tcPr>
            <w:tcW w:w="540" w:type="pct"/>
            <w:tcBorders>
              <w:top w:val="nil"/>
              <w:left w:val="nil"/>
              <w:bottom w:val="single" w:sz="4" w:space="0" w:color="auto"/>
              <w:right w:val="single" w:sz="4" w:space="0" w:color="auto"/>
            </w:tcBorders>
            <w:shd w:val="clear" w:color="000000" w:fill="ACB9CA"/>
            <w:noWrap/>
            <w:vAlign w:val="center"/>
            <w:hideMark/>
          </w:tcPr>
          <w:p w:rsidR="006228E0" w:rsidRDefault="006228E0">
            <w:pPr>
              <w:spacing w:before="0" w:after="0"/>
              <w:jc w:val="center"/>
              <w:rPr>
                <w:rFonts w:eastAsia="Times New Roman"/>
                <w:b/>
                <w:bCs/>
                <w:noProof/>
                <w:sz w:val="18"/>
                <w:szCs w:val="18"/>
                <w:lang w:eastAsia="en-GB"/>
              </w:rPr>
            </w:pPr>
          </w:p>
        </w:tc>
      </w:tr>
      <w:tr w:rsidR="006228E0">
        <w:trPr>
          <w:gridAfter w:val="1"/>
          <w:wAfter w:w="15" w:type="pct"/>
          <w:trHeight w:val="1275"/>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Plywood of coniferous species, without the addition of other  substances: —  of  which  the  faces  are  </w:t>
            </w:r>
            <w:r>
              <w:rPr>
                <w:rFonts w:eastAsia="Times New Roman"/>
                <w:noProof/>
                <w:sz w:val="18"/>
                <w:szCs w:val="18"/>
                <w:lang w:eastAsia="en-GB"/>
              </w:rPr>
              <w:t>not   further prepared  than  the  peeling  process, of a thickness  greater than 8,5 mm, or —  sanded,  of  a  thickness  greater   than 18,5  mm</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cubic m</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650,000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090013</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74.3%</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482,648</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Ferro-silicon</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12,600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090019</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12,600</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Ferro-silico-manganese</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18,550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090021</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18,550</w:t>
            </w:r>
          </w:p>
        </w:tc>
      </w:tr>
      <w:tr w:rsidR="006228E0">
        <w:trPr>
          <w:gridAfter w:val="1"/>
          <w:wAfter w:w="15" w:type="pct"/>
          <w:trHeight w:val="855"/>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Ferro-chromium containing not more  than 0,10  %  by  weight of  carbon, and  more than  30  %  but  not  more  than  90  %  of chromium</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2,950</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090023</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95%</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2,804</w:t>
            </w:r>
          </w:p>
        </w:tc>
      </w:tr>
      <w:tr w:rsidR="006228E0">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 xml:space="preserve">Similar glass small wares  other than: glass beads, </w:t>
            </w:r>
            <w:r>
              <w:rPr>
                <w:rFonts w:eastAsia="Times New Roman"/>
                <w:noProof/>
                <w:sz w:val="18"/>
                <w:szCs w:val="18"/>
                <w:lang w:eastAsia="en-GB"/>
              </w:rPr>
              <w:t>imitation pearls and imitation precious and  semi- precious stones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52</w:t>
            </w:r>
          </w:p>
        </w:tc>
        <w:tc>
          <w:tcPr>
            <w:tcW w:w="477"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090051</w:t>
            </w:r>
          </w:p>
        </w:tc>
        <w:tc>
          <w:tcPr>
            <w:tcW w:w="480"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52</w:t>
            </w:r>
          </w:p>
        </w:tc>
      </w:tr>
      <w:tr w:rsidR="006228E0">
        <w:trPr>
          <w:gridAfter w:val="1"/>
          <w:wAfter w:w="15" w:type="pct"/>
          <w:cantSplit/>
          <w:trHeight w:val="600"/>
        </w:trPr>
        <w:tc>
          <w:tcPr>
            <w:tcW w:w="1735" w:type="pct"/>
            <w:tcBorders>
              <w:top w:val="nil"/>
              <w:left w:val="single" w:sz="4" w:space="0" w:color="auto"/>
              <w:bottom w:val="nil"/>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Unbleached flax yarn (other than tow yarn) measuring  333,3   decitex  or   more  (not exceeding 30 metric  number)</w:t>
            </w:r>
          </w:p>
        </w:tc>
        <w:tc>
          <w:tcPr>
            <w:tcW w:w="560" w:type="pct"/>
            <w:gridSpan w:val="2"/>
            <w:tcBorders>
              <w:top w:val="nil"/>
              <w:left w:val="nil"/>
              <w:bottom w:val="nil"/>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37" w:type="pct"/>
            <w:tcBorders>
              <w:top w:val="nil"/>
              <w:left w:val="nil"/>
              <w:bottom w:val="nil"/>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400</w:t>
            </w:r>
          </w:p>
        </w:tc>
        <w:tc>
          <w:tcPr>
            <w:tcW w:w="477" w:type="pct"/>
            <w:tcBorders>
              <w:top w:val="nil"/>
              <w:left w:val="nil"/>
              <w:bottom w:val="nil"/>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nil"/>
              <w:right w:val="single" w:sz="4" w:space="0" w:color="auto"/>
            </w:tcBorders>
            <w:shd w:val="clear" w:color="auto" w:fill="auto"/>
            <w:noWrap/>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090050</w:t>
            </w:r>
          </w:p>
        </w:tc>
        <w:tc>
          <w:tcPr>
            <w:tcW w:w="480" w:type="pct"/>
            <w:tcBorders>
              <w:top w:val="nil"/>
              <w:left w:val="nil"/>
              <w:bottom w:val="nil"/>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40" w:type="pct"/>
            <w:tcBorders>
              <w:top w:val="nil"/>
              <w:left w:val="nil"/>
              <w:bottom w:val="nil"/>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400</w:t>
            </w:r>
          </w:p>
        </w:tc>
      </w:tr>
      <w:tr w:rsidR="006228E0">
        <w:trPr>
          <w:gridAfter w:val="1"/>
          <w:wAfter w:w="15" w:type="pct"/>
          <w:cantSplit/>
          <w:trHeight w:val="600"/>
        </w:trPr>
        <w:tc>
          <w:tcPr>
            <w:tcW w:w="1735" w:type="pct"/>
            <w:tcBorders>
              <w:top w:val="nil"/>
              <w:left w:val="single" w:sz="4" w:space="0" w:color="auto"/>
              <w:bottom w:val="single" w:sz="4" w:space="0" w:color="auto"/>
              <w:right w:val="single" w:sz="4" w:space="0" w:color="auto"/>
            </w:tcBorders>
            <w:shd w:val="clear" w:color="auto" w:fill="auto"/>
          </w:tcPr>
          <w:p w:rsidR="006228E0" w:rsidRDefault="006228E0">
            <w:pPr>
              <w:spacing w:before="0" w:after="0"/>
              <w:rPr>
                <w:rFonts w:eastAsia="Times New Roman"/>
                <w:noProof/>
                <w:sz w:val="18"/>
                <w:szCs w:val="18"/>
                <w:lang w:eastAsia="en-GB"/>
              </w:rPr>
            </w:pPr>
          </w:p>
        </w:tc>
        <w:tc>
          <w:tcPr>
            <w:tcW w:w="560" w:type="pct"/>
            <w:gridSpan w:val="2"/>
            <w:tcBorders>
              <w:top w:val="nil"/>
              <w:left w:val="nil"/>
              <w:bottom w:val="single" w:sz="4" w:space="0" w:color="auto"/>
              <w:right w:val="single" w:sz="4" w:space="0" w:color="auto"/>
            </w:tcBorders>
            <w:shd w:val="clear" w:color="auto" w:fill="auto"/>
            <w:noWrap/>
            <w:vAlign w:val="center"/>
          </w:tcPr>
          <w:p w:rsidR="006228E0" w:rsidRDefault="006228E0">
            <w:pPr>
              <w:spacing w:before="0" w:after="0"/>
              <w:jc w:val="center"/>
              <w:rPr>
                <w:rFonts w:eastAsia="Times New Roman"/>
                <w:noProof/>
                <w:sz w:val="18"/>
                <w:szCs w:val="18"/>
                <w:lang w:eastAsia="en-GB"/>
              </w:rPr>
            </w:pPr>
          </w:p>
        </w:tc>
        <w:tc>
          <w:tcPr>
            <w:tcW w:w="637" w:type="pct"/>
            <w:tcBorders>
              <w:top w:val="nil"/>
              <w:left w:val="nil"/>
              <w:bottom w:val="single" w:sz="4" w:space="0" w:color="auto"/>
              <w:right w:val="single" w:sz="4" w:space="0" w:color="auto"/>
            </w:tcBorders>
            <w:shd w:val="clear" w:color="auto" w:fill="auto"/>
            <w:noWrap/>
            <w:vAlign w:val="center"/>
          </w:tcPr>
          <w:p w:rsidR="006228E0" w:rsidRDefault="006228E0">
            <w:pPr>
              <w:spacing w:before="0" w:after="0"/>
              <w:jc w:val="center"/>
              <w:rPr>
                <w:rFonts w:eastAsia="Times New Roman"/>
                <w:noProof/>
                <w:sz w:val="18"/>
                <w:szCs w:val="18"/>
                <w:lang w:eastAsia="en-GB"/>
              </w:rPr>
            </w:pPr>
          </w:p>
        </w:tc>
        <w:tc>
          <w:tcPr>
            <w:tcW w:w="477" w:type="pct"/>
            <w:tcBorders>
              <w:top w:val="nil"/>
              <w:left w:val="nil"/>
              <w:bottom w:val="single" w:sz="4" w:space="0" w:color="auto"/>
              <w:right w:val="single" w:sz="4" w:space="0" w:color="auto"/>
            </w:tcBorders>
            <w:shd w:val="clear" w:color="auto" w:fill="auto"/>
            <w:noWrap/>
            <w:vAlign w:val="center"/>
          </w:tcPr>
          <w:p w:rsidR="006228E0" w:rsidRDefault="006228E0">
            <w:pPr>
              <w:spacing w:before="0" w:after="0"/>
              <w:jc w:val="center"/>
              <w:rPr>
                <w:rFonts w:eastAsia="Times New Roman"/>
                <w:noProof/>
                <w:sz w:val="18"/>
                <w:szCs w:val="18"/>
                <w:lang w:eastAsia="en-GB"/>
              </w:rPr>
            </w:pPr>
          </w:p>
        </w:tc>
        <w:tc>
          <w:tcPr>
            <w:tcW w:w="556" w:type="pct"/>
            <w:tcBorders>
              <w:top w:val="nil"/>
              <w:left w:val="nil"/>
              <w:bottom w:val="single" w:sz="4" w:space="0" w:color="auto"/>
              <w:right w:val="single" w:sz="4" w:space="0" w:color="auto"/>
            </w:tcBorders>
            <w:shd w:val="clear" w:color="auto" w:fill="auto"/>
            <w:noWrap/>
            <w:vAlign w:val="center"/>
          </w:tcPr>
          <w:p w:rsidR="006228E0" w:rsidRDefault="006228E0">
            <w:pPr>
              <w:spacing w:before="0" w:after="0"/>
              <w:jc w:val="center"/>
              <w:rPr>
                <w:rFonts w:eastAsia="Times New Roman"/>
                <w:noProof/>
                <w:sz w:val="18"/>
                <w:szCs w:val="18"/>
                <w:lang w:eastAsia="en-GB"/>
              </w:rPr>
            </w:pPr>
          </w:p>
        </w:tc>
        <w:tc>
          <w:tcPr>
            <w:tcW w:w="480" w:type="pct"/>
            <w:tcBorders>
              <w:top w:val="nil"/>
              <w:left w:val="nil"/>
              <w:bottom w:val="single" w:sz="4" w:space="0" w:color="auto"/>
              <w:right w:val="single" w:sz="4" w:space="0" w:color="auto"/>
            </w:tcBorders>
            <w:shd w:val="clear" w:color="auto" w:fill="auto"/>
            <w:vAlign w:val="center"/>
          </w:tcPr>
          <w:p w:rsidR="006228E0" w:rsidRDefault="006228E0">
            <w:pPr>
              <w:spacing w:before="0" w:after="0"/>
              <w:jc w:val="center"/>
              <w:rPr>
                <w:rFonts w:eastAsia="Times New Roman"/>
                <w:b/>
                <w:bCs/>
                <w:noProof/>
                <w:sz w:val="18"/>
                <w:szCs w:val="18"/>
                <w:lang w:eastAsia="en-GB"/>
              </w:rPr>
            </w:pPr>
          </w:p>
        </w:tc>
        <w:tc>
          <w:tcPr>
            <w:tcW w:w="540" w:type="pct"/>
            <w:tcBorders>
              <w:top w:val="nil"/>
              <w:left w:val="nil"/>
              <w:bottom w:val="single" w:sz="4" w:space="0" w:color="auto"/>
              <w:right w:val="single" w:sz="4" w:space="0" w:color="auto"/>
            </w:tcBorders>
            <w:shd w:val="clear" w:color="auto" w:fill="auto"/>
            <w:vAlign w:val="center"/>
          </w:tcPr>
          <w:p w:rsidR="006228E0" w:rsidRDefault="006228E0">
            <w:pPr>
              <w:spacing w:before="0" w:after="0"/>
              <w:rPr>
                <w:rFonts w:eastAsia="Times New Roman"/>
                <w:b/>
                <w:bCs/>
                <w:noProof/>
                <w:sz w:val="18"/>
                <w:szCs w:val="18"/>
                <w:lang w:eastAsia="en-GB"/>
              </w:rPr>
            </w:pPr>
          </w:p>
        </w:tc>
      </w:tr>
      <w:tr w:rsidR="006228E0">
        <w:trPr>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Chemically pure</w:t>
            </w:r>
            <w:r>
              <w:rPr>
                <w:rFonts w:eastAsia="Times New Roman"/>
                <w:noProof/>
                <w:sz w:val="18"/>
                <w:szCs w:val="18"/>
                <w:lang w:eastAsia="en-GB"/>
              </w:rPr>
              <w:t xml:space="preserve"> fructose</w:t>
            </w:r>
          </w:p>
        </w:tc>
        <w:tc>
          <w:tcPr>
            <w:tcW w:w="556"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t</w:t>
            </w:r>
          </w:p>
        </w:tc>
        <w:tc>
          <w:tcPr>
            <w:tcW w:w="641" w:type="pct"/>
            <w:gridSpan w:val="2"/>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4,504</w:t>
            </w:r>
          </w:p>
        </w:tc>
        <w:tc>
          <w:tcPr>
            <w:tcW w:w="477"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EO</w:t>
            </w:r>
          </w:p>
        </w:tc>
        <w:tc>
          <w:tcPr>
            <w:tcW w:w="556" w:type="pct"/>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noProof/>
                <w:sz w:val="18"/>
                <w:szCs w:val="18"/>
                <w:lang w:eastAsia="en-GB"/>
              </w:rPr>
            </w:pPr>
            <w:r>
              <w:rPr>
                <w:rFonts w:eastAsia="Times New Roman"/>
                <w:noProof/>
                <w:sz w:val="18"/>
                <w:szCs w:val="18"/>
                <w:lang w:eastAsia="en-GB"/>
              </w:rPr>
              <w:t>090091</w:t>
            </w:r>
          </w:p>
        </w:tc>
        <w:tc>
          <w:tcPr>
            <w:tcW w:w="478" w:type="pct"/>
            <w:tcBorders>
              <w:top w:val="nil"/>
              <w:left w:val="nil"/>
              <w:bottom w:val="single" w:sz="4" w:space="0" w:color="auto"/>
              <w:right w:val="single" w:sz="4" w:space="0" w:color="auto"/>
            </w:tcBorders>
            <w:shd w:val="clear" w:color="auto" w:fill="auto"/>
            <w:vAlign w:val="center"/>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100%</w:t>
            </w:r>
          </w:p>
        </w:tc>
        <w:tc>
          <w:tcPr>
            <w:tcW w:w="557" w:type="pct"/>
            <w:gridSpan w:val="2"/>
            <w:tcBorders>
              <w:top w:val="nil"/>
              <w:left w:val="nil"/>
              <w:bottom w:val="single" w:sz="4" w:space="0" w:color="auto"/>
              <w:right w:val="single" w:sz="4" w:space="0" w:color="auto"/>
            </w:tcBorders>
            <w:shd w:val="clear" w:color="auto" w:fill="auto"/>
            <w:vAlign w:val="center"/>
            <w:hideMark/>
          </w:tcPr>
          <w:p w:rsidR="006228E0" w:rsidRDefault="002D5C64">
            <w:pPr>
              <w:spacing w:before="0" w:after="0"/>
              <w:jc w:val="center"/>
              <w:rPr>
                <w:rFonts w:eastAsia="Times New Roman"/>
                <w:b/>
                <w:bCs/>
                <w:noProof/>
                <w:sz w:val="18"/>
                <w:szCs w:val="18"/>
                <w:lang w:eastAsia="en-GB"/>
              </w:rPr>
            </w:pPr>
            <w:r>
              <w:rPr>
                <w:rFonts w:eastAsia="Times New Roman"/>
                <w:b/>
                <w:bCs/>
                <w:noProof/>
                <w:sz w:val="18"/>
                <w:szCs w:val="18"/>
                <w:lang w:eastAsia="en-GB"/>
              </w:rPr>
              <w:t>4,504</w:t>
            </w:r>
          </w:p>
        </w:tc>
      </w:tr>
    </w:tbl>
    <w:p w:rsidR="006228E0" w:rsidRDefault="006228E0">
      <w:pPr>
        <w:rPr>
          <w:noProof/>
        </w:rPr>
      </w:pPr>
    </w:p>
    <w:sectPr w:rsidR="006228E0" w:rsidSect="002D5C64">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E0" w:rsidRDefault="002D5C64">
      <w:pPr>
        <w:spacing w:before="0" w:after="0"/>
      </w:pPr>
      <w:r>
        <w:separator/>
      </w:r>
    </w:p>
  </w:endnote>
  <w:endnote w:type="continuationSeparator" w:id="0">
    <w:p w:rsidR="006228E0" w:rsidRDefault="002D5C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64" w:rsidRPr="002D5C64" w:rsidRDefault="002D5C64" w:rsidP="002D5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E0" w:rsidRPr="002D5C64" w:rsidRDefault="002D5C64" w:rsidP="002D5C64">
    <w:pPr>
      <w:pStyle w:val="Footer"/>
      <w:rPr>
        <w:rFonts w:ascii="Arial" w:hAnsi="Arial" w:cs="Arial"/>
        <w:b/>
        <w:sz w:val="48"/>
      </w:rPr>
    </w:pPr>
    <w:r w:rsidRPr="002D5C64">
      <w:rPr>
        <w:rFonts w:ascii="Arial" w:hAnsi="Arial" w:cs="Arial"/>
        <w:b/>
        <w:sz w:val="48"/>
      </w:rPr>
      <w:t>EN</w:t>
    </w:r>
    <w:r w:rsidRPr="002D5C64">
      <w:rPr>
        <w:rFonts w:ascii="Arial" w:hAnsi="Arial" w:cs="Arial"/>
        <w:b/>
        <w:sz w:val="48"/>
      </w:rPr>
      <w:tab/>
    </w:r>
    <w:r w:rsidRPr="002D5C64">
      <w:rPr>
        <w:rFonts w:ascii="Arial" w:hAnsi="Arial" w:cs="Arial"/>
        <w:b/>
        <w:sz w:val="48"/>
      </w:rPr>
      <w:tab/>
    </w:r>
    <w:r w:rsidRPr="002D5C64">
      <w:tab/>
    </w:r>
    <w:proofErr w:type="spellStart"/>
    <w:r w:rsidRPr="002D5C6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64" w:rsidRPr="002D5C64" w:rsidRDefault="002D5C64" w:rsidP="002D5C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64" w:rsidRPr="002D5C64" w:rsidRDefault="002D5C64" w:rsidP="002D5C64">
    <w:pPr>
      <w:pStyle w:val="Footer"/>
      <w:rPr>
        <w:rFonts w:ascii="Arial" w:hAnsi="Arial" w:cs="Arial"/>
        <w:b/>
        <w:sz w:val="48"/>
      </w:rPr>
    </w:pPr>
    <w:r w:rsidRPr="002D5C64">
      <w:rPr>
        <w:rFonts w:ascii="Arial" w:hAnsi="Arial" w:cs="Arial"/>
        <w:b/>
        <w:sz w:val="48"/>
      </w:rPr>
      <w:t>EN</w:t>
    </w:r>
    <w:r w:rsidRPr="002D5C6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D5C64">
      <w:tab/>
    </w:r>
    <w:r w:rsidRPr="002D5C6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64" w:rsidRPr="002D5C64" w:rsidRDefault="002D5C64" w:rsidP="002D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E0" w:rsidRDefault="002D5C64">
      <w:pPr>
        <w:spacing w:before="0" w:after="0"/>
      </w:pPr>
      <w:r>
        <w:separator/>
      </w:r>
    </w:p>
  </w:footnote>
  <w:footnote w:type="continuationSeparator" w:id="0">
    <w:p w:rsidR="006228E0" w:rsidRDefault="002D5C64">
      <w:pPr>
        <w:spacing w:before="0" w:after="0"/>
      </w:pPr>
      <w:r>
        <w:continuationSeparator/>
      </w:r>
    </w:p>
  </w:footnote>
  <w:footnote w:id="1">
    <w:p w:rsidR="006228E0" w:rsidRDefault="002D5C64">
      <w:pPr>
        <w:pStyle w:val="FootnoteText"/>
      </w:pPr>
      <w:r>
        <w:rPr>
          <w:rStyle w:val="FootnoteReference"/>
        </w:rPr>
        <w:footnoteRef/>
      </w:r>
      <w:r>
        <w:tab/>
        <w:t>For official country codes please refer to:</w:t>
      </w:r>
      <w:r>
        <w:tab/>
        <w:t xml:space="preserve"> http://www.nationsonline.org/oneworld/country_code_list.htm</w:t>
      </w:r>
    </w:p>
  </w:footnote>
  <w:footnote w:id="2">
    <w:p w:rsidR="006228E0" w:rsidRDefault="002D5C64">
      <w:pPr>
        <w:pStyle w:val="FootnoteText"/>
      </w:pPr>
      <w:r>
        <w:rPr>
          <w:rStyle w:val="FootnoteReference"/>
        </w:rPr>
        <w:footnoteRef/>
      </w:r>
      <w:r>
        <w:tab/>
        <w:t>For presentational purposes, the percentage has been rounded to one</w:t>
      </w:r>
      <w:r>
        <w:t xml:space="preserve"> decimal place. The EU27 TRQ size is, however, calculated based on the exact percentage.</w:t>
      </w:r>
    </w:p>
  </w:footnote>
  <w:footnote w:id="3">
    <w:p w:rsidR="006228E0" w:rsidRDefault="002D5C64">
      <w:pPr>
        <w:pStyle w:val="FootnoteText"/>
      </w:pPr>
      <w:r>
        <w:rPr>
          <w:rStyle w:val="FootnoteReference"/>
        </w:rPr>
        <w:footnoteRef/>
      </w:r>
      <w:r>
        <w:tab/>
        <w:t xml:space="preserve">EO = </w:t>
      </w:r>
      <w:proofErr w:type="spellStart"/>
      <w:r>
        <w:t>erga</w:t>
      </w:r>
      <w:proofErr w:type="spellEnd"/>
      <w:r>
        <w:t xml:space="preserve"> </w:t>
      </w:r>
      <w:proofErr w:type="spellStart"/>
      <w:r>
        <w:t>omnes</w:t>
      </w:r>
      <w:proofErr w:type="spellEnd"/>
    </w:p>
  </w:footnote>
  <w:footnote w:id="4">
    <w:p w:rsidR="006228E0" w:rsidRDefault="002D5C64">
      <w:pPr>
        <w:pStyle w:val="FootnoteText"/>
      </w:pPr>
      <w:r>
        <w:rPr>
          <w:rStyle w:val="FootnoteReference"/>
        </w:rPr>
        <w:footnoteRef/>
      </w:r>
      <w:r>
        <w:tab/>
        <w:t>OTH =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64" w:rsidRPr="002D5C64" w:rsidRDefault="002D5C64" w:rsidP="002D5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64" w:rsidRPr="002D5C64" w:rsidRDefault="002D5C64" w:rsidP="002D5C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64" w:rsidRPr="002D5C64" w:rsidRDefault="002D5C64" w:rsidP="002D5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C01F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D2F5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9248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461A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90AF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1E33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08200E"/>
    <w:lvl w:ilvl="0">
      <w:start w:val="1"/>
      <w:numFmt w:val="decimal"/>
      <w:pStyle w:val="ListNumber"/>
      <w:lvlText w:val="%1."/>
      <w:lvlJc w:val="left"/>
      <w:pPr>
        <w:tabs>
          <w:tab w:val="num" w:pos="360"/>
        </w:tabs>
        <w:ind w:left="360" w:hanging="360"/>
      </w:pPr>
    </w:lvl>
  </w:abstractNum>
  <w:abstractNum w:abstractNumId="7">
    <w:nsid w:val="FFFFFF89"/>
    <w:multiLevelType w:val="singleLevel"/>
    <w:tmpl w:val="0A3CD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15:01: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1AEBED4-9E76-4F99-8F5D-9991F2464E24"/>
    <w:docVar w:name="LW_COVERPAGE_TYPE" w:val="1"/>
    <w:docVar w:name="LW_CROSSREFERENCE" w:val="&lt;UNUSED&gt;"/>
    <w:docVar w:name="LW_DocType" w:val="ANNEX"/>
    <w:docVar w:name="LW_EMISSION" w:val="22.5.2018"/>
    <w:docVar w:name="LW_EMISSION_ISODATE" w:val="2018-05-2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apportionment of tariff rate quotas included in the WTO schedule of the Union following the withdrawal of the United Kingdom from the Union and amending Council Regulation (EC) No 32/2000"/>
    <w:docVar w:name="LW_OBJETACTEPRINCIPAL.CP" w:val="on the apportionment of tariff rate quotas included in the WTO schedule of the Union following the withdrawal of the United Kingdom from the Union and amending Council Regulation (EC) No 32/2000"/>
    <w:docVar w:name="LW_PART_NBR" w:val="1"/>
    <w:docVar w:name="LW_PART_NBR_TOTAL" w:val="1"/>
    <w:docVar w:name="LW_REF.INST.NEW" w:val="COM"/>
    <w:docVar w:name="LW_REF.INST.NEW_ADOPTED" w:val="final"/>
    <w:docVar w:name="LW_REF.INST.NEW_TEXT" w:val="(2018)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GULATION OF THE EUROPEAN PARLIAMENT AND OF THE COUNCIL"/>
    <w:docVar w:name="LW_TYPEACTEPRINCIPAL.CP" w:val="REGULATION OF THE EUROPEAN PARLIAMENT AND OF THE COUNCIL"/>
  </w:docVars>
  <w:rsids>
    <w:rsidRoot w:val="006228E0"/>
    <w:rsid w:val="002D5C64"/>
    <w:rsid w:val="0062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customStyle="1" w:styleId="tbl-norm">
    <w:name w:val="tbl-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lang w:eastAsia="en-GB"/>
    </w:rPr>
  </w:style>
  <w:style w:type="paragraph" w:customStyle="1" w:styleId="xl67">
    <w:name w:val="xl67"/>
    <w:basedOn w:val="Normal"/>
    <w:pPr>
      <w:spacing w:before="100" w:beforeAutospacing="1" w:after="100" w:afterAutospacing="1"/>
      <w:jc w:val="left"/>
    </w:pPr>
    <w:rPr>
      <w:rFonts w:eastAsia="Times New Roman"/>
      <w:b/>
      <w:bCs/>
      <w:sz w:val="20"/>
      <w:szCs w:val="20"/>
      <w:lang w:eastAsia="en-GB"/>
    </w:rPr>
  </w:style>
  <w:style w:type="paragraph" w:customStyle="1" w:styleId="xl68">
    <w:name w:val="xl68"/>
    <w:basedOn w:val="Normal"/>
    <w:pPr>
      <w:spacing w:before="100" w:beforeAutospacing="1" w:after="100" w:afterAutospacing="1"/>
      <w:jc w:val="left"/>
    </w:pPr>
    <w:rPr>
      <w:rFonts w:eastAsia="Times New Roman"/>
      <w:b/>
      <w:bCs/>
      <w:sz w:val="20"/>
      <w:szCs w:val="20"/>
      <w:lang w:eastAsia="en-GB"/>
    </w:rPr>
  </w:style>
  <w:style w:type="paragraph" w:customStyle="1" w:styleId="xl69">
    <w:name w:val="xl69"/>
    <w:basedOn w:val="Normal"/>
    <w:pPr>
      <w:spacing w:before="100" w:beforeAutospacing="1" w:after="100" w:afterAutospacing="1"/>
      <w:jc w:val="left"/>
    </w:pPr>
    <w:rPr>
      <w:rFonts w:eastAsia="Times New Roman"/>
      <w:sz w:val="20"/>
      <w:szCs w:val="20"/>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0">
    <w:name w:val="xl80"/>
    <w:basedOn w:val="Normal"/>
    <w:pPr>
      <w:spacing w:before="100" w:beforeAutospacing="1" w:after="100" w:afterAutospacing="1"/>
      <w:jc w:val="left"/>
    </w:pPr>
    <w:rPr>
      <w:rFonts w:eastAsia="Times New Roman"/>
      <w:b/>
      <w:bCs/>
      <w:sz w:val="20"/>
      <w:szCs w:val="20"/>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lang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lang w:eastAsia="en-GB"/>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2D5C64"/>
    <w:pPr>
      <w:tabs>
        <w:tab w:val="center" w:pos="4535"/>
        <w:tab w:val="right" w:pos="9071"/>
      </w:tabs>
      <w:spacing w:before="0"/>
    </w:pPr>
  </w:style>
  <w:style w:type="character" w:customStyle="1" w:styleId="HeaderChar">
    <w:name w:val="Header Char"/>
    <w:basedOn w:val="DefaultParagraphFont"/>
    <w:link w:val="Header"/>
    <w:uiPriority w:val="99"/>
    <w:rsid w:val="002D5C64"/>
    <w:rPr>
      <w:rFonts w:ascii="Times New Roman" w:hAnsi="Times New Roman" w:cs="Times New Roman"/>
      <w:sz w:val="24"/>
      <w:lang w:val="en-GB"/>
    </w:rPr>
  </w:style>
  <w:style w:type="paragraph" w:styleId="Footer">
    <w:name w:val="footer"/>
    <w:basedOn w:val="Normal"/>
    <w:link w:val="FooterChar"/>
    <w:uiPriority w:val="99"/>
    <w:unhideWhenUsed/>
    <w:rsid w:val="002D5C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D5C6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D5C64"/>
    <w:pPr>
      <w:tabs>
        <w:tab w:val="center" w:pos="7285"/>
        <w:tab w:val="right" w:pos="14003"/>
      </w:tabs>
      <w:spacing w:before="0"/>
    </w:pPr>
  </w:style>
  <w:style w:type="paragraph" w:customStyle="1" w:styleId="FooterLandscape">
    <w:name w:val="FooterLandscape"/>
    <w:basedOn w:val="Normal"/>
    <w:rsid w:val="002D5C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D5C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D5C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customStyle="1" w:styleId="tbl-norm">
    <w:name w:val="tbl-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lang w:eastAsia="en-GB"/>
    </w:rPr>
  </w:style>
  <w:style w:type="paragraph" w:customStyle="1" w:styleId="xl67">
    <w:name w:val="xl67"/>
    <w:basedOn w:val="Normal"/>
    <w:pPr>
      <w:spacing w:before="100" w:beforeAutospacing="1" w:after="100" w:afterAutospacing="1"/>
      <w:jc w:val="left"/>
    </w:pPr>
    <w:rPr>
      <w:rFonts w:eastAsia="Times New Roman"/>
      <w:b/>
      <w:bCs/>
      <w:sz w:val="20"/>
      <w:szCs w:val="20"/>
      <w:lang w:eastAsia="en-GB"/>
    </w:rPr>
  </w:style>
  <w:style w:type="paragraph" w:customStyle="1" w:styleId="xl68">
    <w:name w:val="xl68"/>
    <w:basedOn w:val="Normal"/>
    <w:pPr>
      <w:spacing w:before="100" w:beforeAutospacing="1" w:after="100" w:afterAutospacing="1"/>
      <w:jc w:val="left"/>
    </w:pPr>
    <w:rPr>
      <w:rFonts w:eastAsia="Times New Roman"/>
      <w:b/>
      <w:bCs/>
      <w:sz w:val="20"/>
      <w:szCs w:val="20"/>
      <w:lang w:eastAsia="en-GB"/>
    </w:rPr>
  </w:style>
  <w:style w:type="paragraph" w:customStyle="1" w:styleId="xl69">
    <w:name w:val="xl69"/>
    <w:basedOn w:val="Normal"/>
    <w:pPr>
      <w:spacing w:before="100" w:beforeAutospacing="1" w:after="100" w:afterAutospacing="1"/>
      <w:jc w:val="left"/>
    </w:pPr>
    <w:rPr>
      <w:rFonts w:eastAsia="Times New Roman"/>
      <w:sz w:val="20"/>
      <w:szCs w:val="20"/>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0">
    <w:name w:val="xl80"/>
    <w:basedOn w:val="Normal"/>
    <w:pPr>
      <w:spacing w:before="100" w:beforeAutospacing="1" w:after="100" w:afterAutospacing="1"/>
      <w:jc w:val="left"/>
    </w:pPr>
    <w:rPr>
      <w:rFonts w:eastAsia="Times New Roman"/>
      <w:b/>
      <w:bCs/>
      <w:sz w:val="20"/>
      <w:szCs w:val="20"/>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lang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en-GB"/>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lang w:eastAsia="en-GB"/>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2D5C64"/>
    <w:pPr>
      <w:tabs>
        <w:tab w:val="center" w:pos="4535"/>
        <w:tab w:val="right" w:pos="9071"/>
      </w:tabs>
      <w:spacing w:before="0"/>
    </w:pPr>
  </w:style>
  <w:style w:type="character" w:customStyle="1" w:styleId="HeaderChar">
    <w:name w:val="Header Char"/>
    <w:basedOn w:val="DefaultParagraphFont"/>
    <w:link w:val="Header"/>
    <w:uiPriority w:val="99"/>
    <w:rsid w:val="002D5C64"/>
    <w:rPr>
      <w:rFonts w:ascii="Times New Roman" w:hAnsi="Times New Roman" w:cs="Times New Roman"/>
      <w:sz w:val="24"/>
      <w:lang w:val="en-GB"/>
    </w:rPr>
  </w:style>
  <w:style w:type="paragraph" w:styleId="Footer">
    <w:name w:val="footer"/>
    <w:basedOn w:val="Normal"/>
    <w:link w:val="FooterChar"/>
    <w:uiPriority w:val="99"/>
    <w:unhideWhenUsed/>
    <w:rsid w:val="002D5C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D5C6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D5C64"/>
    <w:pPr>
      <w:tabs>
        <w:tab w:val="center" w:pos="7285"/>
        <w:tab w:val="right" w:pos="14003"/>
      </w:tabs>
      <w:spacing w:before="0"/>
    </w:pPr>
  </w:style>
  <w:style w:type="paragraph" w:customStyle="1" w:styleId="FooterLandscape">
    <w:name w:val="FooterLandscape"/>
    <w:basedOn w:val="Normal"/>
    <w:rsid w:val="002D5C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D5C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D5C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C3AF-B136-458F-AEC8-B6578083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Pages>
  <Words>3474</Words>
  <Characters>16492</Characters>
  <Application>Microsoft Office Word</Application>
  <DocSecurity>0</DocSecurity>
  <Lines>1760</Lines>
  <Paragraphs>1377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HAKKARAINEN Leena (AGRI)</dc:creator>
  <cp:lastModifiedBy>KOUTZIAVASILI Dimitra (SG)</cp:lastModifiedBy>
  <cp:revision>9</cp:revision>
  <cp:lastPrinted>2018-05-14T12:12:00Z</cp:lastPrinted>
  <dcterms:created xsi:type="dcterms:W3CDTF">2018-05-15T13:17:00Z</dcterms:created>
  <dcterms:modified xsi:type="dcterms:W3CDTF">2018-05-18T14:38:00Z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