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51EE08D-BBD8-4159-B043-EC4CB60F4B0F" style="width:450pt;height:397.5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Annexetitre"/>
        <w:rPr>
          <w:noProof/>
        </w:rPr>
      </w:pPr>
      <w:bookmarkStart w:id="0" w:name="_GoBack"/>
      <w:bookmarkEnd w:id="0"/>
      <w:r>
        <w:rPr>
          <w:noProof/>
        </w:rPr>
        <w:lastRenderedPageBreak/>
        <w:t>ANNEXE</w:t>
      </w:r>
    </w:p>
    <w:p>
      <w:pPr>
        <w:pStyle w:val="Point0"/>
        <w:rPr>
          <w:noProof/>
        </w:rPr>
      </w:pPr>
      <w:r>
        <w:rPr>
          <w:noProof/>
        </w:rPr>
        <w:t xml:space="preserve">1) </w:t>
      </w:r>
      <w:r>
        <w:rPr>
          <w:noProof/>
        </w:rPr>
        <w:tab/>
        <w:t>La Commission s’efforce de négocier un accord avec les membres de l’OMC disposant de droits de négociation et de consulter les membres de l’OMC disposant de droits consultatifs, conformément à l’article XXVIII du GATT de 1994, en vue de modifier les concessions OMC de l’Union relatives aux contingents tarifaires figurant dans la liste de concessions et d’engagements de l’Union annexée au GATT de 1994.</w:t>
      </w:r>
    </w:p>
    <w:p>
      <w:pPr>
        <w:pStyle w:val="Point0"/>
        <w:rPr>
          <w:noProof/>
        </w:rPr>
      </w:pPr>
      <w:r>
        <w:rPr>
          <w:noProof/>
        </w:rPr>
        <w:t xml:space="preserve">2) </w:t>
      </w:r>
      <w:r>
        <w:rPr>
          <w:noProof/>
        </w:rPr>
        <w:tab/>
        <w:t>La Commission mène les négociations en vue de modifier les concessions de l’Union, en particulier par une répartition des contingents tarifaires existants entre le Royaume-Uni et l’Union par suite du retrait du Royaume-Uni.</w:t>
      </w:r>
    </w:p>
    <w:p>
      <w:pPr>
        <w:pStyle w:val="Point0"/>
        <w:rPr>
          <w:noProof/>
          <w:shd w:val="clear" w:color="auto" w:fill="FFFFFF"/>
        </w:rPr>
      </w:pPr>
      <w:r>
        <w:rPr>
          <w:noProof/>
        </w:rPr>
        <w:t>3)</w:t>
      </w:r>
      <w:r>
        <w:rPr>
          <w:noProof/>
        </w:rPr>
        <w:tab/>
        <w:t>La Commission suit la procédure de modification de la liste de l’Union conformément aux dispositions pertinentes de l’OMC, en particulier l’article XXVIII du GATT de 1994</w:t>
      </w:r>
      <w:r>
        <w:rPr>
          <w:rStyle w:val="FootnoteReference"/>
          <w:noProof/>
        </w:rPr>
        <w:footnoteReference w:id="1"/>
      </w:r>
      <w:r>
        <w:rPr>
          <w:noProof/>
        </w:rPr>
        <w:t xml:space="preserve"> et le mémorandum d’accord sur l’interprétation de l’article XXVIII du GATT de 1994</w:t>
      </w:r>
      <w:r>
        <w:rPr>
          <w:rStyle w:val="FootnoteReference"/>
          <w:noProof/>
        </w:rPr>
        <w:footnoteReference w:id="2"/>
      </w:r>
      <w:r>
        <w:rPr>
          <w:noProof/>
        </w:rPr>
        <w:t>.</w:t>
      </w:r>
      <w:r>
        <w:rPr>
          <w:rStyle w:val="Marker"/>
          <w:noProof/>
        </w:rPr>
        <w:t xml:space="preserve"> </w:t>
      </w:r>
    </w:p>
    <w:p>
      <w:pPr>
        <w:pStyle w:val="Point0"/>
        <w:rPr>
          <w:noProof/>
        </w:rPr>
      </w:pPr>
      <w:r>
        <w:rPr>
          <w:noProof/>
        </w:rPr>
        <w:t>4)</w:t>
      </w:r>
      <w:r>
        <w:rPr>
          <w:noProof/>
        </w:rPr>
        <w:tab/>
        <w:t>La Commission fait rapport au Conseil sur le résultat des négociations et l’informe, le cas échéant, de tout évènement important qui pourrait survenir au cours de celles-ci.</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Le texte de l'accord est disponible sur le site suivant:</w:t>
      </w:r>
    </w:p>
    <w:p>
      <w:pPr>
        <w:pStyle w:val="FootnoteText"/>
        <w:ind w:firstLine="0"/>
      </w:pPr>
      <w:r>
        <w:t>https://www.wto.org/french/docs_f/legal_f/gatt47_01_f.htm</w:t>
      </w:r>
    </w:p>
  </w:footnote>
  <w:footnote w:id="2">
    <w:p>
      <w:pPr>
        <w:pStyle w:val="FootnoteText"/>
      </w:pPr>
      <w:r>
        <w:rPr>
          <w:rStyle w:val="FootnoteReference"/>
        </w:rPr>
        <w:footnoteRef/>
      </w:r>
      <w:r>
        <w:tab/>
        <w:t>Le texte de l'accord est disponible sur le site suivant:</w:t>
      </w:r>
    </w:p>
    <w:p>
      <w:pPr>
        <w:pStyle w:val="FootnoteText"/>
        <w:ind w:firstLine="0"/>
      </w:pPr>
      <w:r>
        <w:t>https://www.wto.org/french/docs_f/legal_f/12-28_f.htm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E66C6CA"/>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A4F84A66"/>
    <w:lvl w:ilvl="0">
      <w:start w:val="1"/>
      <w:numFmt w:val="decimal"/>
      <w:pStyle w:val="ListNumber3"/>
      <w:lvlText w:val="%1."/>
      <w:lvlJc w:val="left"/>
      <w:pPr>
        <w:tabs>
          <w:tab w:val="num" w:pos="926"/>
        </w:tabs>
        <w:ind w:left="926" w:hanging="360"/>
      </w:pPr>
    </w:lvl>
  </w:abstractNum>
  <w:abstractNum w:abstractNumId="2">
    <w:nsid w:val="FFFFFF7F"/>
    <w:multiLevelType w:val="singleLevel"/>
    <w:tmpl w:val="5E8EC264"/>
    <w:lvl w:ilvl="0">
      <w:start w:val="1"/>
      <w:numFmt w:val="decimal"/>
      <w:pStyle w:val="ListNumber2"/>
      <w:lvlText w:val="%1."/>
      <w:lvlJc w:val="left"/>
      <w:pPr>
        <w:tabs>
          <w:tab w:val="num" w:pos="643"/>
        </w:tabs>
        <w:ind w:left="643" w:hanging="360"/>
      </w:pPr>
    </w:lvl>
  </w:abstractNum>
  <w:abstractNum w:abstractNumId="3">
    <w:nsid w:val="FFFFFF81"/>
    <w:multiLevelType w:val="singleLevel"/>
    <w:tmpl w:val="DDC0BE6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1D6454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C4C2E63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86EEEAB4"/>
    <w:lvl w:ilvl="0">
      <w:start w:val="1"/>
      <w:numFmt w:val="decimal"/>
      <w:pStyle w:val="ListNumber"/>
      <w:lvlText w:val="%1."/>
      <w:lvlJc w:val="left"/>
      <w:pPr>
        <w:tabs>
          <w:tab w:val="num" w:pos="360"/>
        </w:tabs>
        <w:ind w:left="360" w:hanging="360"/>
      </w:pPr>
    </w:lvl>
  </w:abstractNum>
  <w:abstractNum w:abstractNumId="7">
    <w:nsid w:val="FFFFFF89"/>
    <w:multiLevelType w:val="singleLevel"/>
    <w:tmpl w:val="56C439A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8"/>
  </w:num>
  <w:num w:numId="10">
    <w:abstractNumId w:val="12"/>
  </w:num>
  <w:num w:numId="11">
    <w:abstractNumId w:val="20"/>
  </w:num>
  <w:num w:numId="12">
    <w:abstractNumId w:val="11"/>
  </w:num>
  <w:num w:numId="13">
    <w:abstractNumId w:val="13"/>
  </w:num>
  <w:num w:numId="14">
    <w:abstractNumId w:val="9"/>
  </w:num>
  <w:num w:numId="15">
    <w:abstractNumId w:val="19"/>
  </w:num>
  <w:num w:numId="16">
    <w:abstractNumId w:val="8"/>
  </w:num>
  <w:num w:numId="17">
    <w:abstractNumId w:val="14"/>
  </w:num>
  <w:num w:numId="18">
    <w:abstractNumId w:val="16"/>
  </w:num>
  <w:num w:numId="19">
    <w:abstractNumId w:val="17"/>
  </w:num>
  <w:num w:numId="20">
    <w:abstractNumId w:val="10"/>
  </w:num>
  <w:num w:numId="21">
    <w:abstractNumId w:val="15"/>
  </w:num>
  <w:num w:numId="22">
    <w:abstractNumId w:val="21"/>
  </w:num>
  <w:num w:numId="23">
    <w:abstractNumId w:val="18"/>
  </w:num>
  <w:num w:numId="24">
    <w:abstractNumId w:val="12"/>
  </w:num>
  <w:num w:numId="25">
    <w:abstractNumId w:val="20"/>
  </w:num>
  <w:num w:numId="26">
    <w:abstractNumId w:val="11"/>
  </w:num>
  <w:num w:numId="27">
    <w:abstractNumId w:val="13"/>
  </w:num>
  <w:num w:numId="28">
    <w:abstractNumId w:val="9"/>
  </w:num>
  <w:num w:numId="29">
    <w:abstractNumId w:val="19"/>
  </w:num>
  <w:num w:numId="30">
    <w:abstractNumId w:val="8"/>
  </w:num>
  <w:num w:numId="31">
    <w:abstractNumId w:val="14"/>
  </w:num>
  <w:num w:numId="32">
    <w:abstractNumId w:val="16"/>
  </w:num>
  <w:num w:numId="33">
    <w:abstractNumId w:val="17"/>
  </w:num>
  <w:num w:numId="34">
    <w:abstractNumId w:val="10"/>
  </w:num>
  <w:num w:numId="35">
    <w:abstractNumId w:val="15"/>
  </w:num>
  <w:num w:numId="3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8-05-17 12:54:16"/>
    <w:docVar w:name="DQCRepairStyles" w:val=";Date d'adoption;Statut;Type du document;Date d'adoption (Page de couverture);Type du document (Page de couverture);"/>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0"/>
    <w:docVar w:name="DQCStatus" w:val="Green"/>
    <w:docVar w:name="DQCVersion" w:val="3"/>
    <w:docVar w:name="DQCWithWarnings" w:val="0"/>
    <w:docVar w:name="LW_ACCOMPAGNANT" w:val="de la"/>
    <w:docVar w:name="LW_ACCOMPAGNANT.CP" w:val="de la"/>
    <w:docVar w:name="LW_ANNEX_NBR_FIRST" w:val="1"/>
    <w:docVar w:name="LW_ANNEX_NBR_LAST" w:val="1"/>
    <w:docVar w:name="LW_ANNEX_UNIQUE" w:val="1"/>
    <w:docVar w:name="LW_CORRIGENDUM" w:val="&lt;UNUSED&gt;"/>
    <w:docVar w:name="LW_COVERPAGE_EXISTS" w:val="True"/>
    <w:docVar w:name="LW_COVERPAGE_GUID" w:val="D51EE08D-BBD8-4159-B043-EC4CB60F4B0F"/>
    <w:docVar w:name="LW_COVERPAGE_TYPE" w:val="1"/>
    <w:docVar w:name="LW_CROSSREFERENCE" w:val="&lt;UNUSED&gt;"/>
    <w:docVar w:name="LW_DocType" w:val="ANNEX"/>
    <w:docVar w:name="LW_EMISSION" w:val="22.5.2018"/>
    <w:docVar w:name="LW_EMISSION_ISODATE" w:val="2018-05-22"/>
    <w:docVar w:name="LW_EMISSION_LOCATION" w:val="BRX"/>
    <w:docVar w:name="LW_EMISSION_PREFIX" w:val="Bruxelles, le "/>
    <w:docVar w:name="LW_EMISSION_SUFFIX" w:val="&lt;EMPTY&gt;"/>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autorisant l'ouverture de négociations aux fins de répartir les concessions OMC de l'Union en matière de contingents tarifaires annexées à l'accord général sur les tarifs douaniers et le commerce de&lt;LWCR:NBS&gt;1994 en vue du retrait du Royaume-Uni de l'Union"/>
    <w:docVar w:name="LW_OBJETACTEPRINCIPAL.CP" w:val="autorisant l'ouverture de négociations aux fins de répartir les concessions OMC de l'Union en matière de contingents tarifaires annexées à l'accord général sur les tarifs douaniers et le commerce de 1994 en vue du retrait du Royaume-Uni de l'Union"/>
    <w:docVar w:name="LW_PART_NBR" w:val="1"/>
    <w:docVar w:name="LW_PART_NBR_TOTAL" w:val="1"/>
    <w:docVar w:name="LW_REF.INST.NEW" w:val="COM"/>
    <w:docVar w:name="LW_REF.INST.NEW_ADOPTED" w:val="final"/>
    <w:docVar w:name="LW_REF.INST.NEW_TEXT" w:val="(2018) 3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E"/>
    <w:docVar w:name="LW_TYPE.DOC.CP" w:val="ANNEXE"/>
    <w:docVar w:name="LW_TYPEACTEPRINCIPAL" w:val="Recommandation de DÉCISION DU CONSEIL"/>
    <w:docVar w:name="LW_TYPEACTEPRINCIPAL.CP" w:val="Recommandation de DÉCISION DU CONSEIL"/>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fr-FR"/>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Hyperlink">
    <w:name w:val="Hyperlink"/>
    <w:basedOn w:val="DefaultParagraphFont"/>
    <w:uiPriority w:val="99"/>
    <w:unhideWhenUsed/>
    <w:rPr>
      <w:color w:val="0000FF" w:themeColor="hyperlink"/>
      <w:u w:val="single"/>
    </w:rPr>
  </w:style>
  <w:style w:type="paragraph" w:customStyle="1" w:styleId="Sous-titreobjet">
    <w:name w:val="Sous-titre objet"/>
    <w:basedOn w:val="Normal"/>
    <w:pPr>
      <w:spacing w:before="0" w:after="0"/>
      <w:jc w:val="center"/>
    </w:pPr>
    <w:rPr>
      <w:b/>
    </w:rPr>
  </w:style>
  <w:style w:type="paragraph" w:customStyle="1" w:styleId="Titreobjet">
    <w:name w:val="Titre objet"/>
    <w:basedOn w:val="Normal"/>
    <w:next w:val="Sous-titreobjet"/>
    <w:pPr>
      <w:spacing w:before="180" w:after="180"/>
      <w:jc w:val="center"/>
    </w:pPr>
    <w:rPr>
      <w:b/>
    </w:rPr>
  </w:style>
  <w:style w:type="paragraph" w:customStyle="1" w:styleId="Sous-titreobjetPagedecouverture">
    <w:name w:val="Sous-titre objet (Page de couverture)"/>
    <w:basedOn w:val="Sous-titreobjet"/>
  </w:style>
  <w:style w:type="paragraph" w:customStyle="1" w:styleId="TitreobjetPagedecouverture">
    <w:name w:val="Titre objet (Page de couverture)"/>
    <w:basedOn w:val="Titreobjet"/>
    <w:next w:val="Sous-titreobjetPagedecouverture"/>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rPr>
      <w:lang w:eastAsia="en-US" w:bidi="ar-SA"/>
    </w:rPr>
  </w:style>
  <w:style w:type="character" w:customStyle="1" w:styleId="FooterChar">
    <w:name w:val="Footer Char"/>
    <w:basedOn w:val="DefaultParagraphFont"/>
    <w:link w:val="Footer"/>
    <w:uiPriority w:val="99"/>
    <w:rPr>
      <w:rFonts w:ascii="Times New Roman" w:hAnsi="Times New Roman" w:cs="Times New Roman"/>
      <w:sz w:val="24"/>
      <w:lang w:eastAsia="en-US" w:bidi="ar-SA"/>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rPr>
      <w:lang w:eastAsia="en-US" w:bidi="ar-SA"/>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lang w:eastAsia="en-US" w:bidi="ar-SA"/>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lang w:eastAsia="en-US" w:bidi="ar-SA"/>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3"/>
      </w:numPr>
    </w:pPr>
  </w:style>
  <w:style w:type="paragraph" w:customStyle="1" w:styleId="Tiret1">
    <w:name w:val="Tiret 1"/>
    <w:basedOn w:val="Point1"/>
    <w:pPr>
      <w:numPr>
        <w:numId w:val="24"/>
      </w:numPr>
    </w:pPr>
  </w:style>
  <w:style w:type="paragraph" w:customStyle="1" w:styleId="Tiret2">
    <w:name w:val="Tiret 2"/>
    <w:basedOn w:val="Point2"/>
    <w:pPr>
      <w:numPr>
        <w:numId w:val="25"/>
      </w:numPr>
    </w:pPr>
  </w:style>
  <w:style w:type="paragraph" w:customStyle="1" w:styleId="Tiret3">
    <w:name w:val="Tiret 3"/>
    <w:basedOn w:val="Point3"/>
    <w:pPr>
      <w:numPr>
        <w:numId w:val="26"/>
      </w:numPr>
    </w:pPr>
  </w:style>
  <w:style w:type="paragraph" w:customStyle="1" w:styleId="Tiret4">
    <w:name w:val="Tiret 4"/>
    <w:basedOn w:val="Point4"/>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TotalTime>
  <Pages>2</Pages>
  <Words>169</Words>
  <Characters>916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CAUSEY-HUGECOVA Lucia (AGRI)</dc:creator>
  <cp:lastModifiedBy>DIGIT/A3</cp:lastModifiedBy>
  <cp:revision>9</cp:revision>
  <cp:lastPrinted>2018-03-16T13:15:00Z</cp:lastPrinted>
  <dcterms:created xsi:type="dcterms:W3CDTF">2018-05-08T08:40:00Z</dcterms:created>
  <dcterms:modified xsi:type="dcterms:W3CDTF">2018-05-17T10:54:00Z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6.0.1.0</vt:lpwstr>
  </property>
  <property fmtid="{D5CDD505-2E9C-101B-9397-08002B2CF9AE}" pid="4" name="Last edited using">
    <vt:lpwstr>LW 6.0, Build 20171009</vt:lpwstr>
  </property>
  <property fmtid="{D5CDD505-2E9C-101B-9397-08002B2CF9AE}" pid="5" name="Created using">
    <vt:lpwstr>LW 6.0, Build 20171009</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DQCStatus">
    <vt:lpwstr>Green (DQC version 03)</vt:lpwstr>
  </property>
</Properties>
</file>