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133771-FC11-4025-8E4B-05862BC0A0A7"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 xml:space="preserve">На 29 март 2017 г. правителството на Обединеното кралство уведоми Европейския съвет за намерението на Обединеното кралство да се оттегли от Европейския съюз (ЕС), на когото то понастоящем е държава членка. </w:t>
      </w:r>
    </w:p>
    <w:p>
      <w:pPr>
        <w:pStyle w:val="Text1"/>
        <w:rPr>
          <w:noProof/>
          <w:shd w:val="clear" w:color="auto" w:fill="FFFFFF"/>
        </w:rPr>
      </w:pPr>
      <w:r>
        <w:rPr>
          <w:noProof/>
        </w:rPr>
        <w:t xml:space="preserve">Оттеглянето на Обединеното кралство от ЕС има последици, надхвърлящи двустранните отношения между ЕС и Обединеното кралство, по-специално по отношение на поетите от тях задължения в рамките на Световната търговска организация (СТО). Както ЕС, така и Обединеното кралство са първоначални членове на СТО. Когато Европейската общност прие през 1994 г. Споразумението за СТО и многостранните търговски споразумения, списъкът на отстъпките и задълженията, приложен към Общото споразумение за митата и търговията от 1994 г. (ГАТТ от 1994 г.) за Европейските общности (списъкът на ЕС в рамките на СТО), бе едновременно с това приложен и за Обединеното кралство. Поради това списъкът на ЕС съдържа задължения, приложими също и по отношение на Обединеното кралство в качеството му на член на СТО. </w:t>
      </w:r>
    </w:p>
    <w:p>
      <w:pPr>
        <w:pStyle w:val="Text1"/>
        <w:rPr>
          <w:noProof/>
          <w:shd w:val="clear" w:color="auto" w:fill="FFFFFF"/>
        </w:rPr>
      </w:pPr>
      <w:r>
        <w:rPr>
          <w:noProof/>
        </w:rPr>
        <w:t xml:space="preserve">Що се отнася до ЕС, поетите от него задължения по отношение на стоките ще продължат да се прилагат на неговата територия, но съществуващите количествени задължения на ЕС и по-специално тарифните квоти (ТК) ще наложат извършването на някои корекции с цел отразяване на оттеглянето на Обединеното кралство от ЕС. Тъй като списъкът на ЕС в рамките на СТО ще престане да се прилага за Обединеното кралство, съществуващите обвързващи тарифни квоти на ЕС в рамките на СТО (за селскостопански, рибни и промишлени продукти) трябва да бъдат разпределени пропорционално между Обединеното кралство и ЕС, за да влязат в сила на датата, на която списъкът на ЕС в рамките на СТО вече няма да се прилага по отношение на Обединеното кралство. </w:t>
      </w:r>
    </w:p>
    <w:p>
      <w:pPr>
        <w:pStyle w:val="Text1"/>
        <w:rPr>
          <w:noProof/>
        </w:rPr>
      </w:pPr>
      <w:r>
        <w:rPr>
          <w:noProof/>
        </w:rPr>
        <w:t>В съответствие с разпоредбите на член XXVIII от ГАТТ от 1994 г. за изменение на отстъпките ЕС ще е необходимо да проведе преговори за пропорционалното разпределяне на тарифните квоти със съответните членове на СТО, за които е установено, че разполагат със съответните права за достъп до пазара в рамките на отделните тарифни квоти (имащи т.нар. интерес на основен или особено голям доставчик или разполагащи с право на първоначално преговаряне). ЕС също така ще се консултира с членовете на СТО, разполагащи с права за провеждане на консултации.</w:t>
      </w:r>
    </w:p>
    <w:p>
      <w:pPr>
        <w:pStyle w:val="Text1"/>
        <w:rPr>
          <w:noProof/>
        </w:rPr>
      </w:pPr>
      <w:r>
        <w:rPr>
          <w:noProof/>
        </w:rPr>
        <w:t xml:space="preserve">Тези преговори ще е необходимо да бъдат проведени в кратки срокове. Очаква се, че Обединеното кралство ще се оттегли от ЕС на 30 март 2019 г. Като се има предвид това, понастоящем се водят преговори по споразумение за оттегляне и преговарящите от ЕС и Обединеното кралство постигнаха споразумение по текста на преходните договорености, съгласно които при влизането в сила на споразумението за оттегляне правото на Съюза, включително международните споразумения, по които Съюзът е страна, като ГАТТ от 1994 г., следва да се прилагат по отношение на Обединеното кралство от датата на оттеглянето до 31 декември 2020 г. </w:t>
      </w:r>
    </w:p>
    <w:p>
      <w:pPr>
        <w:pStyle w:val="Text1"/>
        <w:rPr>
          <w:noProof/>
          <w:shd w:val="clear" w:color="auto" w:fill="FFFFFF"/>
        </w:rPr>
      </w:pPr>
      <w:r>
        <w:rPr>
          <w:noProof/>
        </w:rPr>
        <w:t>Не може да се изключи възможността споразуменията по член XXVIII със съответните членове на СТО да не могат да бъдат сключени в рамките на наличния срок, поне не за всички засегнати тарифни квоти.</w:t>
      </w:r>
    </w:p>
    <w:p>
      <w:pPr>
        <w:pStyle w:val="Text1"/>
        <w:rPr>
          <w:noProof/>
          <w:shd w:val="clear" w:color="auto" w:fill="FFFFFF"/>
        </w:rPr>
      </w:pPr>
      <w:r>
        <w:rPr>
          <w:noProof/>
        </w:rPr>
        <w:t>За тази цел едновременно с настоящата препоръка Комисията предлага основен законодателен акт (съгласно обикновената законодателна процедура), за да се гарантира, че при липсата на такива споразумения по член XXVIII ЕС може да пристъпи едностранно към пропорционалното разпределяне на тарифните квоти в съответствие с член XXVIII и че Комисията разполага с необходимите правомощия да измени съответните разпоредби на ЕС относно откриването и прилагането на съответните тарифни квоти.</w:t>
      </w:r>
    </w:p>
    <w:p>
      <w:pPr>
        <w:pStyle w:val="Text1"/>
        <w:rPr>
          <w:noProof/>
        </w:rPr>
      </w:pPr>
      <w:r>
        <w:rPr>
          <w:noProof/>
        </w:rPr>
        <w:t>Поради това целта на настоящата препоръка е да се разреши започването на преговори от страна на Комисията в съответствие с член XXVIII от ГАТТ от 1994 г. за изменение на съответните отстъпки (по-специално обвързващите тарифни квоти в рамките на СТО) в списъка на Европейския съюз в рамките на СТО, така че те да бъдат разпределени пропорционално между Съюза и Обединеното кралство.</w:t>
      </w:r>
    </w:p>
    <w:p>
      <w:pPr>
        <w:pStyle w:val="Text1"/>
        <w:rPr>
          <w:noProof/>
        </w:rPr>
      </w:pPr>
      <w:r>
        <w:rPr>
          <w:noProof/>
        </w:rPr>
        <w:t>В допълнение Обединеното кралство е необходимо да започне процедурите в рамките на СТО за изготвяне на собствен списък на отстъпките и задълженията още преди датата, на която престане да бъде държава — членка на Съюза. Поради това е необходимо да се разреши на Обединеното кралство да предприеме необходимите за целта процедури, с оглед на постигането на споразумение с другите членове на СТО относно неговата част от тарифните квоти, които понастоящем са включени в списъка на Европейския съюз в рамките на СТО.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rFonts w:eastAsia="Arial Unicode MS"/>
          <w:noProof/>
        </w:rPr>
      </w:pPr>
      <w:r>
        <w:rPr>
          <w:noProof/>
        </w:rPr>
        <w:t>Не е приложимо.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Член 207 и член 218, параграфи 3 и 4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Общата търговска политика е сред областите на изключителна компетентност на Съюза, посочени в член 3 от Договора за функционирането на Европейския съюз (ДФЕС). Съгласно член 5, параграф 3 от ДФЕС принципът на субсидиарност не се прилага в областите, които попадат в изключителната компетентност на Съюза.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С настоящата препоръка се предлага на Съвета да упълномощи Комисията да започне преговори съгласно член XXVIII от ГАТТ от 1994 г. с цел изменение на отстъпките на ЕС в рамките на СТО под формата на обвързващи тарифни квоти. Съгласно правилата на СТО посочената процедура трябва да бъде следвана с цел промяна на отстъпките, посочени в списъка на член на СТО. С оглед на това предложената мярка е пропорционална на посочените по-горе цели.</w:t>
      </w:r>
    </w:p>
    <w:p>
      <w:pPr>
        <w:pStyle w:val="ManualHeading2"/>
        <w:rPr>
          <w:rFonts w:eastAsia="Arial Unicode MS"/>
          <w:noProof/>
          <w:u w:color="000000"/>
          <w:bdr w:val="nil"/>
        </w:rPr>
      </w:pPr>
      <w:r>
        <w:rPr>
          <w:noProof/>
        </w:rPr>
        <w:t>•</w:t>
      </w:r>
      <w:r>
        <w:rPr>
          <w:noProof/>
        </w:rPr>
        <w:tab/>
        <w:t>Избор на инструмент</w:t>
      </w:r>
    </w:p>
    <w:p>
      <w:pPr>
        <w:pStyle w:val="Text1"/>
        <w:rPr>
          <w:i/>
          <w:noProof/>
        </w:rPr>
      </w:pPr>
      <w:r>
        <w:rPr>
          <w:noProof/>
        </w:rPr>
        <w:t>Наличният инструмент за постигането на целта е международно споразумение. Поради това е необходимо разрешение за започване на преговори за международно споразумение.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noProof/>
        </w:rPr>
      </w:pPr>
      <w:r>
        <w:rPr>
          <w:noProof/>
        </w:rPr>
        <w:t>Не е приложимо.</w:t>
      </w:r>
    </w:p>
    <w:p>
      <w:pPr>
        <w:pStyle w:val="ManualHeading2"/>
        <w:ind w:left="0" w:firstLine="0"/>
        <w:rPr>
          <w:rFonts w:eastAsia="Arial Unicode MS"/>
          <w:noProof/>
          <w:u w:color="000000"/>
          <w:bdr w:val="nil"/>
        </w:rPr>
      </w:pPr>
      <w:r>
        <w:rPr>
          <w:noProof/>
        </w:rPr>
        <w:t>•</w:t>
      </w:r>
      <w:r>
        <w:rPr>
          <w:noProof/>
        </w:rPr>
        <w:tab/>
        <w:t>Консултации със заинтересованите страни</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Регулаторна пригодност и опростяване</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Style w:val="Text1"/>
        <w:rPr>
          <w:noProof/>
        </w:rPr>
      </w:pPr>
      <w:r>
        <w:rPr>
          <w:noProof/>
        </w:rPr>
        <w:t>Не е приложимо.</w:t>
      </w:r>
    </w:p>
    <w:p>
      <w:pPr>
        <w:pStyle w:val="ManualHeading1"/>
        <w:rPr>
          <w:noProof/>
        </w:rPr>
      </w:pPr>
      <w:r>
        <w:rPr>
          <w:noProof/>
        </w:rPr>
        <w:t>4.</w:t>
      </w:r>
      <w:r>
        <w:rPr>
          <w:noProof/>
        </w:rPr>
        <w:tab/>
        <w:t>ОТРАЖЕНИЕ ВЪРХУ БЮДЖЕТА</w:t>
      </w:r>
    </w:p>
    <w:p>
      <w:pPr>
        <w:pStyle w:val="Text1"/>
        <w:rPr>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Style w:val="Text1"/>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ext1"/>
        <w:rPr>
          <w:noProof/>
        </w:rPr>
      </w:pPr>
      <w:r>
        <w:rPr>
          <w:noProof/>
        </w:rPr>
        <w:t>Не е приложимо.</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shd w:val="clear" w:color="auto" w:fill="FFFFFF"/>
        </w:rPr>
      </w:pPr>
      <w:r>
        <w:rPr>
          <w:noProof/>
        </w:rPr>
        <w:t xml:space="preserve">за разрешаване на започването на преговори с цел пропорционално разпределяне на отстъпките на Европейския съюз в рамките на СТО под формата на тарифни квоти, приложени към Общото споразумение за митата и търговията от 1994 г., с оглед на оттеглянето на Обединеното кралство от Съюза </w:t>
      </w:r>
    </w:p>
    <w:p>
      <w:pPr>
        <w:pStyle w:val="Institutionquiagit"/>
        <w:rPr>
          <w:noProof/>
        </w:rPr>
      </w:pPr>
      <w:r>
        <w:rPr>
          <w:noProof/>
        </w:rPr>
        <w:t>СЪВЕТЪТ НА ЕВРОПЕЙСКИЯ СЪЮЗ,</w:t>
      </w:r>
    </w:p>
    <w:p>
      <w:pPr>
        <w:pBdr>
          <w:top w:val="nil"/>
          <w:left w:val="nil"/>
          <w:bottom w:val="nil"/>
          <w:right w:val="nil"/>
          <w:between w:val="nil"/>
          <w:bar w:val="nil"/>
        </w:pBdr>
        <w:spacing w:before="0" w:after="240"/>
        <w:rPr>
          <w:noProof/>
        </w:rPr>
      </w:pPr>
      <w:r>
        <w:rPr>
          <w:noProof/>
        </w:rPr>
        <w:t>като взе предвид Договора за функционирането на Европейския съюз, и по-специално член 218, параграфи 3 и 4 от него,</w:t>
      </w:r>
    </w:p>
    <w:p>
      <w:pPr>
        <w:spacing w:before="0" w:after="240"/>
        <w:rPr>
          <w:noProof/>
          <w:color w:val="00000A"/>
        </w:rPr>
      </w:pPr>
      <w:r>
        <w:rPr>
          <w:noProof/>
          <w:color w:val="00000A"/>
        </w:rPr>
        <w:t xml:space="preserve">като взе предвид препоръката на Европейската комисия, </w:t>
      </w:r>
    </w:p>
    <w:p>
      <w:pPr>
        <w:spacing w:before="0" w:after="240"/>
        <w:rPr>
          <w:noProof/>
          <w:color w:val="00000A"/>
        </w:rPr>
      </w:pPr>
      <w:r>
        <w:rPr>
          <w:noProof/>
          <w:color w:val="00000A"/>
        </w:rPr>
        <w:t>като има предвид, че:</w:t>
      </w:r>
    </w:p>
    <w:p>
      <w:pPr>
        <w:pStyle w:val="ManualConsidrant"/>
        <w:rPr>
          <w:noProof/>
        </w:rPr>
      </w:pPr>
      <w:r>
        <w:t>(1)</w:t>
      </w:r>
      <w:r>
        <w:tab/>
      </w:r>
      <w:r>
        <w:rPr>
          <w:noProof/>
        </w:rPr>
        <w:t xml:space="preserve">Съществуващите количествени задължения в областта на стоките, поети от Европейския съюз в рамките на Световната търговска организация (СТО), ще наложат извършването на някои корекции с цел отразяване на оттеглянето на Обединено кралство Великобритания и Северна Ирландия (Обединеното кралство) от Съюза. По-специално съществуващите тарифни квоти за някои селскостопански, рибни и промишлени продукти, включени в списъка на Съюза на отстъпките и задълженията, приложен към Общото споразумение за митата и търговията от 1994 г. (ГАТТ от 1994 г.), трябва да бъдат разпределени пропорционално между Обединеното кралство и Съюза след оттеглянето на Обединеното кралство от Съюза. </w:t>
      </w:r>
    </w:p>
    <w:p>
      <w:pPr>
        <w:pStyle w:val="ManualConsidrant"/>
        <w:rPr>
          <w:noProof/>
        </w:rPr>
      </w:pPr>
      <w:r>
        <w:t>(2)</w:t>
      </w:r>
      <w:r>
        <w:tab/>
      </w:r>
      <w:r>
        <w:rPr>
          <w:noProof/>
        </w:rPr>
        <w:t xml:space="preserve">Поради това Комисията следва да бъде упълномощена да започне преговори съгласно член XXVIII от ГАТТ от 1994 г. с членовете на СТО, разполагащи с права за преговаряне, с оглед на изменението на тези тарифни квоти. </w:t>
      </w:r>
    </w:p>
    <w:p>
      <w:pPr>
        <w:pStyle w:val="ManualConsidrant"/>
        <w:rPr>
          <w:noProof/>
        </w:rPr>
      </w:pPr>
      <w:r>
        <w:t>(3)</w:t>
      </w:r>
      <w:r>
        <w:tab/>
      </w:r>
      <w:r>
        <w:rPr>
          <w:noProof/>
        </w:rPr>
        <w:t>Обединеното кралство е необходимо да започне процедурите в рамките на СТО за изготвяне на собствен списък на отстъпките и задълженията още преди датата, на която престане да бъде член на Съюза.</w:t>
      </w:r>
    </w:p>
    <w:p>
      <w:pPr>
        <w:pStyle w:val="ManualConsidrant"/>
        <w:rPr>
          <w:noProof/>
        </w:rPr>
      </w:pPr>
      <w:r>
        <w:t>(4)</w:t>
      </w:r>
      <w:r>
        <w:tab/>
      </w:r>
      <w:r>
        <w:rPr>
          <w:noProof/>
        </w:rPr>
        <w:t>Поради това е необходимо да се разреши на Обединеното кралство да предприеме необходимите процедури с оглед на изготвянето на собствен списък на отстъпките и задълженията, приложен към ГАТТ от 1994 г., включително преговори с другите членове на СТО относно частите от тарифните квоти, които да бъдат включени в посочения списък,</w:t>
      </w:r>
    </w:p>
    <w:p>
      <w:pPr>
        <w:pStyle w:val="Formuledadoption"/>
        <w:rPr>
          <w:noProof/>
        </w:rPr>
      </w:pPr>
      <w:r>
        <w:rPr>
          <w:noProof/>
        </w:rPr>
        <w:t xml:space="preserve">ПРИЕ НАСТОЯЩОТО РЕШЕНИЕ: </w:t>
      </w:r>
    </w:p>
    <w:p>
      <w:pPr>
        <w:pStyle w:val="Titrearticle"/>
        <w:rPr>
          <w:noProof/>
        </w:rPr>
      </w:pPr>
      <w:r>
        <w:rPr>
          <w:noProof/>
        </w:rPr>
        <w:t>Член 1</w:t>
      </w:r>
    </w:p>
    <w:p>
      <w:pPr>
        <w:pBdr>
          <w:top w:val="nil"/>
          <w:left w:val="nil"/>
          <w:bottom w:val="nil"/>
          <w:right w:val="nil"/>
          <w:between w:val="nil"/>
          <w:bar w:val="nil"/>
        </w:pBdr>
        <w:spacing w:before="0" w:after="240"/>
        <w:rPr>
          <w:noProof/>
        </w:rPr>
      </w:pPr>
      <w:r>
        <w:rPr>
          <w:noProof/>
        </w:rPr>
        <w:t xml:space="preserve">Комисията се упълномощава да започне преговори от името на Съюза с членовете на СТО, разполагащи с права за преговаряне, с оглед на изменението на тарифните квоти, включени понастоящем в списъка на Съюза на отстъпките и задълженията, приложен към ГАТТ от 1994 г. </w:t>
      </w:r>
    </w:p>
    <w:p>
      <w:pPr>
        <w:pStyle w:val="Titrearticle"/>
        <w:rPr>
          <w:noProof/>
        </w:rPr>
      </w:pPr>
      <w:r>
        <w:rPr>
          <w:noProof/>
        </w:rPr>
        <w:t>Член 2</w:t>
      </w:r>
    </w:p>
    <w:p>
      <w:pPr>
        <w:pBdr>
          <w:top w:val="nil"/>
          <w:left w:val="nil"/>
          <w:bottom w:val="nil"/>
          <w:right w:val="nil"/>
          <w:between w:val="nil"/>
          <w:bar w:val="nil"/>
        </w:pBdr>
        <w:spacing w:before="0" w:after="240"/>
        <w:rPr>
          <w:noProof/>
        </w:rPr>
      </w:pPr>
      <w:r>
        <w:rPr>
          <w:noProof/>
        </w:rPr>
        <w:t>Адресираните до Комисията указания за водене на преговори са изложени в приложението.</w:t>
      </w:r>
    </w:p>
    <w:p>
      <w:pPr>
        <w:pStyle w:val="Titrearticle"/>
        <w:rPr>
          <w:noProof/>
        </w:rPr>
      </w:pPr>
      <w:r>
        <w:rPr>
          <w:noProof/>
        </w:rPr>
        <w:t>Член 3</w:t>
      </w:r>
    </w:p>
    <w:p>
      <w:pPr>
        <w:pBdr>
          <w:top w:val="nil"/>
          <w:left w:val="nil"/>
          <w:bottom w:val="nil"/>
          <w:right w:val="nil"/>
          <w:between w:val="nil"/>
          <w:bar w:val="nil"/>
        </w:pBdr>
        <w:spacing w:before="0" w:after="240"/>
        <w:rPr>
          <w:noProof/>
        </w:rPr>
      </w:pPr>
      <w:r>
        <w:rPr>
          <w:noProof/>
        </w:rPr>
        <w:t>Преговорите се водят от Комисията в консултация с [Съветът да впише наименованието на специалния комитет].</w:t>
      </w:r>
    </w:p>
    <w:p>
      <w:pPr>
        <w:pStyle w:val="Titrearticle"/>
        <w:rPr>
          <w:noProof/>
        </w:rPr>
      </w:pPr>
      <w:r>
        <w:rPr>
          <w:noProof/>
        </w:rPr>
        <w:t>Член 4</w:t>
      </w:r>
    </w:p>
    <w:p>
      <w:pPr>
        <w:pBdr>
          <w:top w:val="nil"/>
          <w:left w:val="nil"/>
          <w:bottom w:val="nil"/>
          <w:right w:val="nil"/>
          <w:between w:val="nil"/>
          <w:bar w:val="nil"/>
        </w:pBdr>
        <w:spacing w:before="0" w:after="240"/>
        <w:rPr>
          <w:noProof/>
        </w:rPr>
      </w:pPr>
      <w:r>
        <w:rPr>
          <w:noProof/>
        </w:rPr>
        <w:t>На Обединеното кралство се разрешава да предприеме необходимите процедури с оглед на изготвянето на собствен списък на отстъпките и задълженията, приложен към ГАТТ от 1994 г., както и на количествени ограничения в него, включително преговори с другите членове на СТО относно неговата част от тарифните квоти, които понастоящем са включени в списъка на Съюза на отстъпките и задълженията, приложен към ГАТТ от 1994 г.</w:t>
      </w:r>
    </w:p>
    <w:p>
      <w:pPr>
        <w:pStyle w:val="Titrearticle"/>
        <w:rPr>
          <w:noProof/>
        </w:rPr>
      </w:pPr>
      <w:r>
        <w:rPr>
          <w:noProof/>
        </w:rPr>
        <w:t xml:space="preserve">Член 5 </w:t>
      </w:r>
    </w:p>
    <w:p>
      <w:pPr>
        <w:pBdr>
          <w:top w:val="nil"/>
          <w:left w:val="nil"/>
          <w:bottom w:val="nil"/>
          <w:right w:val="nil"/>
          <w:between w:val="nil"/>
          <w:bar w:val="nil"/>
        </w:pBdr>
        <w:spacing w:before="0" w:after="240"/>
        <w:rPr>
          <w:noProof/>
        </w:rPr>
      </w:pPr>
      <w:r>
        <w:rPr>
          <w:noProof/>
        </w:rPr>
        <w:t>Адресати на настоящото решение са Комисията и Обединеното кралство.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06C45B" w15:done="0"/>
  <w15:commentEx w15:paraId="65889CC6" w15:done="0"/>
  <w15:commentEx w15:paraId="44F33FA1" w15:done="0"/>
  <w15:commentEx w15:paraId="42DCE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96AD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679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C44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36B1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2EA9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C8C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BC00F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lvlOverride w:ilvl="0">
      <w:startOverride w:val="1"/>
    </w:lvlOverride>
  </w:num>
  <w:num w:numId="6">
    <w:abstractNumId w:val="7"/>
  </w:num>
  <w:num w:numId="7">
    <w:abstractNumId w:val="16"/>
  </w:num>
  <w:num w:numId="8">
    <w:abstractNumId w:val="15"/>
  </w:num>
  <w:num w:numId="9">
    <w:abstractNumId w:val="2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2:51: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133771-FC11-4025-8E4B-05862BC0A0A7"/>
    <w:docVar w:name="LW_COVERPAGE_TYPE" w:val="1"/>
    <w:docVar w:name="LW_CROSSREFERENCE" w:val="&lt;UNUSED&gt;"/>
    <w:docVar w:name="LW_DocType" w:val="COM"/>
    <w:docVar w:name="LW_EMISSION" w:val="22.5.2018"/>
    <w:docVar w:name="LW_EMISSION_ISODATE" w:val="2018-05-22"/>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89? \u1094?\u1077?\u1083? \u1087?\u1088?\u1086?\u1087?\u1086?\u1088?\u1094?\u1080?\u1086?\u1085?\u1072?\u1083?\u1085?\u1086? \u1088?\u1072?\u1079?\u1087?\u1088?\u1077?\u1076?\u1077?\u1083?\u1103?\u1085?\u1077? \u1085?\u1072? \u1086?\u1090?\u1089?\u1090?\u1098?\u1087?\u1082?\u1080?\u1090?\u1077? \u1085?\u1072? \u1045?\u1074?\u1088?\u1086?\u1087?\u1077?\u1081?\u1089?\u1082?\u1080?\u1103? \u1089?\u1098?\u1102?\u1079? \u1074? \u1088?\u1072?\u1084?\u1082?\u1080?\u1090?\u1077? \u1085?\u1072? \u1057?\u1058?\u1054? \u1087?\u1086?\u1076? \u1092?\u1086?\u1088?\u1084?\u1072?\u1090?\u1072? \u1085?\u1072? \u1090?\u1072?\u1088?\u1080?\u1092?\u1085?\u1080? \u1082?\u1074?\u1086?\u1090?\u1080?, \u1087?\u1088?\u1080?\u1083?\u1086?\u1078?\u1077?\u1085?\u1080? \u1082?\u1098?\u1084? \u1054?\u1073?\u1097?\u1086?\u1090?\u1086? \u1089?\u1087?\u1086?\u1088?\u1072?\u1079?\u1091?\u1084?\u1077?\u1085?\u1080?\u1077? \u1079?\u1072? \u1084?\u1080?\u1090?\u1072?\u1090?\u1072? \u1080? \u1090?\u1098?\u1088?\u1075?\u1086?\u1074?\u1080?\u1103?\u1090?\u1072? \u1086?\u1090? 1994 \u1075?., \u1089? \u1086?\u1075?\u1083?\u1077?\u1076? \u1085?\u1072? \u1086?\u1090?\u1090?\u1077?\u1075?\u1083?\u1103?\u1085?\u1077?\u1090?\u1086? \u1085?\u1072? \u1054?\u1073?\u1077?\u1076?\u1080?\u1085?\u1077?\u1085?\u1086?\u1090?\u1086? \u1082?\u1088?\u1072?\u1083?\u1089?\u1090?\u1074?\u1086? \u1086?\u1090? \u1057?\u1098?\u1102?\u1079?\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1452</Words>
  <Characters>8181</Characters>
  <Application>Microsoft Office Word</Application>
  <DocSecurity>0</DocSecurity>
  <Lines>181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2018-05-03T09:55:00Z</cp:lastPrinted>
  <dcterms:created xsi:type="dcterms:W3CDTF">2018-05-16T07:34:00Z</dcterms:created>
  <dcterms:modified xsi:type="dcterms:W3CDTF">2018-05-17T10:51:00Z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