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40FCC338-3B77-401C-9EF1-CBE86C85FCE9" style="width:450.75pt;height:39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w:t>
      </w:r>
    </w:p>
    <w:p>
      <w:pPr>
        <w:pStyle w:val="Point0"/>
        <w:rPr>
          <w:noProof/>
        </w:rPr>
      </w:pPr>
      <w:r>
        <w:rPr>
          <w:noProof/>
        </w:rPr>
        <w:t xml:space="preserve">(1) </w:t>
      </w:r>
      <w:r>
        <w:rPr>
          <w:noProof/>
        </w:rPr>
        <w:tab/>
        <w:t>The Commission shall endeavour to negotiate an agreement with the WTO Members that have negotiating rights and consult with the WTO Members having consultation rights pursuant to Article XXVIII of the GATT 1994, with a view to modifying the Union's WTO concessions on tariff rate quotas set out in the Union's schedule of concessions and commitments annexed to the GATT 1994.</w:t>
      </w:r>
    </w:p>
    <w:p>
      <w:pPr>
        <w:pStyle w:val="Point0"/>
        <w:rPr>
          <w:noProof/>
        </w:rPr>
      </w:pPr>
      <w:r>
        <w:rPr>
          <w:noProof/>
        </w:rPr>
        <w:t xml:space="preserve">(2) </w:t>
      </w:r>
      <w:r>
        <w:rPr>
          <w:noProof/>
        </w:rPr>
        <w:tab/>
        <w:t>The Commission shall conduct the negotiations with the view to modifying the Union's concessions, in particular by apportioning the existing tariff rate quotas between the United Kingdom and the Union following the United Kingdom's withdrawal from the Union.</w:t>
      </w:r>
    </w:p>
    <w:p>
      <w:pPr>
        <w:pStyle w:val="Point0"/>
        <w:rPr>
          <w:noProof/>
          <w:shd w:val="clear" w:color="auto" w:fill="FFFFFF"/>
        </w:rPr>
      </w:pPr>
      <w:r>
        <w:rPr>
          <w:noProof/>
        </w:rPr>
        <w:t>(3)</w:t>
      </w:r>
      <w:r>
        <w:rPr>
          <w:noProof/>
        </w:rPr>
        <w:tab/>
        <w:t>The Commission shall follow the procedure for the modifications of the Union's schedule in accordance with relevant WTO provisions, in particular Article XXVIII of the GATT 1994</w:t>
      </w:r>
      <w:r>
        <w:rPr>
          <w:rStyle w:val="FootnoteReference"/>
          <w:noProof/>
        </w:rPr>
        <w:footnoteReference w:id="1"/>
      </w:r>
      <w:r>
        <w:rPr>
          <w:noProof/>
        </w:rPr>
        <w:t xml:space="preserve"> and the Understanding on the Interpretation of Article XXVIII of the GATT 1994</w:t>
      </w:r>
      <w:r>
        <w:rPr>
          <w:rStyle w:val="FootnoteReference"/>
          <w:noProof/>
        </w:rPr>
        <w:footnoteReference w:id="2"/>
      </w:r>
      <w:r>
        <w:rPr>
          <w:noProof/>
        </w:rPr>
        <w:t>.</w:t>
      </w:r>
      <w:r>
        <w:rPr>
          <w:rStyle w:val="Marker"/>
          <w:noProof/>
        </w:rPr>
        <w:t xml:space="preserve"> </w:t>
      </w:r>
    </w:p>
    <w:p>
      <w:pPr>
        <w:pStyle w:val="Point0"/>
        <w:rPr>
          <w:noProof/>
        </w:rPr>
      </w:pPr>
      <w:r>
        <w:rPr>
          <w:noProof/>
        </w:rPr>
        <w:t>(4)</w:t>
      </w:r>
      <w:r>
        <w:rPr>
          <w:noProof/>
        </w:rPr>
        <w:tab/>
        <w:t>The Commission shall report to the Council on the outcome of the negotiations and, where appropriate, on any significant developments that may arise during the negotiations.</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the text of the agreement can be found at this website:</w:t>
      </w:r>
    </w:p>
    <w:p>
      <w:pPr>
        <w:pStyle w:val="FootnoteText"/>
        <w:ind w:firstLine="0"/>
      </w:pPr>
      <w:r>
        <w:t>https://www.wto.org/english/docs_e/legal_e/gatt47_01_e.htm</w:t>
      </w:r>
    </w:p>
  </w:footnote>
  <w:footnote w:id="2">
    <w:p>
      <w:pPr>
        <w:pStyle w:val="FootnoteText"/>
      </w:pPr>
      <w:r>
        <w:rPr>
          <w:rStyle w:val="FootnoteReference"/>
        </w:rPr>
        <w:footnoteRef/>
      </w:r>
      <w:r>
        <w:tab/>
        <w:t>the text of the agreement can be found at this website:</w:t>
      </w:r>
    </w:p>
    <w:p>
      <w:pPr>
        <w:pStyle w:val="FootnoteText"/>
        <w:ind w:firstLine="0"/>
      </w:pPr>
      <w:r>
        <w:t>https://www.wto.org/english/docs_e/legal_e/12-28_e.htm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E66C6C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4F84A66"/>
    <w:lvl w:ilvl="0">
      <w:start w:val="1"/>
      <w:numFmt w:val="decimal"/>
      <w:pStyle w:val="ListNumber3"/>
      <w:lvlText w:val="%1."/>
      <w:lvlJc w:val="left"/>
      <w:pPr>
        <w:tabs>
          <w:tab w:val="num" w:pos="926"/>
        </w:tabs>
        <w:ind w:left="926" w:hanging="360"/>
      </w:pPr>
    </w:lvl>
  </w:abstractNum>
  <w:abstractNum w:abstractNumId="2">
    <w:nsid w:val="FFFFFF7F"/>
    <w:multiLevelType w:val="singleLevel"/>
    <w:tmpl w:val="5E8EC26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DC0BE6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1D6454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4C2E63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6EEEAB4"/>
    <w:lvl w:ilvl="0">
      <w:start w:val="1"/>
      <w:numFmt w:val="decimal"/>
      <w:pStyle w:val="ListNumber"/>
      <w:lvlText w:val="%1."/>
      <w:lvlJc w:val="left"/>
      <w:pPr>
        <w:tabs>
          <w:tab w:val="num" w:pos="360"/>
        </w:tabs>
        <w:ind w:left="360" w:hanging="360"/>
      </w:pPr>
    </w:lvl>
  </w:abstractNum>
  <w:abstractNum w:abstractNumId="7">
    <w:nsid w:val="FFFFFF89"/>
    <w:multiLevelType w:val="singleLevel"/>
    <w:tmpl w:val="56C439A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07 13:07:28"/>
    <w:docVar w:name="DQCRepairStyles" w:val=";Date d'adoption;Statut;Type du document;Date d'adoption (Page de couverture);Type du document (Page de couverture);"/>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40FCC338-3B77-401C-9EF1-CBE86C85FCE9"/>
    <w:docVar w:name="LW_COVERPAGE_TYPE" w:val="1"/>
    <w:docVar w:name="LW_CROSSREFERENCE" w:val="&lt;UNUSED&gt;"/>
    <w:docVar w:name="LW_DocType" w:val="ANNEX"/>
    <w:docVar w:name="LW_EMISSION" w:val="22.5.2018"/>
    <w:docVar w:name="LW_EMISSION_ISODATE" w:val="2018-05-22"/>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authorising the opening of negotiations with a view to apportioning the Union's WTO concessions on Tariff Rate Quotas in view of the withdrawal of the United Kingdom from the Union "/>
    <w:docVar w:name="LW_OBJETACTEPRINCIPAL.CP" w:val="authorising the opening of negotiations with a view to apportioning the Union's WTO concessions on Tariff Rate Quotas in view of the withdrawal of the United Kingdom from the Union "/>
    <w:docVar w:name="LW_PART_NBR" w:val="1"/>
    <w:docVar w:name="LW_PART_NBR_TOTAL" w:val="1"/>
    <w:docVar w:name="LW_REF.INST.NEW" w:val="COM"/>
    <w:docVar w:name="LW_REF.INST.NEW_ADOPTED" w:val="final"/>
    <w:docVar w:name="LW_REF.INST.NEW_TEXT" w:val="(2018) 3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Recommendation for a COUNCIL DECISION "/>
    <w:docVar w:name="LW_TYPEACTEPRINCIPAL.CP" w:val="Recommendation for a COUNCIL DECISION "/>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2</Pages>
  <Words>171</Words>
  <Characters>926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CAUSEY-HUGECOVA Lucia (AGRI)</dc:creator>
  <cp:lastModifiedBy>DIGIT/A3</cp:lastModifiedBy>
  <cp:revision>8</cp:revision>
  <cp:lastPrinted>2018-03-16T13:15:00Z</cp:lastPrinted>
  <dcterms:created xsi:type="dcterms:W3CDTF">2018-05-15T13:20:00Z</dcterms:created>
  <dcterms:modified xsi:type="dcterms:W3CDTF">2018-05-17T10:52:00Z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