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33" w:rsidRDefault="009527D1" w:rsidP="009527D1">
      <w:pPr>
        <w:pStyle w:val="Pagedecouverture"/>
        <w:rPr>
          <w:lang w:val="fr-BE"/>
        </w:rPr>
      </w:pPr>
      <w:bookmarkStart w:id="0" w:name="LW_BM_COVERPAGE"/>
      <w:bookmarkStart w:id="1" w:name="_GoBack"/>
      <w:r>
        <w:rPr>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FAE21F0-C747-4D02-A0C7-CB3452D57F56" style="width:450.75pt;height:307.5pt">
            <v:imagedata r:id="rId9" o:title=""/>
          </v:shape>
        </w:pict>
      </w:r>
      <w:bookmarkEnd w:id="1"/>
    </w:p>
    <w:bookmarkEnd w:id="0"/>
    <w:p w:rsidR="00DC289C" w:rsidRDefault="00DC289C" w:rsidP="00DC289C">
      <w:pPr>
        <w:rPr>
          <w:noProof/>
        </w:rPr>
        <w:sectPr w:rsidR="00DC289C" w:rsidSect="009527D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rsidR="00DC289C" w:rsidRDefault="00DC289C" w:rsidP="00DC289C">
      <w:pPr>
        <w:rPr>
          <w:noProof/>
        </w:rPr>
      </w:pPr>
      <w:r>
        <w:rPr>
          <w:noProof/>
        </w:rPr>
        <w:lastRenderedPageBreak/>
        <w:t>Having regard to:</w:t>
      </w:r>
    </w:p>
    <w:p w:rsidR="00DC289C" w:rsidRDefault="00DC289C" w:rsidP="00DC289C">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rsidR="00DC289C" w:rsidRDefault="00DC289C" w:rsidP="00DC289C">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1"/>
      </w:r>
      <w:r>
        <w:rPr>
          <w:noProof/>
        </w:rPr>
        <w:t>, and in particular Article 41 thereof,</w:t>
      </w:r>
    </w:p>
    <w:p w:rsidR="00444C3A" w:rsidRDefault="00DC289C" w:rsidP="00DC289C">
      <w:pPr>
        <w:pStyle w:val="Tiret0"/>
        <w:tabs>
          <w:tab w:val="clear" w:pos="850"/>
          <w:tab w:val="num" w:pos="927"/>
        </w:tabs>
        <w:rPr>
          <w:noProof/>
        </w:rPr>
      </w:pPr>
      <w:r>
        <w:rPr>
          <w:noProof/>
        </w:rPr>
        <w:t>the general budget of the European Union for the financial year 2018, as adopted on 30 November 2017</w:t>
      </w:r>
      <w:r>
        <w:rPr>
          <w:rStyle w:val="FootnoteReference"/>
          <w:noProof/>
        </w:rPr>
        <w:footnoteReference w:id="2"/>
      </w:r>
      <w:r w:rsidR="00444C3A">
        <w:rPr>
          <w:noProof/>
        </w:rPr>
        <w:t>,</w:t>
      </w:r>
    </w:p>
    <w:p w:rsidR="00444C3A" w:rsidRDefault="00444C3A" w:rsidP="00DC289C">
      <w:pPr>
        <w:pStyle w:val="Tiret0"/>
        <w:tabs>
          <w:tab w:val="clear" w:pos="850"/>
          <w:tab w:val="num" w:pos="927"/>
        </w:tabs>
        <w:rPr>
          <w:noProof/>
        </w:rPr>
      </w:pPr>
      <w:r>
        <w:rPr>
          <w:noProof/>
        </w:rPr>
        <w:t>the draft amending budget No°1/2018</w:t>
      </w:r>
      <w:r>
        <w:rPr>
          <w:rStyle w:val="FootnoteReference"/>
          <w:noProof/>
        </w:rPr>
        <w:footnoteReference w:id="3"/>
      </w:r>
      <w:r>
        <w:rPr>
          <w:noProof/>
        </w:rPr>
        <w:t>, adopted on 22 February 2018,</w:t>
      </w:r>
    </w:p>
    <w:p w:rsidR="00DC289C" w:rsidRDefault="00444C3A" w:rsidP="00DC289C">
      <w:pPr>
        <w:pStyle w:val="Tiret0"/>
        <w:tabs>
          <w:tab w:val="clear" w:pos="850"/>
          <w:tab w:val="num" w:pos="927"/>
        </w:tabs>
        <w:rPr>
          <w:noProof/>
        </w:rPr>
      </w:pPr>
      <w:r>
        <w:rPr>
          <w:noProof/>
        </w:rPr>
        <w:t>the draft amending budget No°2/2018</w:t>
      </w:r>
      <w:r>
        <w:rPr>
          <w:rStyle w:val="FootnoteReference"/>
          <w:noProof/>
        </w:rPr>
        <w:footnoteReference w:id="4"/>
      </w:r>
      <w:r>
        <w:rPr>
          <w:noProof/>
        </w:rPr>
        <w:t xml:space="preserve">, adopted on </w:t>
      </w:r>
      <w:r w:rsidR="009871B0">
        <w:rPr>
          <w:noProof/>
        </w:rPr>
        <w:t>1</w:t>
      </w:r>
      <w:r w:rsidR="00FE1A8F">
        <w:rPr>
          <w:noProof/>
        </w:rPr>
        <w:t>3</w:t>
      </w:r>
      <w:r w:rsidRPr="009871B0">
        <w:rPr>
          <w:noProof/>
        </w:rPr>
        <w:t xml:space="preserve"> April</w:t>
      </w:r>
      <w:r>
        <w:rPr>
          <w:noProof/>
        </w:rPr>
        <w:t xml:space="preserve"> 2018</w:t>
      </w:r>
      <w:r w:rsidR="00DC289C">
        <w:rPr>
          <w:noProof/>
        </w:rPr>
        <w:t>.</w:t>
      </w:r>
    </w:p>
    <w:p w:rsidR="00DC289C" w:rsidRDefault="00DC289C" w:rsidP="00DC289C">
      <w:pPr>
        <w:pStyle w:val="Tiret0"/>
        <w:numPr>
          <w:ilvl w:val="0"/>
          <w:numId w:val="0"/>
        </w:numPr>
        <w:spacing w:after="600"/>
        <w:rPr>
          <w:noProof/>
        </w:rPr>
      </w:pPr>
      <w:r>
        <w:rPr>
          <w:noProof/>
        </w:rPr>
        <w:t>The European Commission hereby pre</w:t>
      </w:r>
      <w:r w:rsidR="009633AF">
        <w:rPr>
          <w:noProof/>
        </w:rPr>
        <w:t>sents draft amending budget No 3</w:t>
      </w:r>
      <w:r>
        <w:rPr>
          <w:noProof/>
        </w:rPr>
        <w:t xml:space="preserve"> to the general budget 2018 to the European Parliament and to the Council.</w:t>
      </w:r>
    </w:p>
    <w:p w:rsidR="00DC289C" w:rsidRDefault="00DC289C" w:rsidP="00DC289C">
      <w:pPr>
        <w:spacing w:after="240"/>
        <w:jc w:val="both"/>
        <w:rPr>
          <w:b/>
          <w:noProof/>
          <w:u w:val="single"/>
          <w:lang w:eastAsia="ko-KR"/>
        </w:rPr>
      </w:pPr>
      <w:r>
        <w:rPr>
          <w:b/>
          <w:noProof/>
          <w:u w:val="single"/>
          <w:lang w:eastAsia="ko-KR"/>
        </w:rPr>
        <w:t>CHANGES TO THE STATEMENT OF REVENUE AND EXPENDITURE BY SECTION</w:t>
      </w:r>
    </w:p>
    <w:p w:rsidR="00DC289C" w:rsidRDefault="00DC289C" w:rsidP="00DC289C">
      <w:pPr>
        <w:jc w:val="both"/>
        <w:rPr>
          <w:noProof/>
          <w:lang w:eastAsia="ko-KR"/>
        </w:rPr>
      </w:pPr>
      <w:r>
        <w:rPr>
          <w:noProof/>
        </w:rPr>
        <w:t>The changes to the statement of revenue and expenditure by section are available on EUR-Lex (</w:t>
      </w:r>
      <w:hyperlink r:id="rId16" w:history="1">
        <w:r>
          <w:rPr>
            <w:rStyle w:val="Hyperlink"/>
            <w:noProof/>
          </w:rPr>
          <w:t>http://eur-lex.europa.eu/budget/www/index-en.htm</w:t>
        </w:r>
      </w:hyperlink>
      <w:r>
        <w:rPr>
          <w:noProof/>
        </w:rPr>
        <w:t>). An English version of the changes to this statement is attached for information as a budgetary annex.</w:t>
      </w:r>
    </w:p>
    <w:p w:rsidR="00DC289C" w:rsidRDefault="00DC289C" w:rsidP="00DC289C">
      <w:pPr>
        <w:rPr>
          <w:noProof/>
        </w:rPr>
        <w:sectPr w:rsidR="00DC289C" w:rsidSect="00DC289C">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rsidR="00DC289C" w:rsidRDefault="00DC289C" w:rsidP="00DC289C">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sdt>
      <w:sdtPr>
        <w:rPr>
          <w:b w:val="0"/>
          <w:noProof/>
          <w:sz w:val="24"/>
          <w:lang w:eastAsia="en-GB"/>
        </w:rPr>
        <w:id w:val="2029912794"/>
        <w:docPartObj>
          <w:docPartGallery w:val="Table of Contents"/>
          <w:docPartUnique/>
        </w:docPartObj>
      </w:sdtPr>
      <w:sdtEndPr>
        <w:rPr>
          <w:bCs/>
        </w:rPr>
      </w:sdtEndPr>
      <w:sdtContent>
        <w:p w:rsidR="00DC289C" w:rsidRDefault="00DC289C" w:rsidP="00DC289C">
          <w:pPr>
            <w:pStyle w:val="TOCHeading"/>
            <w:spacing w:before="0" w:after="0"/>
            <w:jc w:val="left"/>
            <w:rPr>
              <w:noProof/>
            </w:rPr>
          </w:pPr>
        </w:p>
        <w:p w:rsidR="00EE182C" w:rsidRDefault="00DC289C">
          <w:pPr>
            <w:pStyle w:val="TOC1"/>
            <w:tabs>
              <w:tab w:val="left" w:pos="440"/>
              <w:tab w:val="right" w:leader="dot" w:pos="9061"/>
            </w:tabs>
            <w:rPr>
              <w:rFonts w:asciiTheme="minorHAnsi" w:eastAsiaTheme="minorEastAsia" w:hAnsiTheme="minorHAnsi" w:cstheme="minorBidi"/>
              <w:b w:val="0"/>
              <w:bCs w:val="0"/>
              <w:caps w:val="0"/>
              <w:noProof/>
              <w:sz w:val="22"/>
              <w:szCs w:val="22"/>
              <w:lang w:val="cs-CZ" w:eastAsia="cs-CZ"/>
            </w:rPr>
          </w:pPr>
          <w:r>
            <w:rPr>
              <w:noProof/>
            </w:rPr>
            <w:fldChar w:fldCharType="begin"/>
          </w:r>
          <w:r>
            <w:rPr>
              <w:noProof/>
            </w:rPr>
            <w:instrText xml:space="preserve"> TOC \o "1-3" \h \z \u </w:instrText>
          </w:r>
          <w:r>
            <w:rPr>
              <w:noProof/>
            </w:rPr>
            <w:fldChar w:fldCharType="separate"/>
          </w:r>
          <w:hyperlink w:anchor="_Toc511657639" w:history="1">
            <w:r w:rsidR="00EE182C" w:rsidRPr="00AF5C91">
              <w:rPr>
                <w:rStyle w:val="Hyperlink"/>
                <w:noProof/>
              </w:rPr>
              <w:t>1.</w:t>
            </w:r>
            <w:r w:rsidR="00EE182C">
              <w:rPr>
                <w:rFonts w:asciiTheme="minorHAnsi" w:eastAsiaTheme="minorEastAsia" w:hAnsiTheme="minorHAnsi" w:cstheme="minorBidi"/>
                <w:b w:val="0"/>
                <w:bCs w:val="0"/>
                <w:caps w:val="0"/>
                <w:noProof/>
                <w:sz w:val="22"/>
                <w:szCs w:val="22"/>
                <w:lang w:val="cs-CZ" w:eastAsia="cs-CZ"/>
              </w:rPr>
              <w:tab/>
            </w:r>
            <w:r w:rsidR="00EE182C" w:rsidRPr="00AF5C91">
              <w:rPr>
                <w:rStyle w:val="Hyperlink"/>
                <w:noProof/>
              </w:rPr>
              <w:t>Introduction</w:t>
            </w:r>
            <w:r w:rsidR="00EE182C">
              <w:rPr>
                <w:noProof/>
                <w:webHidden/>
              </w:rPr>
              <w:tab/>
            </w:r>
            <w:r w:rsidR="00EE182C">
              <w:rPr>
                <w:noProof/>
                <w:webHidden/>
              </w:rPr>
              <w:fldChar w:fldCharType="begin"/>
            </w:r>
            <w:r w:rsidR="00EE182C">
              <w:rPr>
                <w:noProof/>
                <w:webHidden/>
              </w:rPr>
              <w:instrText xml:space="preserve"> PAGEREF _Toc511657639 \h </w:instrText>
            </w:r>
            <w:r w:rsidR="00EE182C">
              <w:rPr>
                <w:noProof/>
                <w:webHidden/>
              </w:rPr>
            </w:r>
            <w:r w:rsidR="00EE182C">
              <w:rPr>
                <w:noProof/>
                <w:webHidden/>
              </w:rPr>
              <w:fldChar w:fldCharType="separate"/>
            </w:r>
            <w:r w:rsidR="00295CD9">
              <w:rPr>
                <w:noProof/>
                <w:webHidden/>
              </w:rPr>
              <w:t>4</w:t>
            </w:r>
            <w:r w:rsidR="00EE182C">
              <w:rPr>
                <w:noProof/>
                <w:webHidden/>
              </w:rPr>
              <w:fldChar w:fldCharType="end"/>
            </w:r>
          </w:hyperlink>
        </w:p>
        <w:p w:rsidR="00EE182C" w:rsidRDefault="009527D1">
          <w:pPr>
            <w:pStyle w:val="TOC1"/>
            <w:tabs>
              <w:tab w:val="left" w:pos="440"/>
              <w:tab w:val="right" w:leader="dot" w:pos="9061"/>
            </w:tabs>
            <w:rPr>
              <w:rFonts w:asciiTheme="minorHAnsi" w:eastAsiaTheme="minorEastAsia" w:hAnsiTheme="minorHAnsi" w:cstheme="minorBidi"/>
              <w:b w:val="0"/>
              <w:bCs w:val="0"/>
              <w:caps w:val="0"/>
              <w:noProof/>
              <w:sz w:val="22"/>
              <w:szCs w:val="22"/>
              <w:lang w:val="cs-CZ" w:eastAsia="cs-CZ"/>
            </w:rPr>
          </w:pPr>
          <w:hyperlink w:anchor="_Toc511657640" w:history="1">
            <w:r w:rsidR="00EE182C" w:rsidRPr="00AF5C91">
              <w:rPr>
                <w:rStyle w:val="Hyperlink"/>
                <w:noProof/>
              </w:rPr>
              <w:t>2.</w:t>
            </w:r>
            <w:r w:rsidR="00EE182C">
              <w:rPr>
                <w:rFonts w:asciiTheme="minorHAnsi" w:eastAsiaTheme="minorEastAsia" w:hAnsiTheme="minorHAnsi" w:cstheme="minorBidi"/>
                <w:b w:val="0"/>
                <w:bCs w:val="0"/>
                <w:caps w:val="0"/>
                <w:noProof/>
                <w:sz w:val="22"/>
                <w:szCs w:val="22"/>
                <w:lang w:val="cs-CZ" w:eastAsia="cs-CZ"/>
              </w:rPr>
              <w:tab/>
            </w:r>
            <w:r w:rsidR="00EE182C" w:rsidRPr="00AF5C91">
              <w:rPr>
                <w:rStyle w:val="Hyperlink"/>
                <w:noProof/>
              </w:rPr>
              <w:t>Appropriations requested in the budget of 2018</w:t>
            </w:r>
            <w:r w:rsidR="00EE182C">
              <w:rPr>
                <w:noProof/>
                <w:webHidden/>
              </w:rPr>
              <w:tab/>
            </w:r>
            <w:r w:rsidR="00EE182C">
              <w:rPr>
                <w:noProof/>
                <w:webHidden/>
              </w:rPr>
              <w:fldChar w:fldCharType="begin"/>
            </w:r>
            <w:r w:rsidR="00EE182C">
              <w:rPr>
                <w:noProof/>
                <w:webHidden/>
              </w:rPr>
              <w:instrText xml:space="preserve"> PAGEREF _Toc511657640 \h </w:instrText>
            </w:r>
            <w:r w:rsidR="00EE182C">
              <w:rPr>
                <w:noProof/>
                <w:webHidden/>
              </w:rPr>
            </w:r>
            <w:r w:rsidR="00EE182C">
              <w:rPr>
                <w:noProof/>
                <w:webHidden/>
              </w:rPr>
              <w:fldChar w:fldCharType="separate"/>
            </w:r>
            <w:r w:rsidR="00295CD9">
              <w:rPr>
                <w:noProof/>
                <w:webHidden/>
              </w:rPr>
              <w:t>4</w:t>
            </w:r>
            <w:r w:rsidR="00EE182C">
              <w:rPr>
                <w:noProof/>
                <w:webHidden/>
              </w:rPr>
              <w:fldChar w:fldCharType="end"/>
            </w:r>
          </w:hyperlink>
        </w:p>
        <w:p w:rsidR="00EE182C" w:rsidRDefault="009527D1">
          <w:pPr>
            <w:pStyle w:val="TOC1"/>
            <w:tabs>
              <w:tab w:val="left" w:pos="440"/>
              <w:tab w:val="right" w:leader="dot" w:pos="9061"/>
            </w:tabs>
            <w:rPr>
              <w:rFonts w:asciiTheme="minorHAnsi" w:eastAsiaTheme="minorEastAsia" w:hAnsiTheme="minorHAnsi" w:cstheme="minorBidi"/>
              <w:b w:val="0"/>
              <w:bCs w:val="0"/>
              <w:caps w:val="0"/>
              <w:noProof/>
              <w:sz w:val="22"/>
              <w:szCs w:val="22"/>
              <w:lang w:val="cs-CZ" w:eastAsia="cs-CZ"/>
            </w:rPr>
          </w:pPr>
          <w:hyperlink w:anchor="_Toc511657641" w:history="1">
            <w:r w:rsidR="00EE182C" w:rsidRPr="00AF5C91">
              <w:rPr>
                <w:rStyle w:val="Hyperlink"/>
                <w:noProof/>
              </w:rPr>
              <w:t>3.</w:t>
            </w:r>
            <w:r w:rsidR="00EE182C">
              <w:rPr>
                <w:rFonts w:asciiTheme="minorHAnsi" w:eastAsiaTheme="minorEastAsia" w:hAnsiTheme="minorHAnsi" w:cstheme="minorBidi"/>
                <w:b w:val="0"/>
                <w:bCs w:val="0"/>
                <w:caps w:val="0"/>
                <w:noProof/>
                <w:sz w:val="22"/>
                <w:szCs w:val="22"/>
                <w:lang w:val="cs-CZ" w:eastAsia="cs-CZ"/>
              </w:rPr>
              <w:tab/>
            </w:r>
            <w:r w:rsidR="00EE182C" w:rsidRPr="00AF5C91">
              <w:rPr>
                <w:rStyle w:val="Hyperlink"/>
                <w:noProof/>
              </w:rPr>
              <w:t>Summary table by MFF heading</w:t>
            </w:r>
            <w:r w:rsidR="00EE182C">
              <w:rPr>
                <w:noProof/>
                <w:webHidden/>
              </w:rPr>
              <w:tab/>
            </w:r>
            <w:r w:rsidR="00EE182C">
              <w:rPr>
                <w:noProof/>
                <w:webHidden/>
              </w:rPr>
              <w:fldChar w:fldCharType="begin"/>
            </w:r>
            <w:r w:rsidR="00EE182C">
              <w:rPr>
                <w:noProof/>
                <w:webHidden/>
              </w:rPr>
              <w:instrText xml:space="preserve"> PAGEREF _Toc511657641 \h </w:instrText>
            </w:r>
            <w:r w:rsidR="00EE182C">
              <w:rPr>
                <w:noProof/>
                <w:webHidden/>
              </w:rPr>
            </w:r>
            <w:r w:rsidR="00EE182C">
              <w:rPr>
                <w:noProof/>
                <w:webHidden/>
              </w:rPr>
              <w:fldChar w:fldCharType="separate"/>
            </w:r>
            <w:r w:rsidR="00295CD9">
              <w:rPr>
                <w:noProof/>
                <w:webHidden/>
              </w:rPr>
              <w:t>5</w:t>
            </w:r>
            <w:r w:rsidR="00EE182C">
              <w:rPr>
                <w:noProof/>
                <w:webHidden/>
              </w:rPr>
              <w:fldChar w:fldCharType="end"/>
            </w:r>
          </w:hyperlink>
        </w:p>
        <w:p w:rsidR="00DC289C" w:rsidRDefault="00DC289C" w:rsidP="00DC289C">
          <w:pPr>
            <w:rPr>
              <w:noProof/>
              <w:lang w:eastAsia="de-DE"/>
            </w:rPr>
            <w:sectPr w:rsidR="00DC289C">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rsidR="00DC289C" w:rsidRDefault="00DC289C" w:rsidP="00DC289C">
      <w:pPr>
        <w:pStyle w:val="ManualHeading1"/>
      </w:pPr>
      <w:bookmarkStart w:id="8" w:name="_Toc385506031"/>
      <w:bookmarkStart w:id="9" w:name="_Toc430865946"/>
      <w:bookmarkStart w:id="10" w:name="_Toc430867524"/>
      <w:bookmarkStart w:id="11" w:name="_Toc511657639"/>
      <w:bookmarkStart w:id="12" w:name="_Toc351469332"/>
      <w:bookmarkStart w:id="13" w:name="_Toc361649879"/>
      <w:r>
        <w:t>1.</w:t>
      </w:r>
      <w:r>
        <w:tab/>
        <w:t>Introduction</w:t>
      </w:r>
      <w:bookmarkEnd w:id="8"/>
      <w:bookmarkEnd w:id="9"/>
      <w:bookmarkEnd w:id="10"/>
      <w:bookmarkEnd w:id="11"/>
    </w:p>
    <w:p w:rsidR="00A1653C" w:rsidRDefault="009871B0" w:rsidP="00DC289C">
      <w:pPr>
        <w:spacing w:before="120" w:after="120"/>
        <w:jc w:val="both"/>
      </w:pPr>
      <w:r>
        <w:rPr>
          <w:noProof/>
        </w:rPr>
        <w:t xml:space="preserve">The Commission Decision on the Facility for Refugees in Turkey was amended on </w:t>
      </w:r>
      <w:r w:rsidR="00195630">
        <w:rPr>
          <w:noProof/>
        </w:rPr>
        <w:t>14</w:t>
      </w:r>
      <w:r w:rsidR="00A259A8">
        <w:rPr>
          <w:noProof/>
        </w:rPr>
        <w:t xml:space="preserve"> </w:t>
      </w:r>
      <w:r w:rsidR="00195630">
        <w:rPr>
          <w:noProof/>
        </w:rPr>
        <w:t xml:space="preserve">March </w:t>
      </w:r>
      <w:r>
        <w:rPr>
          <w:noProof/>
        </w:rPr>
        <w:t>2018</w:t>
      </w:r>
      <w:r>
        <w:rPr>
          <w:rStyle w:val="FootnoteReference"/>
          <w:noProof/>
        </w:rPr>
        <w:footnoteReference w:id="5"/>
      </w:r>
      <w:r>
        <w:rPr>
          <w:noProof/>
        </w:rPr>
        <w:t xml:space="preserve"> in order to allocate </w:t>
      </w:r>
      <w:r w:rsidR="00EC3EB0">
        <w:rPr>
          <w:noProof/>
        </w:rPr>
        <w:t xml:space="preserve">an </w:t>
      </w:r>
      <w:r>
        <w:rPr>
          <w:noProof/>
        </w:rPr>
        <w:t>additional EUR</w:t>
      </w:r>
      <w:r w:rsidR="00DB7F79">
        <w:rPr>
          <w:noProof/>
        </w:rPr>
        <w:t> </w:t>
      </w:r>
      <w:r>
        <w:rPr>
          <w:noProof/>
        </w:rPr>
        <w:t>3</w:t>
      </w:r>
      <w:r w:rsidR="00DB7F79">
        <w:rPr>
          <w:noProof/>
        </w:rPr>
        <w:t> </w:t>
      </w:r>
      <w:r>
        <w:rPr>
          <w:noProof/>
        </w:rPr>
        <w:t>billion</w:t>
      </w:r>
      <w:r w:rsidR="00343153">
        <w:rPr>
          <w:noProof/>
        </w:rPr>
        <w:t xml:space="preserve"> (a 'second tranche')</w:t>
      </w:r>
      <w:r>
        <w:rPr>
          <w:noProof/>
        </w:rPr>
        <w:t xml:space="preserve"> to the Facility over the period 2018–2019.</w:t>
      </w:r>
      <w:r w:rsidR="00343153">
        <w:rPr>
          <w:noProof/>
        </w:rPr>
        <w:t xml:space="preserve"> </w:t>
      </w:r>
      <w:r w:rsidR="00A1653C" w:rsidRPr="003B09B9">
        <w:t>Th</w:t>
      </w:r>
      <w:r w:rsidR="00CB6DF8">
        <w:t>is amendment</w:t>
      </w:r>
      <w:r w:rsidR="00A1653C" w:rsidRPr="003B09B9">
        <w:t xml:space="preserve"> follows the successful implementation of the first tranche of the Facility with funding under the 2016 and 2017 budgets, as confirmed in the 2</w:t>
      </w:r>
      <w:r w:rsidR="00A1653C" w:rsidRPr="003B09B9">
        <w:rPr>
          <w:vertAlign w:val="superscript"/>
        </w:rPr>
        <w:t>nd</w:t>
      </w:r>
      <w:r w:rsidR="00A1653C" w:rsidRPr="003B09B9">
        <w:t xml:space="preserve"> Annual Report on the Facility</w:t>
      </w:r>
      <w:r w:rsidR="00A1653C">
        <w:rPr>
          <w:rStyle w:val="FootnoteReference"/>
        </w:rPr>
        <w:footnoteReference w:id="6"/>
      </w:r>
      <w:r w:rsidR="00A1653C" w:rsidRPr="003B09B9">
        <w:t>.</w:t>
      </w:r>
      <w:r w:rsidR="00A1653C" w:rsidRPr="00A1653C">
        <w:t xml:space="preserve"> The EU-Turkey Statement of 18 March 2016 confirms that the EU would mobilise additional funding for the Facility by end-2018, bringing the total budget for the Facility to EUR</w:t>
      </w:r>
      <w:r w:rsidR="006A3CC8">
        <w:t> </w:t>
      </w:r>
      <w:r w:rsidR="00A1653C" w:rsidRPr="00A1653C">
        <w:t>6</w:t>
      </w:r>
      <w:r w:rsidR="006A3CC8">
        <w:t> </w:t>
      </w:r>
      <w:r w:rsidR="00A1653C" w:rsidRPr="00A1653C">
        <w:t>billion</w:t>
      </w:r>
      <w:r w:rsidR="00CC02EA">
        <w:t>.</w:t>
      </w:r>
    </w:p>
    <w:p w:rsidR="00CB2EAC" w:rsidRDefault="009871B0" w:rsidP="00E77078">
      <w:pPr>
        <w:spacing w:before="120" w:after="120"/>
        <w:jc w:val="both"/>
        <w:rPr>
          <w:noProof/>
        </w:rPr>
      </w:pPr>
      <w:r>
        <w:rPr>
          <w:noProof/>
        </w:rPr>
        <w:t xml:space="preserve">The present draft amending budget </w:t>
      </w:r>
      <w:r w:rsidR="00EA795A">
        <w:rPr>
          <w:noProof/>
        </w:rPr>
        <w:t xml:space="preserve">proposes </w:t>
      </w:r>
      <w:r w:rsidR="00343153">
        <w:rPr>
          <w:noProof/>
        </w:rPr>
        <w:t xml:space="preserve">to add </w:t>
      </w:r>
      <w:r w:rsidR="007E4500">
        <w:rPr>
          <w:noProof/>
        </w:rPr>
        <w:t>EUR</w:t>
      </w:r>
      <w:r w:rsidR="006A3CC8">
        <w:rPr>
          <w:noProof/>
        </w:rPr>
        <w:t> </w:t>
      </w:r>
      <w:r w:rsidR="00714C2C">
        <w:rPr>
          <w:noProof/>
        </w:rPr>
        <w:t>500</w:t>
      </w:r>
      <w:r w:rsidR="006A3CC8">
        <w:rPr>
          <w:noProof/>
        </w:rPr>
        <w:t> </w:t>
      </w:r>
      <w:r w:rsidR="007E4500">
        <w:rPr>
          <w:noProof/>
        </w:rPr>
        <w:t xml:space="preserve">million </w:t>
      </w:r>
      <w:r w:rsidR="00EA795A">
        <w:rPr>
          <w:noProof/>
        </w:rPr>
        <w:t xml:space="preserve">in commitment appropriations as </w:t>
      </w:r>
      <w:r w:rsidR="00E77078">
        <w:rPr>
          <w:noProof/>
        </w:rPr>
        <w:t xml:space="preserve">the </w:t>
      </w:r>
      <w:r w:rsidR="007E4500">
        <w:rPr>
          <w:noProof/>
        </w:rPr>
        <w:t>EU contribution to</w:t>
      </w:r>
      <w:r w:rsidR="00E77078">
        <w:rPr>
          <w:noProof/>
        </w:rPr>
        <w:t xml:space="preserve"> the second tranche </w:t>
      </w:r>
      <w:r w:rsidR="007E4500">
        <w:rPr>
          <w:noProof/>
        </w:rPr>
        <w:t>to the EU budget</w:t>
      </w:r>
      <w:bookmarkStart w:id="14" w:name="_Toc460335328"/>
      <w:bookmarkStart w:id="15" w:name="_Toc430865948"/>
      <w:bookmarkStart w:id="16" w:name="_Toc430867526"/>
      <w:bookmarkStart w:id="17" w:name="_Toc430865947"/>
      <w:bookmarkStart w:id="18" w:name="_Toc430867525"/>
      <w:r w:rsidR="00CB2EAC">
        <w:rPr>
          <w:noProof/>
        </w:rPr>
        <w:t xml:space="preserve"> in 2018, in addition to the </w:t>
      </w:r>
      <w:r w:rsidR="007E4500">
        <w:rPr>
          <w:noProof/>
        </w:rPr>
        <w:t>EUR</w:t>
      </w:r>
      <w:r w:rsidR="006A3CC8">
        <w:rPr>
          <w:noProof/>
        </w:rPr>
        <w:t> </w:t>
      </w:r>
      <w:r w:rsidR="007E4500">
        <w:rPr>
          <w:noProof/>
        </w:rPr>
        <w:t>50</w:t>
      </w:r>
      <w:r w:rsidR="006A3CC8">
        <w:rPr>
          <w:noProof/>
        </w:rPr>
        <w:t> </w:t>
      </w:r>
      <w:r w:rsidR="007E4500">
        <w:rPr>
          <w:noProof/>
        </w:rPr>
        <w:t xml:space="preserve">million financed from the existing </w:t>
      </w:r>
      <w:r w:rsidR="00FE1A8F">
        <w:rPr>
          <w:noProof/>
        </w:rPr>
        <w:t>Humanitarian Aid</w:t>
      </w:r>
      <w:r w:rsidR="007E4500">
        <w:rPr>
          <w:noProof/>
        </w:rPr>
        <w:t xml:space="preserve"> budgetary envelope i</w:t>
      </w:r>
      <w:r w:rsidR="00714C2C">
        <w:rPr>
          <w:noProof/>
        </w:rPr>
        <w:t>n 2018</w:t>
      </w:r>
      <w:r w:rsidR="00CB2EAC">
        <w:rPr>
          <w:noProof/>
        </w:rPr>
        <w:t>.</w:t>
      </w:r>
    </w:p>
    <w:p w:rsidR="006A3CC8" w:rsidRDefault="006A3CC8" w:rsidP="00E77078">
      <w:pPr>
        <w:spacing w:before="120" w:after="120"/>
        <w:jc w:val="both"/>
        <w:rPr>
          <w:noProof/>
        </w:rPr>
      </w:pPr>
      <w:r>
        <w:rPr>
          <w:noProof/>
        </w:rPr>
        <w:t>As the unallocated margin available under heading 4 </w:t>
      </w:r>
      <w:r w:rsidRPr="006A3CC8">
        <w:rPr>
          <w:i/>
          <w:noProof/>
        </w:rPr>
        <w:t>Global Europe</w:t>
      </w:r>
      <w:r>
        <w:rPr>
          <w:noProof/>
        </w:rPr>
        <w:t xml:space="preserve"> is not sufficient to cover this reinforcement (EUR 256,2 million), it is proposed to use the Global Margin for Commitments</w:t>
      </w:r>
      <w:r w:rsidR="002B0E4D">
        <w:rPr>
          <w:noProof/>
        </w:rPr>
        <w:t xml:space="preserve"> in accordance with Article 14 of the Multiannual Financial Framework (MFF) regulation</w:t>
      </w:r>
      <w:r w:rsidR="002B0E4D">
        <w:rPr>
          <w:rStyle w:val="FootnoteReference"/>
          <w:noProof/>
        </w:rPr>
        <w:footnoteReference w:id="7"/>
      </w:r>
      <w:r w:rsidR="002B0E4D">
        <w:rPr>
          <w:noProof/>
        </w:rPr>
        <w:t>,</w:t>
      </w:r>
      <w:r>
        <w:rPr>
          <w:noProof/>
        </w:rPr>
        <w:t xml:space="preserve"> for financing the balance (EUR 243,8 million).</w:t>
      </w:r>
    </w:p>
    <w:p w:rsidR="00DC289C" w:rsidRDefault="005941CE" w:rsidP="00E77078">
      <w:pPr>
        <w:spacing w:before="120" w:after="120"/>
        <w:jc w:val="both"/>
        <w:rPr>
          <w:noProof/>
        </w:rPr>
      </w:pPr>
      <w:r>
        <w:rPr>
          <w:noProof/>
        </w:rPr>
        <w:t>T</w:t>
      </w:r>
      <w:r w:rsidR="00CB2EAC">
        <w:rPr>
          <w:noProof/>
        </w:rPr>
        <w:t>he remaining</w:t>
      </w:r>
      <w:r w:rsidR="00714C2C">
        <w:rPr>
          <w:noProof/>
        </w:rPr>
        <w:t xml:space="preserve"> </w:t>
      </w:r>
      <w:r>
        <w:rPr>
          <w:noProof/>
        </w:rPr>
        <w:t>EU budget contribution</w:t>
      </w:r>
      <w:r w:rsidR="002B0E4D">
        <w:rPr>
          <w:noProof/>
        </w:rPr>
        <w:t xml:space="preserve"> to the Facility</w:t>
      </w:r>
      <w:r w:rsidR="00CB2EAC">
        <w:rPr>
          <w:noProof/>
        </w:rPr>
        <w:t xml:space="preserve"> </w:t>
      </w:r>
      <w:r w:rsidR="007E4500">
        <w:rPr>
          <w:noProof/>
        </w:rPr>
        <w:t xml:space="preserve">will be </w:t>
      </w:r>
      <w:r w:rsidR="00CB6DF8">
        <w:rPr>
          <w:noProof/>
        </w:rPr>
        <w:t>proposed</w:t>
      </w:r>
      <w:r w:rsidR="007E4500">
        <w:rPr>
          <w:noProof/>
        </w:rPr>
        <w:t xml:space="preserve"> under the 2019 </w:t>
      </w:r>
      <w:r w:rsidR="00CB6DF8">
        <w:rPr>
          <w:noProof/>
        </w:rPr>
        <w:t xml:space="preserve">draft </w:t>
      </w:r>
      <w:r w:rsidR="007E4500">
        <w:rPr>
          <w:noProof/>
        </w:rPr>
        <w:t>budget.</w:t>
      </w:r>
    </w:p>
    <w:p w:rsidR="00DC289C" w:rsidRDefault="00E77078" w:rsidP="00DC289C">
      <w:pPr>
        <w:pStyle w:val="ManualHeading1"/>
      </w:pPr>
      <w:bookmarkStart w:id="19" w:name="_Toc484781561"/>
      <w:bookmarkStart w:id="20" w:name="_Toc511657640"/>
      <w:r>
        <w:t>2</w:t>
      </w:r>
      <w:r w:rsidR="00DC289C">
        <w:t>.</w:t>
      </w:r>
      <w:r w:rsidR="00DC289C">
        <w:tab/>
        <w:t xml:space="preserve">Appropriations requested in the budget of </w:t>
      </w:r>
      <w:bookmarkEnd w:id="19"/>
      <w:r w:rsidR="00DC289C">
        <w:t>2018</w:t>
      </w:r>
      <w:bookmarkEnd w:id="20"/>
    </w:p>
    <w:p w:rsidR="00D02BD5" w:rsidRDefault="007E4500" w:rsidP="00D02BD5">
      <w:pPr>
        <w:spacing w:before="120" w:after="120"/>
        <w:jc w:val="both"/>
        <w:rPr>
          <w:noProof/>
        </w:rPr>
      </w:pPr>
      <w:r>
        <w:rPr>
          <w:noProof/>
        </w:rPr>
        <w:t xml:space="preserve">It is proposed to add </w:t>
      </w:r>
      <w:r w:rsidR="00644224">
        <w:rPr>
          <w:noProof/>
        </w:rPr>
        <w:t>EUR</w:t>
      </w:r>
      <w:r w:rsidR="006A3CC8">
        <w:rPr>
          <w:noProof/>
        </w:rPr>
        <w:t> </w:t>
      </w:r>
      <w:r w:rsidR="00714C2C">
        <w:rPr>
          <w:noProof/>
        </w:rPr>
        <w:t>50</w:t>
      </w:r>
      <w:r w:rsidR="00644224">
        <w:rPr>
          <w:noProof/>
        </w:rPr>
        <w:t>0</w:t>
      </w:r>
      <w:r w:rsidR="006A3CC8">
        <w:rPr>
          <w:noProof/>
        </w:rPr>
        <w:t> </w:t>
      </w:r>
      <w:r w:rsidR="00644224">
        <w:rPr>
          <w:noProof/>
        </w:rPr>
        <w:t>million</w:t>
      </w:r>
      <w:r>
        <w:rPr>
          <w:noProof/>
        </w:rPr>
        <w:t xml:space="preserve"> in commitment appropriations</w:t>
      </w:r>
      <w:r w:rsidR="00644224">
        <w:rPr>
          <w:noProof/>
        </w:rPr>
        <w:t xml:space="preserve"> to</w:t>
      </w:r>
      <w:r w:rsidR="00DD4534">
        <w:rPr>
          <w:noProof/>
        </w:rPr>
        <w:t xml:space="preserve"> the </w:t>
      </w:r>
      <w:r w:rsidR="00FE1A8F" w:rsidRPr="00FE1A8F">
        <w:t>Instrument for Pre</w:t>
      </w:r>
      <w:r w:rsidR="00FE1A8F">
        <w:t>-</w:t>
      </w:r>
      <w:r w:rsidR="00FE1A8F" w:rsidRPr="00FE1A8F">
        <w:t>accession Assistance</w:t>
      </w:r>
      <w:r w:rsidR="00FE1A8F">
        <w:rPr>
          <w:noProof/>
        </w:rPr>
        <w:t xml:space="preserve"> to the </w:t>
      </w:r>
      <w:r>
        <w:rPr>
          <w:noProof/>
        </w:rPr>
        <w:t xml:space="preserve">budget </w:t>
      </w:r>
      <w:r w:rsidR="008605F0">
        <w:rPr>
          <w:noProof/>
        </w:rPr>
        <w:t xml:space="preserve">line </w:t>
      </w:r>
      <w:r w:rsidR="008605F0" w:rsidRPr="00FE1A8F">
        <w:rPr>
          <w:noProof/>
        </w:rPr>
        <w:t>22</w:t>
      </w:r>
      <w:r w:rsidR="006A3CC8">
        <w:rPr>
          <w:noProof/>
        </w:rPr>
        <w:t> </w:t>
      </w:r>
      <w:r w:rsidR="008605F0" w:rsidRPr="00FE1A8F">
        <w:rPr>
          <w:noProof/>
        </w:rPr>
        <w:t>02</w:t>
      </w:r>
      <w:r w:rsidR="006A3CC8">
        <w:rPr>
          <w:noProof/>
        </w:rPr>
        <w:t> </w:t>
      </w:r>
      <w:r w:rsidR="008605F0" w:rsidRPr="00FE1A8F">
        <w:rPr>
          <w:noProof/>
        </w:rPr>
        <w:t>03</w:t>
      </w:r>
      <w:r w:rsidR="006A3CC8">
        <w:rPr>
          <w:noProof/>
        </w:rPr>
        <w:t> </w:t>
      </w:r>
      <w:r w:rsidR="008605F0" w:rsidRPr="00FE1A8F">
        <w:rPr>
          <w:noProof/>
        </w:rPr>
        <w:t>02</w:t>
      </w:r>
      <w:r w:rsidRPr="007E4500">
        <w:rPr>
          <w:noProof/>
        </w:rPr>
        <w:t xml:space="preserve"> </w:t>
      </w:r>
      <w:r w:rsidR="00FE1A8F">
        <w:rPr>
          <w:noProof/>
        </w:rPr>
        <w:t xml:space="preserve">- </w:t>
      </w:r>
      <w:r>
        <w:rPr>
          <w:noProof/>
        </w:rPr>
        <w:t xml:space="preserve">Turkey - </w:t>
      </w:r>
      <w:r w:rsidRPr="006A3CC8">
        <w:rPr>
          <w:i/>
          <w:noProof/>
        </w:rPr>
        <w:t>Support for economic, social and territorial development and related progressive alignment with the Union acquis</w:t>
      </w:r>
      <w:r w:rsidR="00D02BD5">
        <w:rPr>
          <w:noProof/>
          <w:sz w:val="22"/>
          <w:szCs w:val="22"/>
        </w:rPr>
        <w:t xml:space="preserve">. </w:t>
      </w:r>
      <w:r w:rsidR="00D02BD5">
        <w:rPr>
          <w:noProof/>
        </w:rPr>
        <w:t xml:space="preserve">This funding is needed in order to </w:t>
      </w:r>
      <w:r w:rsidR="00D02BD5" w:rsidRPr="00004CCB">
        <w:rPr>
          <w:noProof/>
        </w:rPr>
        <w:t xml:space="preserve">ensure a seamless follow up of successful Facility interventions funded under the </w:t>
      </w:r>
      <w:r w:rsidR="00D02BD5">
        <w:rPr>
          <w:noProof/>
        </w:rPr>
        <w:t>first</w:t>
      </w:r>
      <w:r w:rsidR="00D02BD5" w:rsidRPr="00004CCB">
        <w:rPr>
          <w:noProof/>
        </w:rPr>
        <w:t xml:space="preserve"> tranche, </w:t>
      </w:r>
      <w:r w:rsidR="00D02BD5">
        <w:rPr>
          <w:noProof/>
        </w:rPr>
        <w:t>notably in order to be able to continue paying the salaries for over 5 000 teachers</w:t>
      </w:r>
      <w:r w:rsidR="0049588D">
        <w:rPr>
          <w:noProof/>
        </w:rPr>
        <w:t xml:space="preserve"> who so far have</w:t>
      </w:r>
      <w:r w:rsidR="00D02BD5">
        <w:rPr>
          <w:noProof/>
        </w:rPr>
        <w:t xml:space="preserve"> provided </w:t>
      </w:r>
      <w:r>
        <w:rPr>
          <w:noProof/>
        </w:rPr>
        <w:t>educ</w:t>
      </w:r>
      <w:r w:rsidR="00D02BD5">
        <w:rPr>
          <w:noProof/>
        </w:rPr>
        <w:t>ation to over 300 000 refugee children in Turkey</w:t>
      </w:r>
      <w:r w:rsidR="00D02BD5" w:rsidRPr="00004CCB">
        <w:rPr>
          <w:noProof/>
        </w:rPr>
        <w:t>.</w:t>
      </w:r>
    </w:p>
    <w:p w:rsidR="00CA654E" w:rsidRDefault="00EA795A" w:rsidP="00D02BD5">
      <w:pPr>
        <w:spacing w:before="120" w:after="120"/>
        <w:jc w:val="both"/>
        <w:rPr>
          <w:noProof/>
        </w:rPr>
      </w:pPr>
      <w:r>
        <w:rPr>
          <w:noProof/>
        </w:rPr>
        <w:t>The payment appropriations</w:t>
      </w:r>
      <w:r w:rsidR="00CA6A84">
        <w:rPr>
          <w:noProof/>
        </w:rPr>
        <w:t xml:space="preserve"> available in the voted budget are</w:t>
      </w:r>
      <w:r>
        <w:rPr>
          <w:noProof/>
        </w:rPr>
        <w:t xml:space="preserve"> estimated to be sufficient to cover the </w:t>
      </w:r>
      <w:r w:rsidR="006A3CC8">
        <w:rPr>
          <w:noProof/>
        </w:rPr>
        <w:t>EUR 180 </w:t>
      </w:r>
      <w:r w:rsidR="00CA654E">
        <w:rPr>
          <w:noProof/>
        </w:rPr>
        <w:t>million</w:t>
      </w:r>
      <w:r w:rsidR="00CA6A84">
        <w:rPr>
          <w:noProof/>
        </w:rPr>
        <w:t xml:space="preserve"> of advance payments expected to be made in the course of this year.</w:t>
      </w:r>
      <w:r>
        <w:rPr>
          <w:noProof/>
        </w:rPr>
        <w:t xml:space="preserve"> </w:t>
      </w:r>
      <w:r w:rsidR="00CA6A84">
        <w:rPr>
          <w:noProof/>
        </w:rPr>
        <w:t xml:space="preserve">No reinforcement in payment appropriations is therefore requested at this stage. </w:t>
      </w:r>
      <w:r>
        <w:rPr>
          <w:noProof/>
        </w:rPr>
        <w:t xml:space="preserve">However, the Commission </w:t>
      </w:r>
      <w:r w:rsidR="00CA6A84">
        <w:rPr>
          <w:noProof/>
        </w:rPr>
        <w:t>may</w:t>
      </w:r>
      <w:r>
        <w:rPr>
          <w:noProof/>
        </w:rPr>
        <w:t xml:space="preserve"> present an a</w:t>
      </w:r>
      <w:r w:rsidR="00CA6A84">
        <w:rPr>
          <w:noProof/>
        </w:rPr>
        <w:t>mending budget later in the year</w:t>
      </w:r>
      <w:r>
        <w:rPr>
          <w:noProof/>
        </w:rPr>
        <w:t xml:space="preserve"> in case the implementation of the budget shows the need </w:t>
      </w:r>
      <w:r w:rsidR="00CA6A84">
        <w:rPr>
          <w:noProof/>
        </w:rPr>
        <w:t>for</w:t>
      </w:r>
      <w:r>
        <w:rPr>
          <w:noProof/>
        </w:rPr>
        <w:t xml:space="preserve"> reinforcement.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DC289C" w:rsidTr="006A3CC8">
        <w:trPr>
          <w:jc w:val="center"/>
        </w:trPr>
        <w:tc>
          <w:tcPr>
            <w:tcW w:w="9781" w:type="dxa"/>
            <w:gridSpan w:val="4"/>
            <w:tcBorders>
              <w:top w:val="nil"/>
              <w:left w:val="nil"/>
              <w:bottom w:val="single" w:sz="4" w:space="0" w:color="auto"/>
              <w:right w:val="nil"/>
            </w:tcBorders>
            <w:shd w:val="clear" w:color="auto" w:fill="auto"/>
            <w:vAlign w:val="center"/>
          </w:tcPr>
          <w:p w:rsidR="00DC289C" w:rsidRDefault="00DC289C" w:rsidP="00974BEE">
            <w:pPr>
              <w:widowControl w:val="0"/>
              <w:spacing w:before="15" w:after="15"/>
              <w:jc w:val="right"/>
              <w:rPr>
                <w:i/>
                <w:noProof/>
                <w:sz w:val="22"/>
                <w:szCs w:val="22"/>
              </w:rPr>
            </w:pPr>
            <w:r>
              <w:rPr>
                <w:i/>
                <w:noProof/>
                <w:sz w:val="22"/>
                <w:szCs w:val="22"/>
              </w:rPr>
              <w:t>Amounts in EUR</w:t>
            </w:r>
          </w:p>
        </w:tc>
      </w:tr>
      <w:tr w:rsidR="00DC289C" w:rsidTr="006A3CC8">
        <w:trPr>
          <w:jc w:val="center"/>
        </w:trPr>
        <w:tc>
          <w:tcPr>
            <w:tcW w:w="1276" w:type="dxa"/>
            <w:tcBorders>
              <w:top w:val="single" w:sz="4" w:space="0" w:color="auto"/>
            </w:tcBorders>
            <w:shd w:val="clear" w:color="auto" w:fill="D9D9D9"/>
            <w:vAlign w:val="center"/>
          </w:tcPr>
          <w:p w:rsidR="00DC289C" w:rsidRDefault="00DC289C" w:rsidP="00974BEE">
            <w:pPr>
              <w:widowControl w:val="0"/>
              <w:spacing w:before="15" w:after="15"/>
              <w:jc w:val="center"/>
              <w:rPr>
                <w:b/>
                <w:noProof/>
                <w:sz w:val="22"/>
                <w:szCs w:val="22"/>
              </w:rPr>
            </w:pPr>
            <w:r>
              <w:rPr>
                <w:b/>
                <w:noProof/>
                <w:sz w:val="22"/>
                <w:szCs w:val="22"/>
              </w:rPr>
              <w:t>Budget line</w:t>
            </w:r>
          </w:p>
        </w:tc>
        <w:tc>
          <w:tcPr>
            <w:tcW w:w="5103" w:type="dxa"/>
            <w:tcBorders>
              <w:top w:val="single" w:sz="4" w:space="0" w:color="auto"/>
            </w:tcBorders>
            <w:shd w:val="clear" w:color="auto" w:fill="D9D9D9"/>
            <w:vAlign w:val="center"/>
          </w:tcPr>
          <w:p w:rsidR="00DC289C" w:rsidRDefault="00DC289C" w:rsidP="00974BEE">
            <w:pPr>
              <w:widowControl w:val="0"/>
              <w:spacing w:before="15" w:after="15"/>
              <w:jc w:val="center"/>
              <w:rPr>
                <w:b/>
                <w:noProof/>
                <w:sz w:val="22"/>
                <w:szCs w:val="22"/>
              </w:rPr>
            </w:pPr>
            <w:r>
              <w:rPr>
                <w:b/>
                <w:noProof/>
                <w:sz w:val="22"/>
                <w:szCs w:val="22"/>
              </w:rPr>
              <w:t>Name</w:t>
            </w:r>
          </w:p>
        </w:tc>
        <w:tc>
          <w:tcPr>
            <w:tcW w:w="1701" w:type="dxa"/>
            <w:tcBorders>
              <w:top w:val="single" w:sz="4" w:space="0" w:color="auto"/>
            </w:tcBorders>
            <w:shd w:val="clear" w:color="auto" w:fill="D9D9D9"/>
          </w:tcPr>
          <w:p w:rsidR="00DC289C" w:rsidRDefault="00DC289C" w:rsidP="00974BEE">
            <w:pPr>
              <w:widowControl w:val="0"/>
              <w:spacing w:before="15" w:after="15"/>
              <w:jc w:val="center"/>
              <w:rPr>
                <w:b/>
                <w:noProof/>
                <w:sz w:val="22"/>
                <w:szCs w:val="22"/>
              </w:rPr>
            </w:pPr>
            <w:r>
              <w:rPr>
                <w:b/>
                <w:noProof/>
                <w:sz w:val="22"/>
                <w:szCs w:val="22"/>
              </w:rPr>
              <w:t>Commitment appropriations</w:t>
            </w:r>
          </w:p>
        </w:tc>
        <w:tc>
          <w:tcPr>
            <w:tcW w:w="1701" w:type="dxa"/>
            <w:tcBorders>
              <w:top w:val="single" w:sz="4" w:space="0" w:color="auto"/>
            </w:tcBorders>
            <w:shd w:val="clear" w:color="auto" w:fill="D9D9D9"/>
            <w:vAlign w:val="center"/>
          </w:tcPr>
          <w:p w:rsidR="00DC289C" w:rsidRDefault="00DC289C" w:rsidP="00974BEE">
            <w:pPr>
              <w:widowControl w:val="0"/>
              <w:spacing w:before="15" w:after="15"/>
              <w:jc w:val="center"/>
              <w:rPr>
                <w:b/>
                <w:noProof/>
                <w:sz w:val="22"/>
                <w:szCs w:val="22"/>
              </w:rPr>
            </w:pPr>
            <w:r>
              <w:rPr>
                <w:b/>
                <w:noProof/>
                <w:sz w:val="22"/>
                <w:szCs w:val="22"/>
              </w:rPr>
              <w:t>Payment appropriations</w:t>
            </w:r>
          </w:p>
        </w:tc>
      </w:tr>
      <w:tr w:rsidR="0049588D" w:rsidTr="006A3CC8">
        <w:trPr>
          <w:jc w:val="center"/>
        </w:trPr>
        <w:tc>
          <w:tcPr>
            <w:tcW w:w="1276" w:type="dxa"/>
          </w:tcPr>
          <w:p w:rsidR="0049588D" w:rsidRDefault="006A3CC8" w:rsidP="00974BEE">
            <w:pPr>
              <w:widowControl w:val="0"/>
              <w:spacing w:before="15" w:after="15"/>
              <w:ind w:right="-113"/>
              <w:jc w:val="both"/>
              <w:rPr>
                <w:noProof/>
                <w:sz w:val="22"/>
                <w:szCs w:val="22"/>
              </w:rPr>
            </w:pPr>
            <w:r>
              <w:rPr>
                <w:noProof/>
              </w:rPr>
              <w:t>22 </w:t>
            </w:r>
            <w:r w:rsidR="0049588D" w:rsidRPr="00FE1A8F">
              <w:rPr>
                <w:noProof/>
              </w:rPr>
              <w:t>02</w:t>
            </w:r>
            <w:r>
              <w:rPr>
                <w:noProof/>
              </w:rPr>
              <w:t> </w:t>
            </w:r>
            <w:r w:rsidR="0049588D" w:rsidRPr="00FE1A8F">
              <w:rPr>
                <w:noProof/>
              </w:rPr>
              <w:t>03</w:t>
            </w:r>
            <w:r>
              <w:rPr>
                <w:noProof/>
              </w:rPr>
              <w:t> </w:t>
            </w:r>
            <w:r w:rsidR="0049588D" w:rsidRPr="00FE1A8F">
              <w:rPr>
                <w:noProof/>
              </w:rPr>
              <w:t>02</w:t>
            </w:r>
          </w:p>
        </w:tc>
        <w:tc>
          <w:tcPr>
            <w:tcW w:w="5103" w:type="dxa"/>
          </w:tcPr>
          <w:p w:rsidR="0049588D" w:rsidRDefault="0049588D" w:rsidP="00E77078">
            <w:pPr>
              <w:widowControl w:val="0"/>
              <w:spacing w:before="15" w:after="15"/>
              <w:jc w:val="both"/>
              <w:rPr>
                <w:noProof/>
                <w:sz w:val="22"/>
                <w:szCs w:val="22"/>
              </w:rPr>
            </w:pPr>
            <w:r>
              <w:rPr>
                <w:noProof/>
              </w:rPr>
              <w:t>Instrument for Pre-accession Assistance</w:t>
            </w:r>
            <w:r w:rsidRPr="00E77078">
              <w:rPr>
                <w:noProof/>
              </w:rPr>
              <w:t xml:space="preserve"> – Turkey - </w:t>
            </w:r>
            <w:r>
              <w:rPr>
                <w:noProof/>
              </w:rPr>
              <w:t>Support for economic, social and territorial development and related progressive alignment with the Union acquis</w:t>
            </w:r>
          </w:p>
        </w:tc>
        <w:tc>
          <w:tcPr>
            <w:tcW w:w="1701" w:type="dxa"/>
          </w:tcPr>
          <w:p w:rsidR="0049588D" w:rsidRDefault="00714C2C" w:rsidP="00FE1A8F">
            <w:pPr>
              <w:widowControl w:val="0"/>
              <w:spacing w:before="15" w:after="15"/>
              <w:jc w:val="right"/>
              <w:rPr>
                <w:noProof/>
                <w:sz w:val="22"/>
                <w:szCs w:val="22"/>
              </w:rPr>
            </w:pPr>
            <w:r>
              <w:rPr>
                <w:noProof/>
                <w:sz w:val="22"/>
                <w:szCs w:val="22"/>
              </w:rPr>
              <w:t>50</w:t>
            </w:r>
            <w:r w:rsidR="003A6E70">
              <w:rPr>
                <w:noProof/>
                <w:sz w:val="22"/>
                <w:szCs w:val="22"/>
              </w:rPr>
              <w:t>0 000 000</w:t>
            </w:r>
          </w:p>
        </w:tc>
        <w:tc>
          <w:tcPr>
            <w:tcW w:w="1701" w:type="dxa"/>
          </w:tcPr>
          <w:p w:rsidR="0049588D" w:rsidRDefault="00EA795A" w:rsidP="00FE1A8F">
            <w:pPr>
              <w:widowControl w:val="0"/>
              <w:spacing w:before="15" w:after="15"/>
              <w:jc w:val="right"/>
              <w:rPr>
                <w:noProof/>
                <w:sz w:val="22"/>
                <w:szCs w:val="22"/>
              </w:rPr>
            </w:pPr>
            <w:r>
              <w:rPr>
                <w:noProof/>
                <w:sz w:val="22"/>
                <w:szCs w:val="22"/>
              </w:rPr>
              <w:t>0</w:t>
            </w:r>
          </w:p>
        </w:tc>
      </w:tr>
      <w:tr w:rsidR="0049588D" w:rsidTr="006A3CC8">
        <w:trPr>
          <w:jc w:val="center"/>
        </w:trPr>
        <w:tc>
          <w:tcPr>
            <w:tcW w:w="6379" w:type="dxa"/>
            <w:gridSpan w:val="2"/>
            <w:shd w:val="clear" w:color="auto" w:fill="D9D9D9"/>
          </w:tcPr>
          <w:p w:rsidR="0049588D" w:rsidRDefault="0049588D" w:rsidP="00974BEE">
            <w:pPr>
              <w:widowControl w:val="0"/>
              <w:tabs>
                <w:tab w:val="left" w:pos="975"/>
              </w:tabs>
              <w:spacing w:before="15" w:after="15"/>
              <w:jc w:val="both"/>
              <w:rPr>
                <w:b/>
                <w:noProof/>
                <w:sz w:val="22"/>
                <w:szCs w:val="22"/>
              </w:rPr>
            </w:pPr>
            <w:r>
              <w:rPr>
                <w:b/>
                <w:noProof/>
                <w:sz w:val="22"/>
                <w:szCs w:val="22"/>
              </w:rPr>
              <w:t>Total</w:t>
            </w:r>
            <w:r>
              <w:rPr>
                <w:b/>
                <w:noProof/>
                <w:sz w:val="22"/>
                <w:szCs w:val="22"/>
              </w:rPr>
              <w:tab/>
            </w:r>
          </w:p>
        </w:tc>
        <w:tc>
          <w:tcPr>
            <w:tcW w:w="1701" w:type="dxa"/>
            <w:shd w:val="clear" w:color="auto" w:fill="D9D9D9"/>
          </w:tcPr>
          <w:p w:rsidR="0049588D" w:rsidRDefault="00674A5A" w:rsidP="00974BEE">
            <w:pPr>
              <w:widowControl w:val="0"/>
              <w:spacing w:before="15" w:after="15"/>
              <w:jc w:val="right"/>
              <w:rPr>
                <w:b/>
                <w:noProof/>
                <w:sz w:val="22"/>
                <w:szCs w:val="22"/>
              </w:rPr>
            </w:pPr>
            <w:r>
              <w:rPr>
                <w:b/>
                <w:noProof/>
                <w:sz w:val="22"/>
                <w:szCs w:val="22"/>
              </w:rPr>
              <w:t>500 000 000</w:t>
            </w:r>
          </w:p>
        </w:tc>
        <w:tc>
          <w:tcPr>
            <w:tcW w:w="1701" w:type="dxa"/>
            <w:shd w:val="clear" w:color="auto" w:fill="D9D9D9"/>
          </w:tcPr>
          <w:p w:rsidR="0049588D" w:rsidRDefault="00EA795A" w:rsidP="00974BEE">
            <w:pPr>
              <w:widowControl w:val="0"/>
              <w:spacing w:before="15" w:after="15"/>
              <w:jc w:val="right"/>
              <w:rPr>
                <w:b/>
                <w:noProof/>
                <w:sz w:val="22"/>
                <w:szCs w:val="22"/>
              </w:rPr>
            </w:pPr>
            <w:r>
              <w:rPr>
                <w:b/>
                <w:noProof/>
                <w:sz w:val="22"/>
                <w:szCs w:val="22"/>
              </w:rPr>
              <w:t>0</w:t>
            </w:r>
          </w:p>
        </w:tc>
      </w:tr>
    </w:tbl>
    <w:p w:rsidR="00DC289C" w:rsidRDefault="00EE182C" w:rsidP="00DC289C">
      <w:pPr>
        <w:pStyle w:val="ManualHeading1"/>
        <w:pageBreakBefore/>
      </w:pPr>
      <w:bookmarkStart w:id="21" w:name="_Toc511657641"/>
      <w:bookmarkEnd w:id="14"/>
      <w:bookmarkEnd w:id="15"/>
      <w:bookmarkEnd w:id="16"/>
      <w:r>
        <w:t>3</w:t>
      </w:r>
      <w:r w:rsidR="00DC289C">
        <w:t>.</w:t>
      </w:r>
      <w:r w:rsidR="00DC289C">
        <w:tab/>
        <w:t>Summary table by MFF heading</w:t>
      </w:r>
      <w:bookmarkEnd w:id="21"/>
    </w:p>
    <w:tbl>
      <w:tblPr>
        <w:tblW w:w="10932" w:type="dxa"/>
        <w:jc w:val="center"/>
        <w:tblInd w:w="93" w:type="dxa"/>
        <w:tblLook w:val="04A0" w:firstRow="1" w:lastRow="0" w:firstColumn="1" w:lastColumn="0" w:noHBand="0" w:noVBand="1"/>
      </w:tblPr>
      <w:tblGrid>
        <w:gridCol w:w="356"/>
        <w:gridCol w:w="2778"/>
        <w:gridCol w:w="1368"/>
        <w:gridCol w:w="1585"/>
        <w:gridCol w:w="1054"/>
        <w:gridCol w:w="1055"/>
        <w:gridCol w:w="1368"/>
        <w:gridCol w:w="1368"/>
      </w:tblGrid>
      <w:tr w:rsidR="00295CD9" w:rsidRPr="00295CD9" w:rsidTr="00295CD9">
        <w:trPr>
          <w:trHeight w:val="210"/>
          <w:jc w:val="center"/>
        </w:trPr>
        <w:tc>
          <w:tcPr>
            <w:tcW w:w="3134"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7"/>
          <w:bookmarkEnd w:id="18"/>
          <w:p w:rsidR="00295CD9" w:rsidRPr="00295CD9" w:rsidRDefault="00295CD9" w:rsidP="00295CD9">
            <w:pPr>
              <w:jc w:val="center"/>
              <w:rPr>
                <w:b/>
                <w:bCs/>
                <w:color w:val="000000"/>
                <w:sz w:val="14"/>
                <w:szCs w:val="14"/>
              </w:rPr>
            </w:pPr>
            <w:r w:rsidRPr="00295CD9">
              <w:rPr>
                <w:b/>
                <w:bCs/>
                <w:color w:val="000000"/>
                <w:sz w:val="14"/>
                <w:szCs w:val="14"/>
              </w:rPr>
              <w:t>Heading</w:t>
            </w:r>
          </w:p>
        </w:tc>
        <w:tc>
          <w:tcPr>
            <w:tcW w:w="2953" w:type="dxa"/>
            <w:gridSpan w:val="2"/>
            <w:tcBorders>
              <w:top w:val="single" w:sz="4" w:space="0" w:color="auto"/>
              <w:left w:val="nil"/>
              <w:bottom w:val="nil"/>
              <w:right w:val="single" w:sz="4" w:space="0" w:color="000000"/>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Budget 2018</w:t>
            </w:r>
          </w:p>
        </w:tc>
        <w:tc>
          <w:tcPr>
            <w:tcW w:w="210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Draft Amending Budget 3/2018</w:t>
            </w:r>
          </w:p>
        </w:tc>
        <w:tc>
          <w:tcPr>
            <w:tcW w:w="2736" w:type="dxa"/>
            <w:gridSpan w:val="2"/>
            <w:tcBorders>
              <w:top w:val="single" w:sz="4" w:space="0" w:color="auto"/>
              <w:left w:val="nil"/>
              <w:bottom w:val="nil"/>
              <w:right w:val="single" w:sz="4" w:space="0" w:color="000000"/>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Budget 2018</w:t>
            </w:r>
          </w:p>
        </w:tc>
      </w:tr>
      <w:tr w:rsidR="00295CD9" w:rsidRPr="00295CD9" w:rsidTr="000067CB">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rsidR="00295CD9" w:rsidRPr="00295CD9" w:rsidRDefault="00295CD9" w:rsidP="00295CD9">
            <w:pPr>
              <w:rPr>
                <w:b/>
                <w:bCs/>
                <w:color w:val="000000"/>
                <w:sz w:val="14"/>
                <w:szCs w:val="14"/>
              </w:rPr>
            </w:pPr>
          </w:p>
        </w:tc>
        <w:tc>
          <w:tcPr>
            <w:tcW w:w="2953" w:type="dxa"/>
            <w:gridSpan w:val="2"/>
            <w:tcBorders>
              <w:top w:val="nil"/>
              <w:left w:val="nil"/>
              <w:bottom w:val="single" w:sz="4" w:space="0" w:color="auto"/>
              <w:right w:val="single" w:sz="4" w:space="0" w:color="000000"/>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(incl. DAB 1-2/2018)</w:t>
            </w:r>
          </w:p>
        </w:tc>
        <w:tc>
          <w:tcPr>
            <w:tcW w:w="2109" w:type="dxa"/>
            <w:gridSpan w:val="2"/>
            <w:vMerge/>
            <w:tcBorders>
              <w:top w:val="single" w:sz="4" w:space="0" w:color="auto"/>
              <w:left w:val="single" w:sz="4" w:space="0" w:color="auto"/>
              <w:bottom w:val="single" w:sz="4" w:space="0" w:color="000000"/>
              <w:right w:val="single" w:sz="4" w:space="0" w:color="000000"/>
            </w:tcBorders>
            <w:vAlign w:val="center"/>
            <w:hideMark/>
          </w:tcPr>
          <w:p w:rsidR="00295CD9" w:rsidRPr="00295CD9" w:rsidRDefault="00295CD9" w:rsidP="00295CD9">
            <w:pPr>
              <w:rPr>
                <w:b/>
                <w:bCs/>
                <w:color w:val="000000"/>
                <w:sz w:val="14"/>
                <w:szCs w:val="14"/>
              </w:rPr>
            </w:pPr>
          </w:p>
        </w:tc>
        <w:tc>
          <w:tcPr>
            <w:tcW w:w="2736" w:type="dxa"/>
            <w:gridSpan w:val="2"/>
            <w:tcBorders>
              <w:top w:val="nil"/>
              <w:left w:val="nil"/>
              <w:bottom w:val="single" w:sz="4" w:space="0" w:color="auto"/>
              <w:right w:val="single" w:sz="4" w:space="0" w:color="000000"/>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(incl. DAB 1-3/2018)</w:t>
            </w:r>
          </w:p>
        </w:tc>
      </w:tr>
      <w:tr w:rsidR="00295CD9" w:rsidRPr="00295CD9" w:rsidTr="000067CB">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rsidR="00295CD9" w:rsidRPr="00295CD9" w:rsidRDefault="00295CD9" w:rsidP="00295CD9">
            <w:pPr>
              <w:rPr>
                <w:b/>
                <w:bCs/>
                <w:color w:val="000000"/>
                <w:sz w:val="14"/>
                <w:szCs w:val="14"/>
              </w:rPr>
            </w:pPr>
          </w:p>
        </w:tc>
        <w:tc>
          <w:tcPr>
            <w:tcW w:w="1368" w:type="dxa"/>
            <w:tcBorders>
              <w:top w:val="nil"/>
              <w:left w:val="nil"/>
              <w:bottom w:val="nil"/>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CA</w:t>
            </w:r>
          </w:p>
        </w:tc>
        <w:tc>
          <w:tcPr>
            <w:tcW w:w="158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PA</w:t>
            </w:r>
          </w:p>
        </w:tc>
        <w:tc>
          <w:tcPr>
            <w:tcW w:w="1054"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CA</w:t>
            </w:r>
          </w:p>
        </w:tc>
        <w:tc>
          <w:tcPr>
            <w:tcW w:w="105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PA</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CA</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center"/>
              <w:rPr>
                <w:b/>
                <w:bCs/>
                <w:color w:val="000000"/>
                <w:sz w:val="14"/>
                <w:szCs w:val="14"/>
              </w:rPr>
            </w:pPr>
            <w:r w:rsidRPr="00295CD9">
              <w:rPr>
                <w:b/>
                <w:bCs/>
                <w:color w:val="000000"/>
                <w:sz w:val="14"/>
                <w:szCs w:val="14"/>
              </w:rPr>
              <w:t>PA</w:t>
            </w:r>
          </w:p>
        </w:tc>
      </w:tr>
      <w:tr w:rsidR="00295CD9" w:rsidRPr="00295CD9" w:rsidTr="000067CB">
        <w:trPr>
          <w:trHeight w:val="225"/>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1.</w:t>
            </w:r>
          </w:p>
        </w:tc>
        <w:tc>
          <w:tcPr>
            <w:tcW w:w="2778"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Smart and inclusive growth</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77 533 697 652</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66 624 486 101</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77 533 697 652</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66 624 486 101</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under global margin for commitments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1 113 697 652</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1 113 697 652</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Ceiling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76 420 000 000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76 420 000 000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1a</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Competitiveness for growth and jobs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22 001 452 724</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20 097 167 844</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22 001 452 724</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20 097 167 844</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under global margin for commitments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xml:space="preserve"> 762 452 724</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xml:space="preserve"> 762 452 724</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21 239 000 000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21 239 000 000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 xml:space="preserve">1b </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Economic  social and territorial cohesion</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55 532 244 928</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46 527 318 257</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55 532 244 928</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46 527 318 257</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under global margin for commitments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xml:space="preserve"> 351 244 928</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351 244 928</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55 181 000 000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55 181 000 000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2.</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Sustainable growth: natural resources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59 285 323 122</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56 083 793 633</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59 285 323 122</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56 083 793 633</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60 267 000 000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60 267 000 000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981 676 878</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981 676 878</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34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Of which: European Agricultural Guarantee Fund (EAGF) — Market related expenditure and direct payments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43 234 516 899</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43 188 677 466</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43 234 516 899</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43 188 677 466</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Sub-ceiling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44 163 000 000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44 163 000 000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EAGF 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927 833 101</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927 833 101</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3.</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Security and citizenship</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3 493 241 199</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2 980 707 175</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3 493 241 199</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2 980 707 175</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under Flexibility Instrument</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837 241 199</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837 241 199</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2 656 000 000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2 656 000 000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4.</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Global Europe</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9 568 842 411</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8 906 075 154</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500 000 000</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10 068 842 411</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8 906 075 154</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under global margin for commitments</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xml:space="preserve">   </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243 842 411</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9 825 000 000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9 825 000 000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000000" w:fill="FFFFFF"/>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256 157 589</w:t>
            </w:r>
          </w:p>
        </w:tc>
        <w:tc>
          <w:tcPr>
            <w:tcW w:w="1585" w:type="dxa"/>
            <w:tcBorders>
              <w:top w:val="nil"/>
              <w:left w:val="nil"/>
              <w:bottom w:val="single" w:sz="4" w:space="0" w:color="auto"/>
              <w:right w:val="single" w:sz="4" w:space="0" w:color="auto"/>
            </w:tcBorders>
            <w:shd w:val="clear" w:color="000000" w:fill="FFFFFF"/>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000000" w:fill="FFFFFF"/>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5.</w:t>
            </w:r>
          </w:p>
        </w:tc>
        <w:tc>
          <w:tcPr>
            <w:tcW w:w="277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Administration</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9 665 513 627</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9 666 318 627</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9 665 513 627</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9 666 318 627</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10 346 000 000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10 346 000 000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offset against Contingency margin</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362 486 373</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362 486 373</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360"/>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rPr>
                <w:color w:val="000000"/>
                <w:sz w:val="14"/>
                <w:szCs w:val="14"/>
              </w:rPr>
            </w:pPr>
            <w:r w:rsidRPr="00295CD9">
              <w:rPr>
                <w:color w:val="000000"/>
                <w:sz w:val="14"/>
                <w:szCs w:val="14"/>
              </w:rPr>
              <w:t>Of which: Administrative expenditure of the institutions</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7 579 920 627</w:t>
            </w:r>
          </w:p>
        </w:tc>
        <w:tc>
          <w:tcPr>
            <w:tcW w:w="1585"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7 580 725 627</w:t>
            </w:r>
          </w:p>
        </w:tc>
        <w:tc>
          <w:tcPr>
            <w:tcW w:w="1054"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055"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 </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7 579 920 627</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rsidR="00295CD9" w:rsidRPr="00295CD9" w:rsidRDefault="00295CD9" w:rsidP="00295CD9">
            <w:pPr>
              <w:jc w:val="right"/>
              <w:rPr>
                <w:color w:val="000000"/>
                <w:sz w:val="14"/>
                <w:szCs w:val="14"/>
              </w:rPr>
            </w:pPr>
            <w:r w:rsidRPr="00295CD9">
              <w:rPr>
                <w:color w:val="000000"/>
                <w:sz w:val="14"/>
                <w:szCs w:val="14"/>
              </w:rPr>
              <w:t>7 580 725 627</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Sub-ceiling</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8 360 000 000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8 360 000 000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Of which offset against Contingency margin</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295CD9">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Margin</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462 079 373</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xml:space="preserve"> 462 079 373</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i/>
                <w:iCs/>
                <w:color w:val="000000"/>
                <w:sz w:val="14"/>
                <w:szCs w:val="14"/>
              </w:rPr>
            </w:pPr>
            <w:r w:rsidRPr="00295CD9">
              <w:rPr>
                <w:i/>
                <w:iCs/>
                <w:color w:val="000000"/>
                <w:sz w:val="14"/>
                <w:szCs w:val="14"/>
              </w:rPr>
              <w:t> </w:t>
            </w:r>
          </w:p>
        </w:tc>
      </w:tr>
      <w:tr w:rsidR="00295CD9" w:rsidRPr="00295CD9" w:rsidTr="000067CB">
        <w:trPr>
          <w:trHeight w:val="225"/>
          <w:jc w:val="center"/>
        </w:trPr>
        <w:tc>
          <w:tcPr>
            <w:tcW w:w="3134"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Total</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159 546 618 011</w:t>
            </w:r>
          </w:p>
        </w:tc>
        <w:tc>
          <w:tcPr>
            <w:tcW w:w="1585"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144 261 380 690</w:t>
            </w:r>
          </w:p>
        </w:tc>
        <w:tc>
          <w:tcPr>
            <w:tcW w:w="1054"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500 000 000</w:t>
            </w:r>
          </w:p>
        </w:tc>
        <w:tc>
          <w:tcPr>
            <w:tcW w:w="1055"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160 046 618 011</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144 261 380 690</w:t>
            </w:r>
          </w:p>
        </w:tc>
      </w:tr>
      <w:tr w:rsidR="00295CD9" w:rsidRPr="00295CD9" w:rsidTr="000067CB">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Of which under Flexibility Instrument</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837 241 199</w:t>
            </w:r>
          </w:p>
        </w:tc>
        <w:tc>
          <w:tcPr>
            <w:tcW w:w="158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678 340 197</w:t>
            </w:r>
          </w:p>
        </w:tc>
        <w:tc>
          <w:tcPr>
            <w:tcW w:w="1054"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837 241 199</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678 340 197</w:t>
            </w:r>
          </w:p>
        </w:tc>
      </w:tr>
      <w:tr w:rsidR="00295CD9" w:rsidRPr="00295CD9" w:rsidTr="000067CB">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Of which under global margin for commitments</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1 113 697 652</w:t>
            </w:r>
          </w:p>
        </w:tc>
        <w:tc>
          <w:tcPr>
            <w:tcW w:w="158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054"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1 357 540 063</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r>
      <w:tr w:rsidR="00295CD9" w:rsidRPr="00295CD9" w:rsidTr="000067CB">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Ceiling</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159 514 000 000</w:t>
            </w:r>
          </w:p>
        </w:tc>
        <w:tc>
          <w:tcPr>
            <w:tcW w:w="158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154 565 000 000</w:t>
            </w:r>
          </w:p>
        </w:tc>
        <w:tc>
          <w:tcPr>
            <w:tcW w:w="1054"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159 514 000 000</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154 565 000 000</w:t>
            </w:r>
          </w:p>
        </w:tc>
      </w:tr>
      <w:tr w:rsidR="00295CD9" w:rsidRPr="00295CD9" w:rsidTr="000067CB">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Of which offset against Contingency margin</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- 318 000 000</w:t>
            </w:r>
          </w:p>
        </w:tc>
        <w:tc>
          <w:tcPr>
            <w:tcW w:w="158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054"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- 318 000 000</w:t>
            </w:r>
          </w:p>
        </w:tc>
        <w:tc>
          <w:tcPr>
            <w:tcW w:w="1368" w:type="dxa"/>
            <w:tcBorders>
              <w:top w:val="nil"/>
              <w:left w:val="nil"/>
              <w:bottom w:val="dotted"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r>
      <w:tr w:rsidR="00295CD9" w:rsidRPr="00295CD9" w:rsidTr="000067CB">
        <w:trPr>
          <w:trHeight w:val="225"/>
          <w:jc w:val="center"/>
        </w:trPr>
        <w:tc>
          <w:tcPr>
            <w:tcW w:w="3134" w:type="dxa"/>
            <w:gridSpan w:val="2"/>
            <w:tcBorders>
              <w:top w:val="dotted" w:sz="4" w:space="0" w:color="auto"/>
              <w:left w:val="single" w:sz="4" w:space="0" w:color="auto"/>
              <w:bottom w:val="nil"/>
              <w:right w:val="single" w:sz="4" w:space="0" w:color="000000"/>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Margin</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1 600 320 840</w:t>
            </w:r>
          </w:p>
        </w:tc>
        <w:tc>
          <w:tcPr>
            <w:tcW w:w="158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10 981 959 507</w:t>
            </w:r>
          </w:p>
        </w:tc>
        <w:tc>
          <w:tcPr>
            <w:tcW w:w="1054"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05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 </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1 344 163 251</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i/>
                <w:iCs/>
                <w:color w:val="000000"/>
                <w:sz w:val="14"/>
                <w:szCs w:val="14"/>
              </w:rPr>
            </w:pPr>
            <w:r w:rsidRPr="00295CD9">
              <w:rPr>
                <w:b/>
                <w:bCs/>
                <w:i/>
                <w:iCs/>
                <w:color w:val="000000"/>
                <w:sz w:val="14"/>
                <w:szCs w:val="14"/>
              </w:rPr>
              <w:t>10 981 959 507</w:t>
            </w:r>
          </w:p>
        </w:tc>
      </w:tr>
      <w:tr w:rsidR="00295CD9" w:rsidRPr="00295CD9" w:rsidTr="000067CB">
        <w:trPr>
          <w:trHeight w:val="225"/>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 </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295CD9" w:rsidRPr="00295CD9" w:rsidRDefault="00295CD9" w:rsidP="00295CD9">
            <w:pPr>
              <w:rPr>
                <w:b/>
                <w:bCs/>
                <w:color w:val="000000"/>
                <w:sz w:val="14"/>
                <w:szCs w:val="14"/>
              </w:rPr>
            </w:pPr>
            <w:r w:rsidRPr="00295CD9">
              <w:rPr>
                <w:b/>
                <w:bCs/>
                <w:color w:val="000000"/>
                <w:sz w:val="14"/>
                <w:szCs w:val="14"/>
              </w:rPr>
              <w:t>Other special Instruments</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664 548 105</w:t>
            </w:r>
          </w:p>
        </w:tc>
        <w:tc>
          <w:tcPr>
            <w:tcW w:w="158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517 246 105</w:t>
            </w:r>
          </w:p>
        </w:tc>
        <w:tc>
          <w:tcPr>
            <w:tcW w:w="1054"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664 548 105</w:t>
            </w:r>
          </w:p>
        </w:tc>
        <w:tc>
          <w:tcPr>
            <w:tcW w:w="1368" w:type="dxa"/>
            <w:tcBorders>
              <w:top w:val="nil"/>
              <w:left w:val="nil"/>
              <w:bottom w:val="single" w:sz="4" w:space="0" w:color="auto"/>
              <w:right w:val="single" w:sz="4" w:space="0" w:color="auto"/>
            </w:tcBorders>
            <w:shd w:val="clear" w:color="auto" w:fill="auto"/>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517 246 105</w:t>
            </w:r>
          </w:p>
        </w:tc>
      </w:tr>
      <w:tr w:rsidR="00295CD9" w:rsidRPr="00295CD9" w:rsidTr="000067CB">
        <w:trPr>
          <w:trHeight w:val="225"/>
          <w:jc w:val="center"/>
        </w:trPr>
        <w:tc>
          <w:tcPr>
            <w:tcW w:w="3134" w:type="dxa"/>
            <w:gridSpan w:val="2"/>
            <w:tcBorders>
              <w:top w:val="nil"/>
              <w:left w:val="single" w:sz="4" w:space="0" w:color="auto"/>
              <w:bottom w:val="single" w:sz="4" w:space="0" w:color="auto"/>
              <w:right w:val="single" w:sz="4" w:space="0" w:color="000000"/>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Grand Total</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160 211 166 116</w:t>
            </w:r>
          </w:p>
        </w:tc>
        <w:tc>
          <w:tcPr>
            <w:tcW w:w="158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144 778 626 795</w:t>
            </w:r>
          </w:p>
        </w:tc>
        <w:tc>
          <w:tcPr>
            <w:tcW w:w="1054"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500 000 000</w:t>
            </w:r>
          </w:p>
        </w:tc>
        <w:tc>
          <w:tcPr>
            <w:tcW w:w="1055"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 xml:space="preserve">   </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160 711 166 116</w:t>
            </w:r>
          </w:p>
        </w:tc>
        <w:tc>
          <w:tcPr>
            <w:tcW w:w="1368" w:type="dxa"/>
            <w:tcBorders>
              <w:top w:val="nil"/>
              <w:left w:val="nil"/>
              <w:bottom w:val="single" w:sz="4" w:space="0" w:color="auto"/>
              <w:right w:val="single" w:sz="4" w:space="0" w:color="auto"/>
            </w:tcBorders>
            <w:shd w:val="clear" w:color="000000" w:fill="D9D9D9"/>
            <w:vAlign w:val="center"/>
            <w:hideMark/>
          </w:tcPr>
          <w:p w:rsidR="00295CD9" w:rsidRPr="00295CD9" w:rsidRDefault="00295CD9" w:rsidP="00295CD9">
            <w:pPr>
              <w:jc w:val="right"/>
              <w:rPr>
                <w:b/>
                <w:bCs/>
                <w:color w:val="000000"/>
                <w:sz w:val="14"/>
                <w:szCs w:val="14"/>
              </w:rPr>
            </w:pPr>
            <w:r w:rsidRPr="00295CD9">
              <w:rPr>
                <w:b/>
                <w:bCs/>
                <w:color w:val="000000"/>
                <w:sz w:val="14"/>
                <w:szCs w:val="14"/>
              </w:rPr>
              <w:t>144 778 626 795</w:t>
            </w:r>
          </w:p>
        </w:tc>
      </w:tr>
    </w:tbl>
    <w:p w:rsidR="00DC289C" w:rsidRDefault="00DC289C" w:rsidP="00DC289C">
      <w:pPr>
        <w:rPr>
          <w:noProof/>
        </w:rPr>
      </w:pPr>
    </w:p>
    <w:sectPr w:rsidR="00DC289C">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94" w:rsidRDefault="003D5494" w:rsidP="00DC289C">
      <w:r>
        <w:separator/>
      </w:r>
    </w:p>
  </w:endnote>
  <w:endnote w:type="continuationSeparator" w:id="0">
    <w:p w:rsidR="003D5494" w:rsidRDefault="003D5494" w:rsidP="00D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87191"/>
      <w:docPartObj>
        <w:docPartGallery w:val="Page Numbers (Bottom of Page)"/>
        <w:docPartUnique/>
      </w:docPartObj>
    </w:sdtPr>
    <w:sdtEndPr>
      <w:rPr>
        <w:noProof/>
      </w:rPr>
    </w:sdtEndPr>
    <w:sdtContent>
      <w:p w:rsidR="00DC289C" w:rsidRDefault="00DC289C">
        <w:pPr>
          <w:pStyle w:val="Footer"/>
          <w:jc w:val="center"/>
        </w:pPr>
        <w:r>
          <w:fldChar w:fldCharType="begin"/>
        </w:r>
        <w:r>
          <w:instrText xml:space="preserve"> PAGE   \* MERGEFORMAT </w:instrText>
        </w:r>
        <w:r>
          <w:fldChar w:fldCharType="separate"/>
        </w:r>
        <w:r w:rsidR="009527D1">
          <w:rPr>
            <w:noProof/>
          </w:rPr>
          <w:t>5</w:t>
        </w:r>
        <w:r>
          <w:rPr>
            <w:noProof/>
          </w:rPr>
          <w:fldChar w:fldCharType="end"/>
        </w:r>
      </w:p>
    </w:sdtContent>
  </w:sdt>
  <w:p w:rsidR="00DC289C" w:rsidRDefault="00DC289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FooterCoverPage"/>
      <w:rPr>
        <w:rFonts w:ascii="Arial" w:hAnsi="Arial" w:cs="Arial"/>
        <w:b/>
        <w:sz w:val="48"/>
      </w:rPr>
    </w:pPr>
    <w:r w:rsidRPr="009527D1">
      <w:rPr>
        <w:rFonts w:ascii="Arial" w:hAnsi="Arial" w:cs="Arial"/>
        <w:b/>
        <w:sz w:val="48"/>
      </w:rPr>
      <w:t>EN</w:t>
    </w:r>
    <w:r w:rsidRPr="009527D1">
      <w:rPr>
        <w:rFonts w:ascii="Arial" w:hAnsi="Arial" w:cs="Arial"/>
        <w:b/>
        <w:sz w:val="48"/>
      </w:rPr>
      <w:tab/>
    </w:r>
    <w:r w:rsidRPr="009527D1">
      <w:rPr>
        <w:rFonts w:ascii="Arial" w:hAnsi="Arial" w:cs="Arial"/>
        <w:b/>
        <w:sz w:val="48"/>
      </w:rPr>
      <w:tab/>
    </w:r>
    <w:r w:rsidRPr="009527D1">
      <w:tab/>
    </w:r>
    <w:r w:rsidRPr="009527D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p w:rsidR="00DC289C" w:rsidRDefault="00DC28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291026"/>
      <w:docPartObj>
        <w:docPartGallery w:val="Page Numbers (Bottom of Page)"/>
        <w:docPartUnique/>
      </w:docPartObj>
    </w:sdtPr>
    <w:sdtEndPr>
      <w:rPr>
        <w:noProof/>
      </w:rPr>
    </w:sdtEndPr>
    <w:sdtContent>
      <w:p w:rsidR="00DC289C" w:rsidRDefault="00DC289C">
        <w:pPr>
          <w:pStyle w:val="Footer"/>
          <w:jc w:val="center"/>
        </w:pPr>
        <w:r>
          <w:fldChar w:fldCharType="begin"/>
        </w:r>
        <w:r>
          <w:instrText xml:space="preserve"> PAGE   \* MERGEFORMAT </w:instrText>
        </w:r>
        <w:r>
          <w:fldChar w:fldCharType="separate"/>
        </w:r>
        <w:r w:rsidR="009527D1">
          <w:rPr>
            <w:noProof/>
          </w:rPr>
          <w:t>2</w:t>
        </w:r>
        <w:r>
          <w:rPr>
            <w:noProof/>
          </w:rPr>
          <w:fldChar w:fldCharType="end"/>
        </w:r>
      </w:p>
    </w:sdtContent>
  </w:sdt>
  <w:p w:rsidR="00DC289C" w:rsidRDefault="00DC289C">
    <w:pPr>
      <w:pStyle w:val="Footer"/>
    </w:pPr>
  </w:p>
  <w:p w:rsidR="00DC289C" w:rsidRDefault="00DC28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p w:rsidR="00DC289C" w:rsidRDefault="00DC28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rsidR="00DC289C" w:rsidRDefault="00DC289C">
        <w:pPr>
          <w:pStyle w:val="Footer"/>
          <w:jc w:val="center"/>
        </w:pPr>
        <w:r>
          <w:fldChar w:fldCharType="begin"/>
        </w:r>
        <w:r>
          <w:instrText xml:space="preserve"> PAGE   \* MERGEFORMAT </w:instrText>
        </w:r>
        <w:r>
          <w:fldChar w:fldCharType="separate"/>
        </w:r>
        <w:r w:rsidR="009527D1">
          <w:rPr>
            <w:noProof/>
          </w:rPr>
          <w:t>3</w:t>
        </w:r>
        <w:r>
          <w:rPr>
            <w:noProof/>
          </w:rPr>
          <w:fldChar w:fldCharType="end"/>
        </w:r>
      </w:p>
    </w:sdtContent>
  </w:sdt>
  <w:p w:rsidR="00DC289C" w:rsidRDefault="00DC289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94" w:rsidRDefault="003D5494" w:rsidP="00DC289C">
      <w:r>
        <w:separator/>
      </w:r>
    </w:p>
  </w:footnote>
  <w:footnote w:type="continuationSeparator" w:id="0">
    <w:p w:rsidR="003D5494" w:rsidRDefault="003D5494" w:rsidP="00DC289C">
      <w:r>
        <w:continuationSeparator/>
      </w:r>
    </w:p>
  </w:footnote>
  <w:footnote w:id="1">
    <w:p w:rsidR="00DC289C" w:rsidRPr="00DB7F79" w:rsidRDefault="00DC289C" w:rsidP="00DC289C">
      <w:pPr>
        <w:pStyle w:val="FootnoteText"/>
        <w:rPr>
          <w:lang w:val="pt-PT"/>
        </w:rPr>
      </w:pPr>
      <w:r>
        <w:rPr>
          <w:rStyle w:val="FootnoteReference"/>
        </w:rPr>
        <w:footnoteRef/>
      </w:r>
      <w:r w:rsidR="00444C3A" w:rsidRPr="00DB7F79">
        <w:rPr>
          <w:sz w:val="19"/>
          <w:szCs w:val="19"/>
          <w:lang w:val="pt-PT"/>
        </w:rPr>
        <w:t>.</w:t>
      </w:r>
      <w:r w:rsidRPr="00DB7F79">
        <w:rPr>
          <w:sz w:val="19"/>
          <w:szCs w:val="19"/>
          <w:lang w:val="pt-PT"/>
        </w:rPr>
        <w:tab/>
      </w:r>
      <w:r w:rsidRPr="00DB7F79">
        <w:rPr>
          <w:sz w:val="18"/>
          <w:szCs w:val="18"/>
          <w:lang w:val="pt-PT"/>
        </w:rPr>
        <w:t>OJ L 298, 26.10.2012, p. 1.</w:t>
      </w:r>
    </w:p>
  </w:footnote>
  <w:footnote w:id="2">
    <w:p w:rsidR="00DC289C" w:rsidRPr="00DB7F79" w:rsidRDefault="00DC289C" w:rsidP="00DC289C">
      <w:pPr>
        <w:pStyle w:val="FootnoteText"/>
        <w:rPr>
          <w:lang w:val="pt-PT"/>
        </w:rPr>
      </w:pPr>
      <w:r>
        <w:rPr>
          <w:rStyle w:val="FootnoteReference"/>
        </w:rPr>
        <w:footnoteRef/>
      </w:r>
      <w:r w:rsidR="00444C3A" w:rsidRPr="00DB7F79">
        <w:rPr>
          <w:lang w:val="pt-PT"/>
        </w:rPr>
        <w:t>.</w:t>
      </w:r>
      <w:r w:rsidRPr="00DB7F79">
        <w:rPr>
          <w:lang w:val="pt-PT"/>
        </w:rPr>
        <w:tab/>
      </w:r>
      <w:r w:rsidRPr="00DB7F79">
        <w:rPr>
          <w:sz w:val="18"/>
          <w:szCs w:val="18"/>
          <w:lang w:val="pt-PT"/>
        </w:rPr>
        <w:t xml:space="preserve">OJ L </w:t>
      </w:r>
      <w:r w:rsidR="009F45C6" w:rsidRPr="00DB7F79">
        <w:rPr>
          <w:sz w:val="18"/>
          <w:szCs w:val="18"/>
          <w:lang w:val="pt-PT"/>
        </w:rPr>
        <w:t>57</w:t>
      </w:r>
      <w:r w:rsidRPr="00DB7F79">
        <w:rPr>
          <w:sz w:val="18"/>
          <w:szCs w:val="18"/>
          <w:lang w:val="pt-PT"/>
        </w:rPr>
        <w:t xml:space="preserve">, </w:t>
      </w:r>
      <w:r w:rsidR="009F45C6" w:rsidRPr="00DB7F79">
        <w:rPr>
          <w:sz w:val="18"/>
          <w:szCs w:val="18"/>
          <w:lang w:val="pt-PT"/>
        </w:rPr>
        <w:t>28</w:t>
      </w:r>
      <w:r w:rsidRPr="00DB7F79">
        <w:rPr>
          <w:sz w:val="18"/>
          <w:szCs w:val="18"/>
          <w:lang w:val="pt-PT"/>
        </w:rPr>
        <w:t>.2.2018</w:t>
      </w:r>
      <w:r w:rsidR="00A36463" w:rsidRPr="00DB7F79">
        <w:rPr>
          <w:sz w:val="18"/>
          <w:szCs w:val="18"/>
          <w:lang w:val="pt-PT"/>
        </w:rPr>
        <w:t>,</w:t>
      </w:r>
      <w:r w:rsidR="009F45C6" w:rsidRPr="00DB7F79">
        <w:rPr>
          <w:sz w:val="18"/>
          <w:szCs w:val="18"/>
          <w:lang w:val="pt-PT"/>
        </w:rPr>
        <w:t xml:space="preserve"> p. 1</w:t>
      </w:r>
      <w:r w:rsidRPr="00DB7F79">
        <w:rPr>
          <w:sz w:val="18"/>
          <w:szCs w:val="18"/>
          <w:lang w:val="pt-PT"/>
        </w:rPr>
        <w:t>.</w:t>
      </w:r>
    </w:p>
  </w:footnote>
  <w:footnote w:id="3">
    <w:p w:rsidR="00444C3A" w:rsidRPr="00DB7F79" w:rsidRDefault="00444C3A">
      <w:pPr>
        <w:pStyle w:val="FootnoteText"/>
        <w:rPr>
          <w:lang w:val="pt-PT"/>
        </w:rPr>
      </w:pPr>
      <w:r>
        <w:rPr>
          <w:rStyle w:val="FootnoteReference"/>
        </w:rPr>
        <w:footnoteRef/>
      </w:r>
      <w:r w:rsidRPr="00DB7F79">
        <w:rPr>
          <w:lang w:val="pt-PT"/>
        </w:rPr>
        <w:t xml:space="preserve"> </w:t>
      </w:r>
      <w:r w:rsidRPr="00DB7F79">
        <w:rPr>
          <w:lang w:val="pt-PT"/>
        </w:rPr>
        <w:tab/>
      </w:r>
      <w:r w:rsidRPr="00DB7F79">
        <w:rPr>
          <w:sz w:val="18"/>
          <w:szCs w:val="18"/>
          <w:lang w:val="pt-PT"/>
        </w:rPr>
        <w:t>COM(2018) 155</w:t>
      </w:r>
    </w:p>
  </w:footnote>
  <w:footnote w:id="4">
    <w:p w:rsidR="00444C3A" w:rsidRPr="009527D1" w:rsidRDefault="00444C3A">
      <w:pPr>
        <w:pStyle w:val="FootnoteText"/>
        <w:rPr>
          <w:lang w:val="pt-PT"/>
        </w:rPr>
      </w:pPr>
      <w:r>
        <w:rPr>
          <w:rStyle w:val="FootnoteReference"/>
        </w:rPr>
        <w:footnoteRef/>
      </w:r>
      <w:r w:rsidRPr="009527D1">
        <w:rPr>
          <w:lang w:val="pt-PT"/>
        </w:rPr>
        <w:t xml:space="preserve"> </w:t>
      </w:r>
      <w:r w:rsidRPr="009527D1">
        <w:rPr>
          <w:lang w:val="pt-PT"/>
        </w:rPr>
        <w:tab/>
      </w:r>
      <w:r w:rsidRPr="009527D1">
        <w:rPr>
          <w:sz w:val="18"/>
          <w:szCs w:val="18"/>
          <w:lang w:val="pt-PT"/>
        </w:rPr>
        <w:t xml:space="preserve">COM(2018) </w:t>
      </w:r>
      <w:r w:rsidR="00FE1A8F" w:rsidRPr="009527D1">
        <w:rPr>
          <w:sz w:val="18"/>
          <w:szCs w:val="18"/>
          <w:lang w:val="pt-PT"/>
        </w:rPr>
        <w:t>227</w:t>
      </w:r>
    </w:p>
  </w:footnote>
  <w:footnote w:id="5">
    <w:p w:rsidR="009871B0" w:rsidRPr="009527D1" w:rsidRDefault="009871B0" w:rsidP="009871B0">
      <w:pPr>
        <w:pStyle w:val="FootnoteText"/>
        <w:rPr>
          <w:lang w:val="pt-PT"/>
        </w:rPr>
      </w:pPr>
      <w:r>
        <w:rPr>
          <w:rStyle w:val="FootnoteReference"/>
        </w:rPr>
        <w:footnoteRef/>
      </w:r>
      <w:r w:rsidRPr="009527D1">
        <w:rPr>
          <w:lang w:val="pt-PT"/>
        </w:rPr>
        <w:t xml:space="preserve"> </w:t>
      </w:r>
      <w:r w:rsidR="002B0E4D" w:rsidRPr="009527D1">
        <w:rPr>
          <w:lang w:val="pt-PT"/>
        </w:rPr>
        <w:tab/>
      </w:r>
      <w:r w:rsidRPr="009527D1">
        <w:rPr>
          <w:lang w:val="pt-PT"/>
        </w:rPr>
        <w:t xml:space="preserve">C(2018) </w:t>
      </w:r>
      <w:r w:rsidR="00195630" w:rsidRPr="009527D1">
        <w:rPr>
          <w:lang w:val="pt-PT"/>
        </w:rPr>
        <w:t>1500</w:t>
      </w:r>
      <w:r w:rsidRPr="009527D1">
        <w:rPr>
          <w:lang w:val="pt-PT"/>
        </w:rPr>
        <w:t xml:space="preserve"> fina</w:t>
      </w:r>
      <w:r w:rsidR="006A3CC8" w:rsidRPr="009527D1">
        <w:rPr>
          <w:lang w:val="pt-PT"/>
        </w:rPr>
        <w:t>l</w:t>
      </w:r>
      <w:r w:rsidR="00195630" w:rsidRPr="009527D1">
        <w:rPr>
          <w:lang w:val="pt-PT"/>
        </w:rPr>
        <w:t>,</w:t>
      </w:r>
      <w:r w:rsidR="006A3CC8" w:rsidRPr="009527D1">
        <w:rPr>
          <w:lang w:val="pt-PT"/>
        </w:rPr>
        <w:t xml:space="preserve"> </w:t>
      </w:r>
      <w:r w:rsidR="00195630" w:rsidRPr="009527D1">
        <w:rPr>
          <w:lang w:val="pt-PT"/>
        </w:rPr>
        <w:t>14.3</w:t>
      </w:r>
      <w:r w:rsidRPr="009527D1">
        <w:rPr>
          <w:lang w:val="pt-PT"/>
        </w:rPr>
        <w:t>.2018.</w:t>
      </w:r>
    </w:p>
  </w:footnote>
  <w:footnote w:id="6">
    <w:p w:rsidR="00A1653C" w:rsidRPr="009527D1" w:rsidRDefault="00A1653C">
      <w:pPr>
        <w:pStyle w:val="FootnoteText"/>
        <w:rPr>
          <w:lang w:val="pt-PT"/>
        </w:rPr>
      </w:pPr>
      <w:r>
        <w:rPr>
          <w:rStyle w:val="FootnoteReference"/>
        </w:rPr>
        <w:footnoteRef/>
      </w:r>
      <w:r w:rsidRPr="009527D1">
        <w:rPr>
          <w:lang w:val="pt-PT"/>
        </w:rPr>
        <w:t xml:space="preserve"> </w:t>
      </w:r>
      <w:r w:rsidR="002B0E4D" w:rsidRPr="009527D1">
        <w:rPr>
          <w:lang w:val="pt-PT"/>
        </w:rPr>
        <w:tab/>
      </w:r>
      <w:r w:rsidRPr="009527D1">
        <w:rPr>
          <w:lang w:val="pt-PT"/>
        </w:rPr>
        <w:t>COM(2018) 91 final, 14.3.2018.</w:t>
      </w:r>
    </w:p>
  </w:footnote>
  <w:footnote w:id="7">
    <w:p w:rsidR="002B0E4D" w:rsidRDefault="002B0E4D" w:rsidP="002B0E4D">
      <w:pPr>
        <w:pStyle w:val="FootnoteText"/>
      </w:pPr>
      <w:r>
        <w:rPr>
          <w:rStyle w:val="FootnoteReference"/>
        </w:rPr>
        <w:footnoteRef/>
      </w:r>
      <w:r>
        <w:t xml:space="preserve"> </w:t>
      </w:r>
      <w:r>
        <w:tab/>
        <w:t>Council Regulation (EU, Euratom No 1311/2013 of 2 December 2013 laying down the multiannual financial framework for the years 2014-2020 (OJ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1" w:rsidRPr="009527D1" w:rsidRDefault="009527D1" w:rsidP="009527D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p w:rsidR="00DC289C" w:rsidRDefault="00DC28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p w:rsidR="00DC289C" w:rsidRDefault="00DC28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p w:rsidR="00DC289C" w:rsidRDefault="00DC289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9C" w:rsidRDefault="00DC2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AE21F0-C747-4D02-A0C7-CB3452D57F56"/>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ssels,"/>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tension of the Facility for refugees in Turkey"/>
    <w:docVar w:name="LW_TYPE.DOC.CP" w:val="DRAFT AMENDING BUDGET No 3_x000b_TO THE GENERAL BUDGET 2018"/>
  </w:docVars>
  <w:rsids>
    <w:rsidRoot w:val="00DC289C"/>
    <w:rsid w:val="00004CCB"/>
    <w:rsid w:val="000067CB"/>
    <w:rsid w:val="000270EC"/>
    <w:rsid w:val="000D4EC0"/>
    <w:rsid w:val="001316C7"/>
    <w:rsid w:val="00195630"/>
    <w:rsid w:val="00295CD9"/>
    <w:rsid w:val="002B0E4D"/>
    <w:rsid w:val="00343153"/>
    <w:rsid w:val="003570D2"/>
    <w:rsid w:val="0037557B"/>
    <w:rsid w:val="003A6E70"/>
    <w:rsid w:val="003C6F50"/>
    <w:rsid w:val="003D5494"/>
    <w:rsid w:val="00444C3A"/>
    <w:rsid w:val="00475125"/>
    <w:rsid w:val="0049588D"/>
    <w:rsid w:val="004C1F8B"/>
    <w:rsid w:val="005229B9"/>
    <w:rsid w:val="005941CE"/>
    <w:rsid w:val="005C3B56"/>
    <w:rsid w:val="006231FF"/>
    <w:rsid w:val="00631C64"/>
    <w:rsid w:val="00644224"/>
    <w:rsid w:val="00674A5A"/>
    <w:rsid w:val="006A3CC8"/>
    <w:rsid w:val="006D7F57"/>
    <w:rsid w:val="00714C2C"/>
    <w:rsid w:val="00763388"/>
    <w:rsid w:val="00763F9C"/>
    <w:rsid w:val="00776733"/>
    <w:rsid w:val="007E4500"/>
    <w:rsid w:val="00805B91"/>
    <w:rsid w:val="008605F0"/>
    <w:rsid w:val="009527D1"/>
    <w:rsid w:val="009633AF"/>
    <w:rsid w:val="009871B0"/>
    <w:rsid w:val="009F2B52"/>
    <w:rsid w:val="009F45C6"/>
    <w:rsid w:val="00A01F6B"/>
    <w:rsid w:val="00A1653C"/>
    <w:rsid w:val="00A259A8"/>
    <w:rsid w:val="00A36463"/>
    <w:rsid w:val="00A94FCB"/>
    <w:rsid w:val="00AC30F6"/>
    <w:rsid w:val="00B138D5"/>
    <w:rsid w:val="00C05C95"/>
    <w:rsid w:val="00C74ACB"/>
    <w:rsid w:val="00CA654E"/>
    <w:rsid w:val="00CA6A84"/>
    <w:rsid w:val="00CB2EAC"/>
    <w:rsid w:val="00CB6DF8"/>
    <w:rsid w:val="00CC02EA"/>
    <w:rsid w:val="00CF2FC4"/>
    <w:rsid w:val="00D02BD5"/>
    <w:rsid w:val="00D41F87"/>
    <w:rsid w:val="00D53154"/>
    <w:rsid w:val="00D81D18"/>
    <w:rsid w:val="00DB7F79"/>
    <w:rsid w:val="00DC289C"/>
    <w:rsid w:val="00DD4534"/>
    <w:rsid w:val="00E029D4"/>
    <w:rsid w:val="00E1779E"/>
    <w:rsid w:val="00E77078"/>
    <w:rsid w:val="00EA795A"/>
    <w:rsid w:val="00EC3EB0"/>
    <w:rsid w:val="00EE182C"/>
    <w:rsid w:val="00EF57D3"/>
    <w:rsid w:val="00FE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C28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89C"/>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sid w:val="00DC289C"/>
    <w:rPr>
      <w:rFonts w:ascii="Times New Roman" w:hAnsi="Times New Roman" w:cs="Times New Roman"/>
      <w:sz w:val="24"/>
    </w:rPr>
  </w:style>
  <w:style w:type="paragraph" w:styleId="FootnoteText">
    <w:name w:val="footnote text"/>
    <w:basedOn w:val="Normal"/>
    <w:link w:val="FootnoteTextChar"/>
    <w:rsid w:val="00DC289C"/>
    <w:pPr>
      <w:ind w:left="720" w:hanging="720"/>
      <w:jc w:val="both"/>
    </w:pPr>
    <w:rPr>
      <w:sz w:val="20"/>
      <w:szCs w:val="20"/>
      <w:lang w:eastAsia="de-DE"/>
    </w:rPr>
  </w:style>
  <w:style w:type="character" w:customStyle="1" w:styleId="FootnoteTextChar">
    <w:name w:val="Footnote Text Char"/>
    <w:basedOn w:val="DefaultParagraphFont"/>
    <w:link w:val="FootnoteText"/>
    <w:rsid w:val="00DC289C"/>
    <w:rPr>
      <w:rFonts w:ascii="Times New Roman" w:eastAsia="Times New Roman" w:hAnsi="Times New Roman" w:cs="Times New Roman"/>
      <w:sz w:val="20"/>
      <w:szCs w:val="20"/>
      <w:lang w:eastAsia="de-DE"/>
    </w:rPr>
  </w:style>
  <w:style w:type="paragraph" w:styleId="TOC1">
    <w:name w:val="toc 1"/>
    <w:basedOn w:val="Normal"/>
    <w:next w:val="Normal"/>
    <w:uiPriority w:val="39"/>
    <w:qFormat/>
    <w:rsid w:val="00DC289C"/>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sid w:val="00DC289C"/>
    <w:rPr>
      <w:vertAlign w:val="superscript"/>
    </w:rPr>
  </w:style>
  <w:style w:type="paragraph" w:customStyle="1" w:styleId="Tiret0">
    <w:name w:val="Tiret 0"/>
    <w:basedOn w:val="Normal"/>
    <w:rsid w:val="00DC289C"/>
    <w:pPr>
      <w:numPr>
        <w:numId w:val="1"/>
      </w:numPr>
      <w:spacing w:before="120" w:after="120"/>
      <w:jc w:val="both"/>
    </w:pPr>
    <w:rPr>
      <w:lang w:eastAsia="de-DE"/>
    </w:rPr>
  </w:style>
  <w:style w:type="paragraph" w:customStyle="1" w:styleId="ManualHeading1">
    <w:name w:val="Manual Heading 1"/>
    <w:basedOn w:val="Normal"/>
    <w:next w:val="Normal"/>
    <w:rsid w:val="00DC289C"/>
    <w:pPr>
      <w:keepNext/>
      <w:tabs>
        <w:tab w:val="left" w:pos="850"/>
      </w:tabs>
      <w:spacing w:before="240" w:after="120"/>
      <w:ind w:left="851" w:hanging="851"/>
      <w:jc w:val="both"/>
      <w:outlineLvl w:val="0"/>
    </w:pPr>
    <w:rPr>
      <w:b/>
      <w:smallCaps/>
      <w:noProof/>
      <w:lang w:eastAsia="de-DE"/>
    </w:rPr>
  </w:style>
  <w:style w:type="character" w:customStyle="1" w:styleId="Heading1Char">
    <w:name w:val="Heading 1 Char"/>
    <w:basedOn w:val="DefaultParagraphFont"/>
    <w:link w:val="Heading1"/>
    <w:uiPriority w:val="9"/>
    <w:rsid w:val="00DC289C"/>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Normal"/>
    <w:next w:val="Normal"/>
    <w:uiPriority w:val="39"/>
    <w:qFormat/>
    <w:rsid w:val="00DC289C"/>
    <w:pPr>
      <w:spacing w:before="120" w:after="240"/>
      <w:jc w:val="center"/>
    </w:pPr>
    <w:rPr>
      <w:b/>
      <w:sz w:val="28"/>
      <w:lang w:eastAsia="de-DE"/>
    </w:rPr>
  </w:style>
  <w:style w:type="character" w:styleId="Hyperlink">
    <w:name w:val="Hyperlink"/>
    <w:uiPriority w:val="99"/>
    <w:rsid w:val="00DC289C"/>
    <w:rPr>
      <w:color w:val="0000FF"/>
      <w:u w:val="single"/>
    </w:rPr>
  </w:style>
  <w:style w:type="paragraph" w:styleId="Header">
    <w:name w:val="header"/>
    <w:basedOn w:val="Normal"/>
    <w:link w:val="HeaderChar"/>
    <w:uiPriority w:val="99"/>
    <w:unhideWhenUsed/>
    <w:rsid w:val="00DC289C"/>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sid w:val="00DC289C"/>
    <w:rPr>
      <w:rFonts w:ascii="Times New Roman" w:hAnsi="Times New Roman" w:cs="Times New Roman"/>
      <w:sz w:val="24"/>
    </w:rPr>
  </w:style>
  <w:style w:type="paragraph" w:styleId="BalloonText">
    <w:name w:val="Balloon Text"/>
    <w:basedOn w:val="Normal"/>
    <w:link w:val="BalloonTextChar"/>
    <w:uiPriority w:val="99"/>
    <w:semiHidden/>
    <w:unhideWhenUsed/>
    <w:rsid w:val="00DC289C"/>
    <w:rPr>
      <w:rFonts w:ascii="Tahoma" w:hAnsi="Tahoma" w:cs="Tahoma"/>
      <w:sz w:val="16"/>
      <w:szCs w:val="16"/>
    </w:rPr>
  </w:style>
  <w:style w:type="character" w:customStyle="1" w:styleId="BalloonTextChar">
    <w:name w:val="Balloon Text Char"/>
    <w:basedOn w:val="DefaultParagraphFont"/>
    <w:link w:val="BalloonText"/>
    <w:uiPriority w:val="99"/>
    <w:semiHidden/>
    <w:rsid w:val="00DC289C"/>
    <w:rPr>
      <w:rFonts w:ascii="Tahoma" w:eastAsia="Times New Roman" w:hAnsi="Tahoma" w:cs="Tahoma"/>
      <w:sz w:val="16"/>
      <w:szCs w:val="16"/>
      <w:lang w:eastAsia="en-GB"/>
    </w:rPr>
  </w:style>
  <w:style w:type="character" w:customStyle="1" w:styleId="Marker">
    <w:name w:val="Marker"/>
    <w:basedOn w:val="DefaultParagraphFont"/>
    <w:rsid w:val="00DC289C"/>
    <w:rPr>
      <w:color w:val="0000FF"/>
      <w:shd w:val="clear" w:color="auto" w:fill="auto"/>
    </w:rPr>
  </w:style>
  <w:style w:type="paragraph" w:customStyle="1" w:styleId="Pagedecouverture">
    <w:name w:val="Page de couverture"/>
    <w:basedOn w:val="Normal"/>
    <w:next w:val="Normal"/>
    <w:rsid w:val="00DC289C"/>
    <w:pPr>
      <w:jc w:val="both"/>
    </w:pPr>
    <w:rPr>
      <w:rFonts w:eastAsiaTheme="minorHAnsi"/>
      <w:szCs w:val="22"/>
      <w:lang w:eastAsia="en-US"/>
    </w:rPr>
  </w:style>
  <w:style w:type="paragraph" w:customStyle="1" w:styleId="FooterCoverPage">
    <w:name w:val="Footer Cover Page"/>
    <w:basedOn w:val="Normal"/>
    <w:link w:val="FooterCoverPageChar"/>
    <w:rsid w:val="00DC289C"/>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DC289C"/>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rsid w:val="00DC289C"/>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DC289C"/>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rsid w:val="00DC289C"/>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DC289C"/>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rsid w:val="00DC289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DC289C"/>
    <w:rPr>
      <w:rFonts w:ascii="Times New Roman" w:eastAsia="Times New Roman" w:hAnsi="Times New Roman" w:cs="Times New Roman"/>
      <w:b/>
      <w:sz w:val="32"/>
      <w:szCs w:val="24"/>
      <w:lang w:eastAsia="en-GB"/>
    </w:rPr>
  </w:style>
  <w:style w:type="character" w:styleId="FollowedHyperlink">
    <w:name w:val="FollowedHyperlink"/>
    <w:basedOn w:val="DefaultParagraphFont"/>
    <w:uiPriority w:val="99"/>
    <w:semiHidden/>
    <w:unhideWhenUsed/>
    <w:rsid w:val="00A364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C28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289C"/>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sid w:val="00DC289C"/>
    <w:rPr>
      <w:rFonts w:ascii="Times New Roman" w:hAnsi="Times New Roman" w:cs="Times New Roman"/>
      <w:sz w:val="24"/>
    </w:rPr>
  </w:style>
  <w:style w:type="paragraph" w:styleId="FootnoteText">
    <w:name w:val="footnote text"/>
    <w:basedOn w:val="Normal"/>
    <w:link w:val="FootnoteTextChar"/>
    <w:rsid w:val="00DC289C"/>
    <w:pPr>
      <w:ind w:left="720" w:hanging="720"/>
      <w:jc w:val="both"/>
    </w:pPr>
    <w:rPr>
      <w:sz w:val="20"/>
      <w:szCs w:val="20"/>
      <w:lang w:eastAsia="de-DE"/>
    </w:rPr>
  </w:style>
  <w:style w:type="character" w:customStyle="1" w:styleId="FootnoteTextChar">
    <w:name w:val="Footnote Text Char"/>
    <w:basedOn w:val="DefaultParagraphFont"/>
    <w:link w:val="FootnoteText"/>
    <w:rsid w:val="00DC289C"/>
    <w:rPr>
      <w:rFonts w:ascii="Times New Roman" w:eastAsia="Times New Roman" w:hAnsi="Times New Roman" w:cs="Times New Roman"/>
      <w:sz w:val="20"/>
      <w:szCs w:val="20"/>
      <w:lang w:eastAsia="de-DE"/>
    </w:rPr>
  </w:style>
  <w:style w:type="paragraph" w:styleId="TOC1">
    <w:name w:val="toc 1"/>
    <w:basedOn w:val="Normal"/>
    <w:next w:val="Normal"/>
    <w:uiPriority w:val="39"/>
    <w:qFormat/>
    <w:rsid w:val="00DC289C"/>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sid w:val="00DC289C"/>
    <w:rPr>
      <w:vertAlign w:val="superscript"/>
    </w:rPr>
  </w:style>
  <w:style w:type="paragraph" w:customStyle="1" w:styleId="Tiret0">
    <w:name w:val="Tiret 0"/>
    <w:basedOn w:val="Normal"/>
    <w:rsid w:val="00DC289C"/>
    <w:pPr>
      <w:numPr>
        <w:numId w:val="1"/>
      </w:numPr>
      <w:spacing w:before="120" w:after="120"/>
      <w:jc w:val="both"/>
    </w:pPr>
    <w:rPr>
      <w:lang w:eastAsia="de-DE"/>
    </w:rPr>
  </w:style>
  <w:style w:type="paragraph" w:customStyle="1" w:styleId="ManualHeading1">
    <w:name w:val="Manual Heading 1"/>
    <w:basedOn w:val="Normal"/>
    <w:next w:val="Normal"/>
    <w:rsid w:val="00DC289C"/>
    <w:pPr>
      <w:keepNext/>
      <w:tabs>
        <w:tab w:val="left" w:pos="850"/>
      </w:tabs>
      <w:spacing w:before="240" w:after="120"/>
      <w:ind w:left="851" w:hanging="851"/>
      <w:jc w:val="both"/>
      <w:outlineLvl w:val="0"/>
    </w:pPr>
    <w:rPr>
      <w:b/>
      <w:smallCaps/>
      <w:noProof/>
      <w:lang w:eastAsia="de-DE"/>
    </w:rPr>
  </w:style>
  <w:style w:type="character" w:customStyle="1" w:styleId="Heading1Char">
    <w:name w:val="Heading 1 Char"/>
    <w:basedOn w:val="DefaultParagraphFont"/>
    <w:link w:val="Heading1"/>
    <w:uiPriority w:val="9"/>
    <w:rsid w:val="00DC289C"/>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Normal"/>
    <w:next w:val="Normal"/>
    <w:uiPriority w:val="39"/>
    <w:qFormat/>
    <w:rsid w:val="00DC289C"/>
    <w:pPr>
      <w:spacing w:before="120" w:after="240"/>
      <w:jc w:val="center"/>
    </w:pPr>
    <w:rPr>
      <w:b/>
      <w:sz w:val="28"/>
      <w:lang w:eastAsia="de-DE"/>
    </w:rPr>
  </w:style>
  <w:style w:type="character" w:styleId="Hyperlink">
    <w:name w:val="Hyperlink"/>
    <w:uiPriority w:val="99"/>
    <w:rsid w:val="00DC289C"/>
    <w:rPr>
      <w:color w:val="0000FF"/>
      <w:u w:val="single"/>
    </w:rPr>
  </w:style>
  <w:style w:type="paragraph" w:styleId="Header">
    <w:name w:val="header"/>
    <w:basedOn w:val="Normal"/>
    <w:link w:val="HeaderChar"/>
    <w:uiPriority w:val="99"/>
    <w:unhideWhenUsed/>
    <w:rsid w:val="00DC289C"/>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sid w:val="00DC289C"/>
    <w:rPr>
      <w:rFonts w:ascii="Times New Roman" w:hAnsi="Times New Roman" w:cs="Times New Roman"/>
      <w:sz w:val="24"/>
    </w:rPr>
  </w:style>
  <w:style w:type="paragraph" w:styleId="BalloonText">
    <w:name w:val="Balloon Text"/>
    <w:basedOn w:val="Normal"/>
    <w:link w:val="BalloonTextChar"/>
    <w:uiPriority w:val="99"/>
    <w:semiHidden/>
    <w:unhideWhenUsed/>
    <w:rsid w:val="00DC289C"/>
    <w:rPr>
      <w:rFonts w:ascii="Tahoma" w:hAnsi="Tahoma" w:cs="Tahoma"/>
      <w:sz w:val="16"/>
      <w:szCs w:val="16"/>
    </w:rPr>
  </w:style>
  <w:style w:type="character" w:customStyle="1" w:styleId="BalloonTextChar">
    <w:name w:val="Balloon Text Char"/>
    <w:basedOn w:val="DefaultParagraphFont"/>
    <w:link w:val="BalloonText"/>
    <w:uiPriority w:val="99"/>
    <w:semiHidden/>
    <w:rsid w:val="00DC289C"/>
    <w:rPr>
      <w:rFonts w:ascii="Tahoma" w:eastAsia="Times New Roman" w:hAnsi="Tahoma" w:cs="Tahoma"/>
      <w:sz w:val="16"/>
      <w:szCs w:val="16"/>
      <w:lang w:eastAsia="en-GB"/>
    </w:rPr>
  </w:style>
  <w:style w:type="character" w:customStyle="1" w:styleId="Marker">
    <w:name w:val="Marker"/>
    <w:basedOn w:val="DefaultParagraphFont"/>
    <w:rsid w:val="00DC289C"/>
    <w:rPr>
      <w:color w:val="0000FF"/>
      <w:shd w:val="clear" w:color="auto" w:fill="auto"/>
    </w:rPr>
  </w:style>
  <w:style w:type="paragraph" w:customStyle="1" w:styleId="Pagedecouverture">
    <w:name w:val="Page de couverture"/>
    <w:basedOn w:val="Normal"/>
    <w:next w:val="Normal"/>
    <w:rsid w:val="00DC289C"/>
    <w:pPr>
      <w:jc w:val="both"/>
    </w:pPr>
    <w:rPr>
      <w:rFonts w:eastAsiaTheme="minorHAnsi"/>
      <w:szCs w:val="22"/>
      <w:lang w:eastAsia="en-US"/>
    </w:rPr>
  </w:style>
  <w:style w:type="paragraph" w:customStyle="1" w:styleId="FooterCoverPage">
    <w:name w:val="Footer Cover Page"/>
    <w:basedOn w:val="Normal"/>
    <w:link w:val="FooterCoverPageChar"/>
    <w:rsid w:val="00DC289C"/>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DC289C"/>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rsid w:val="00DC289C"/>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DC289C"/>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rsid w:val="00DC289C"/>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DC289C"/>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rsid w:val="00DC289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DC289C"/>
    <w:rPr>
      <w:rFonts w:ascii="Times New Roman" w:eastAsia="Times New Roman" w:hAnsi="Times New Roman" w:cs="Times New Roman"/>
      <w:b/>
      <w:sz w:val="32"/>
      <w:szCs w:val="24"/>
      <w:lang w:eastAsia="en-GB"/>
    </w:rPr>
  </w:style>
  <w:style w:type="character" w:styleId="FollowedHyperlink">
    <w:name w:val="FollowedHyperlink"/>
    <w:basedOn w:val="DefaultParagraphFont"/>
    <w:uiPriority w:val="99"/>
    <w:semiHidden/>
    <w:unhideWhenUsed/>
    <w:rsid w:val="00A36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941">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
    <w:div w:id="12495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5731-AB66-4F32-BD13-4309BE70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1194</Words>
  <Characters>5351</Characters>
  <Application>Microsoft Office Word</Application>
  <DocSecurity>0</DocSecurity>
  <Lines>397</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 Pascale (BUDG)</dc:creator>
  <cp:lastModifiedBy>LAGES CARVALHO Patrick (SG)</cp:lastModifiedBy>
  <cp:revision>4</cp:revision>
  <cp:lastPrinted>2018-05-04T08:13:00Z</cp:lastPrinted>
  <dcterms:created xsi:type="dcterms:W3CDTF">2018-05-07T10:35:00Z</dcterms:created>
  <dcterms:modified xsi:type="dcterms:W3CDTF">2018-05-22T09:28:00Z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