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9922DC7-DB47-40F5-A001-9009424F4610" style="width:450.8pt;height:451.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ANNEXE</w:t>
      </w:r>
    </w:p>
    <w:p>
      <w:pPr>
        <w:rPr>
          <w:noProof/>
        </w:rPr>
      </w:pPr>
    </w:p>
    <w:tbl>
      <w:tblPr>
        <w:tblW w:w="9087" w:type="dxa"/>
        <w:tblInd w:w="93" w:type="dxa"/>
        <w:tblLook w:val="04A0" w:firstRow="1" w:lastRow="0" w:firstColumn="1" w:lastColumn="0" w:noHBand="0" w:noVBand="1"/>
      </w:tblPr>
      <w:tblGrid>
        <w:gridCol w:w="1337"/>
        <w:gridCol w:w="4569"/>
        <w:gridCol w:w="3181"/>
      </w:tblGrid>
      <w:tr>
        <w:trPr>
          <w:trHeight w:val="630"/>
        </w:trPr>
        <w:tc>
          <w:tcPr>
            <w:tcW w:w="1337"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Règlement nº</w:t>
            </w:r>
          </w:p>
        </w:tc>
        <w:tc>
          <w:tcPr>
            <w:tcW w:w="4569"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Titre du point de l'ordre du jour</w:t>
            </w:r>
          </w:p>
        </w:tc>
        <w:tc>
          <w:tcPr>
            <w:tcW w:w="3181"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Référence du document</w:t>
            </w:r>
            <w:r>
              <w:rPr>
                <w:rStyle w:val="FootnoteReference"/>
                <w:b/>
                <w:noProof/>
              </w:rPr>
              <w:footnoteReference w:id="1"/>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13</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15 à la série 11 d'amendements au règlement nº 13 de l'ONU (freinage des véhicules lourds)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ECE/TRANS/WP.29/2018/53</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13-H</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1 à la série 01 d'amendements au règlement nº 13</w:t>
            </w:r>
            <w:r>
              <w:rPr>
                <w:noProof/>
              </w:rPr>
              <w:noBreakHyphen/>
            </w:r>
            <w:r>
              <w:rPr>
                <w:noProof/>
                <w:sz w:val="20"/>
              </w:rPr>
              <w:t>H de l'ONU (freins des véhicules des catégories M</w:t>
            </w:r>
            <w:r>
              <w:rPr>
                <w:noProof/>
                <w:sz w:val="20"/>
                <w:vertAlign w:val="subscript"/>
              </w:rPr>
              <w:t>1</w:t>
            </w:r>
            <w:r>
              <w:rPr>
                <w:noProof/>
                <w:sz w:val="20"/>
              </w:rPr>
              <w:t xml:space="preserve"> et N</w:t>
            </w:r>
            <w:r>
              <w:rPr>
                <w:noProof/>
                <w:sz w:val="20"/>
                <w:vertAlign w:val="subscript"/>
              </w:rPr>
              <w:t>1</w:t>
            </w:r>
            <w:r>
              <w:rPr>
                <w:noProof/>
                <w:sz w:val="20"/>
              </w:rPr>
              <w:t>)</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ECE/TRANS/WP.29/2018/54</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14</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série 09 d'amendements au règlement nº 14 de l'ONU (ancrages de ceintures de sécurité)</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ECE/TRANS/WP.29/2018/44</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16</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3 à la série 07 d'amendements au règlement nº 16 de l'ONU (ceintures de sécurité)</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ECE/TRANS/WP.29/2018/37</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16</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rectificatif 1 au complément 9 à la série 06 d'amendements au règlement nº 16 de l'ONU (ceintures de sécurité)</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ECE/TRANS/WP.29/2018/64</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16</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rectificatif 1 au complément 1 à la série 07 d'amendements au règlement nº 16 de l'ONU (ceintures de sécurité)</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ECE/TRANS/WP.29/2018/65</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16</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rectificatif 1 au complément 10 à la série 06 d'amendements au règlement nº 16 de l'ONU (ceintures de sécurité)</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ECE/TRANS/WP.29/2018/66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16</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rectificatif 1 au complément 2 à la série 07 d'amendements au règlement nº 16 de l'ONU (ceintures de sécurité)</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ECE/TRANS/WP.29/2018/76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22</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3 à la série 05 d'amendements au règlement nº 22 de l'ONU (casques de protection)</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ECE/TRANS/WP.29/2018/38</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44</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Proposition de complément 14 à la série 04 d'amendements au règlement nº 44 de l'ONU (dispositifs de retenue pour enfants)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ECE/TRANS/WP.29/2018/39</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49</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10 à la série 05 d'amendements au règlement nº 49 de l'ONU (émissions des moteurs à allumage par compression et des moteurs à allumage commandé (GPL et GNC))</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ECE/TRANS/WP.29/2018/46</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49</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6 à la série 06 d'amendements au règlement nº 49 de l'ONU (émissions des moteurs à allumage par compression et des moteurs à allumage commandé (GPL et GNC))</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ECE/TRANS/WP.29/2018/47</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51</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 xml:space="preserve">Proposition de complément 4 à la série 03 d'amendements au règlement nº 51 de l'ONU (bruit émis par les véhicules des catégories M et N) </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ECE/TRANS/WP.29/2018/63</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54</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23 au règlement nº 54 de l'ONU (pneumatiques pour véhicules utilitaires et leurs remorques)</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ECE/TRANS/WP.29/2018/55</w:t>
            </w:r>
          </w:p>
        </w:tc>
      </w:tr>
      <w:tr>
        <w:trPr>
          <w:trHeight w:val="58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75</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rectificatif 1 au complément 17 au règlement nº 75 de l'ONU (pneumatiques pour véhicules de la catégorie L)</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ECE/TRANS/WP.29/2018/67</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83</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11 à la série 06 d'amendements au règlement nº 83 de l'ONU (émissions des véhicules des catégories M</w:t>
            </w:r>
            <w:r>
              <w:rPr>
                <w:noProof/>
                <w:sz w:val="20"/>
                <w:vertAlign w:val="subscript"/>
              </w:rPr>
              <w:t>1</w:t>
            </w:r>
            <w:r>
              <w:rPr>
                <w:noProof/>
                <w:sz w:val="20"/>
              </w:rPr>
              <w:t xml:space="preserve"> et N</w:t>
            </w:r>
            <w:r>
              <w:rPr>
                <w:noProof/>
                <w:sz w:val="20"/>
                <w:vertAlign w:val="subscript"/>
              </w:rPr>
              <w:t>1</w:t>
            </w:r>
            <w:r>
              <w:rPr>
                <w:noProof/>
                <w:sz w:val="20"/>
              </w:rPr>
              <w:t>)</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ECE/TRANS/WP.29/2018/48</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83</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7 à la série 07 d'amendements au règlement nº 83 de l'ONU (émissions des véhicules des catégories M</w:t>
            </w:r>
            <w:r>
              <w:rPr>
                <w:noProof/>
                <w:sz w:val="20"/>
                <w:vertAlign w:val="subscript"/>
              </w:rPr>
              <w:t>1</w:t>
            </w:r>
            <w:r>
              <w:rPr>
                <w:noProof/>
                <w:sz w:val="20"/>
              </w:rPr>
              <w:t xml:space="preserve"> et N</w:t>
            </w:r>
            <w:r>
              <w:rPr>
                <w:noProof/>
                <w:sz w:val="20"/>
                <w:vertAlign w:val="subscript"/>
              </w:rPr>
              <w:t>1</w:t>
            </w:r>
            <w:r>
              <w:rPr>
                <w:noProof/>
                <w:sz w:val="20"/>
              </w:rPr>
              <w:t>)</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ECE/TRANS/WP.29/2018/49</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85</w:t>
            </w:r>
          </w:p>
        </w:tc>
        <w:tc>
          <w:tcPr>
            <w:tcW w:w="4569"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8 au règlement nº 85 de l'ONU (mesure de la puissance nette)</w:t>
            </w:r>
          </w:p>
        </w:tc>
        <w:tc>
          <w:tcPr>
            <w:tcW w:w="3181"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ECE/TRANS/WP.29/2018/50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89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3 au règlement nº 89 de l'ONU (dispositifs limiteurs de vitesse)</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ECE/TRANS/WP.29/2018/56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96</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série 05 d'amendements au règlement nº 96 de l'ONU (émissions des moteurs à allumage par compression (tracteurs agricoles))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ECE/TRANS/WP.29/2018/51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106</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16 au règlement nº 106 de l'ONU (pneumatiques pour véhicules agricoles)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ECE/TRANS/WP.29/2018/57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108</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4 au règlement nº 108 de l'ONU (pneumatiques rechapés pour les voitures particulières et leurs remorques)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ECE/TRANS/WP.29/2018/58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109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9 au règlement nº 109 de l'ONU (pneumatiques rechapés pour les véhicules utilitaires et leurs remorques)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lang w:val="en-GB"/>
              </w:rPr>
            </w:pPr>
            <w:r>
              <w:rPr>
                <w:noProof/>
                <w:sz w:val="20"/>
                <w:lang w:val="en-GB"/>
              </w:rPr>
              <w:t>ECE/TRANS/WP.29/2018/59</w:t>
            </w:r>
          </w:p>
          <w:p>
            <w:pPr>
              <w:rPr>
                <w:noProof/>
                <w:sz w:val="20"/>
                <w:szCs w:val="20"/>
                <w:lang w:val="en-GB"/>
              </w:rPr>
            </w:pPr>
            <w:r>
              <w:rPr>
                <w:noProof/>
                <w:sz w:val="18"/>
                <w:lang w:val="en-GB"/>
              </w:rPr>
              <w:t>ECE/TRANS/WP.29/2018/59/Add.1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120</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série 02 d'amendements au règlement nº 120 de l'ONU (puissance nette des tracteurs et des engins mobiles non routiers)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ECE/TRANS/WP.29/2018/52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7 au règlement nº 129 de l'ONU (dispositifs améliorés de retenue pour enfants)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ECE/TRANS/WP.29/2018/40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4 à la série 01 d'amendements au règlement nº 129 de l'ONU (dispositifs améliorés de retenue pour enfants)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ECE/TRANS/WP.29/2018/41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3 à la série 02 d'amendements au règlement nº 129 de l'ONU (dispositifs améliorés de retenue pour enfants)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ECE/TRANS/WP.29/2018/42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129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série 03 d'amendements au règlement nº 129 de l'ONU (dispositifs améliorés de retenue pour enfants)</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ECE/TRANS/WP.29/2018/45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137</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1 au règlement nº 137 de l'ONU (choc avant, l'accent étant mis sur les systèmes de retenue)</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ECE/TRANS/WP.29/2018/43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137</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1 à la série 01 d'amendements au règlement nº 137 de l'ONU (choc avant, l'accent étant mis sur les systèmes de retenue)</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ECE/TRANS/WP.29/2018/77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139</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1 au règlement nº 139 de l'ONU (systèmes d'aide au freinage)</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ECE/TRANS/WP.29/2018/60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140</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complément 1 au règlement nº 140 de l'ONU (système de contrôle électronique de la stabilité)</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ECE/TRANS/WP.29/2018/61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Nouveau règlement de l'ONU</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Proposition de nouveau règlement de l'ONU sur les véhicules de catégorie L à hydrogène et à pile à combustible</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ECE/TRANS/WP.29/2018/68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noProof/>
                <w:sz w:val="20"/>
              </w:rPr>
              <w:t>Nouveau règlement de l'ONU</w:t>
            </w:r>
          </w:p>
        </w:tc>
        <w:tc>
          <w:tcPr>
            <w:tcW w:w="4569" w:type="dxa"/>
            <w:tcBorders>
              <w:top w:val="single" w:sz="4" w:space="0" w:color="auto"/>
              <w:left w:val="nil"/>
              <w:bottom w:val="single" w:sz="4" w:space="0" w:color="auto"/>
              <w:right w:val="single" w:sz="4" w:space="0" w:color="auto"/>
            </w:tcBorders>
            <w:shd w:val="clear" w:color="auto" w:fill="auto"/>
            <w:vAlign w:val="center"/>
          </w:tcPr>
          <w:p>
            <w:pPr>
              <w:rPr>
                <w:noProof/>
                <w:sz w:val="20"/>
                <w:szCs w:val="20"/>
              </w:rPr>
            </w:pPr>
            <w:r>
              <w:rPr>
                <w:noProof/>
                <w:sz w:val="20"/>
              </w:rPr>
              <w:t xml:space="preserve">Proposition de nouveau règlement de l'ONU sur des prescriptions uniformes relatives à l'homologation des pièces mécaniques d'attelage des ensembles de véhicules agricoles </w:t>
            </w:r>
          </w:p>
        </w:tc>
        <w:tc>
          <w:tcPr>
            <w:tcW w:w="3181"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rPr>
              <w:t>ECE/TRANS/WP.29/2018/69</w:t>
            </w:r>
          </w:p>
        </w:tc>
      </w:tr>
    </w:tbl>
    <w:p>
      <w:pPr>
        <w:spacing w:before="0" w:after="200" w:line="276" w:lineRule="auto"/>
        <w:jc w:val="left"/>
        <w:rPr>
          <w:rFonts w:asciiTheme="minorHAnsi" w:hAnsiTheme="minorHAnsi" w:cstheme="minorBidi"/>
          <w:noProof/>
          <w:sz w:val="22"/>
        </w:rPr>
      </w:pPr>
    </w:p>
    <w:tbl>
      <w:tblPr>
        <w:tblW w:w="8946" w:type="dxa"/>
        <w:tblInd w:w="93" w:type="dxa"/>
        <w:tblLayout w:type="fixed"/>
        <w:tblLook w:val="04A0" w:firstRow="1" w:lastRow="0" w:firstColumn="1" w:lastColumn="0" w:noHBand="0" w:noVBand="1"/>
      </w:tblPr>
      <w:tblGrid>
        <w:gridCol w:w="1291"/>
        <w:gridCol w:w="4678"/>
        <w:gridCol w:w="2977"/>
      </w:tblGrid>
      <w:tr>
        <w:trPr>
          <w:trHeight w:val="465"/>
        </w:trPr>
        <w:tc>
          <w:tcPr>
            <w:tcW w:w="1291"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RTM nº</w:t>
            </w:r>
          </w:p>
        </w:tc>
        <w:tc>
          <w:tcPr>
            <w:tcW w:w="4678"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Titre du point de l'ordre du jour</w:t>
            </w:r>
          </w:p>
        </w:tc>
        <w:tc>
          <w:tcPr>
            <w:tcW w:w="2977"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Référence du document</w:t>
            </w:r>
          </w:p>
        </w:tc>
      </w:tr>
      <w:tr>
        <w:trPr>
          <w:trHeight w:val="600"/>
        </w:trPr>
        <w:tc>
          <w:tcPr>
            <w:tcW w:w="1291" w:type="dxa"/>
            <w:tcBorders>
              <w:top w:val="nil"/>
              <w:left w:val="single" w:sz="4" w:space="0" w:color="auto"/>
              <w:bottom w:val="nil"/>
              <w:right w:val="single" w:sz="4" w:space="0" w:color="auto"/>
            </w:tcBorders>
            <w:shd w:val="clear" w:color="auto" w:fill="auto"/>
            <w:hideMark/>
          </w:tcPr>
          <w:p>
            <w:pPr>
              <w:rPr>
                <w:rFonts w:ascii="Times" w:hAnsi="Times" w:cs="Times"/>
                <w:noProof/>
                <w:sz w:val="20"/>
                <w:szCs w:val="20"/>
              </w:rPr>
            </w:pPr>
            <w:r>
              <w:rPr>
                <w:rFonts w:ascii="Times" w:hAnsi="Times"/>
                <w:noProof/>
                <w:sz w:val="20"/>
              </w:rPr>
              <w:t>RTM 15</w:t>
            </w:r>
          </w:p>
        </w:tc>
        <w:tc>
          <w:tcPr>
            <w:tcW w:w="4678" w:type="dxa"/>
            <w:tcBorders>
              <w:top w:val="nil"/>
              <w:left w:val="nil"/>
              <w:bottom w:val="nil"/>
              <w:right w:val="single" w:sz="4" w:space="0" w:color="auto"/>
            </w:tcBorders>
            <w:shd w:val="clear" w:color="auto" w:fill="auto"/>
            <w:vAlign w:val="center"/>
            <w:hideMark/>
          </w:tcPr>
          <w:p>
            <w:pPr>
              <w:rPr>
                <w:noProof/>
                <w:sz w:val="20"/>
                <w:szCs w:val="20"/>
              </w:rPr>
            </w:pPr>
            <w:r>
              <w:rPr>
                <w:noProof/>
                <w:sz w:val="20"/>
              </w:rPr>
              <w:t>Proposition d'amendement 4 au RTM nº 15 de l'ONU (procédure d'essai mondiale harmonisée pour les voitures particulières et véhicules utilitaires légers (WLTP))</w:t>
            </w:r>
          </w:p>
        </w:tc>
        <w:tc>
          <w:tcPr>
            <w:tcW w:w="2977" w:type="dxa"/>
            <w:tcBorders>
              <w:top w:val="nil"/>
              <w:left w:val="nil"/>
              <w:bottom w:val="nil"/>
              <w:right w:val="single" w:sz="4" w:space="0" w:color="auto"/>
            </w:tcBorders>
            <w:shd w:val="clear" w:color="auto" w:fill="auto"/>
            <w:hideMark/>
          </w:tcPr>
          <w:p>
            <w:pPr>
              <w:rPr>
                <w:noProof/>
                <w:sz w:val="20"/>
                <w:szCs w:val="20"/>
              </w:rPr>
            </w:pPr>
            <w:r>
              <w:rPr>
                <w:noProof/>
                <w:sz w:val="20"/>
              </w:rPr>
              <w:t>ECE/TRANS/WP.29/2018/71</w:t>
            </w:r>
          </w:p>
        </w:tc>
      </w:tr>
      <w:tr>
        <w:trPr>
          <w:trHeight w:val="600"/>
        </w:trPr>
        <w:tc>
          <w:tcPr>
            <w:tcW w:w="1291" w:type="dxa"/>
            <w:tcBorders>
              <w:top w:val="nil"/>
              <w:left w:val="single" w:sz="4" w:space="0" w:color="auto"/>
              <w:bottom w:val="single" w:sz="4" w:space="0" w:color="auto"/>
              <w:right w:val="single" w:sz="4" w:space="0" w:color="auto"/>
            </w:tcBorders>
            <w:shd w:val="clear" w:color="auto" w:fill="auto"/>
          </w:tcPr>
          <w:p>
            <w:pPr>
              <w:rPr>
                <w:rFonts w:ascii="Times" w:hAnsi="Times" w:cs="Times"/>
                <w:noProof/>
                <w:sz w:val="20"/>
                <w:szCs w:val="20"/>
              </w:rPr>
            </w:pPr>
            <w:r>
              <w:rPr>
                <w:rFonts w:ascii="Times" w:hAnsi="Times"/>
                <w:noProof/>
                <w:sz w:val="20"/>
              </w:rPr>
              <w:t>RTM 19</w:t>
            </w:r>
          </w:p>
        </w:tc>
        <w:tc>
          <w:tcPr>
            <w:tcW w:w="4678" w:type="dxa"/>
            <w:tcBorders>
              <w:top w:val="nil"/>
              <w:left w:val="nil"/>
              <w:bottom w:val="single" w:sz="4" w:space="0" w:color="auto"/>
              <w:right w:val="single" w:sz="4" w:space="0" w:color="auto"/>
            </w:tcBorders>
            <w:shd w:val="clear" w:color="auto" w:fill="auto"/>
            <w:vAlign w:val="center"/>
          </w:tcPr>
          <w:p>
            <w:pPr>
              <w:rPr>
                <w:noProof/>
                <w:sz w:val="20"/>
                <w:szCs w:val="20"/>
              </w:rPr>
            </w:pPr>
            <w:r>
              <w:rPr>
                <w:noProof/>
                <w:sz w:val="20"/>
              </w:rPr>
              <w:t>Proposition d'amendement 1 au RTM nº 19 de l'ONU (procédure de mesure des émissions par évaporation dans le cadre de la procédure d'essai mondiale harmonisée pour les voitures particulières et véhicules utilitaires légers (EVAP WLTP))</w:t>
            </w:r>
          </w:p>
        </w:tc>
        <w:tc>
          <w:tcPr>
            <w:tcW w:w="2977" w:type="dxa"/>
            <w:tcBorders>
              <w:top w:val="nil"/>
              <w:left w:val="nil"/>
              <w:bottom w:val="single" w:sz="4" w:space="0" w:color="auto"/>
              <w:right w:val="single" w:sz="4" w:space="0" w:color="auto"/>
            </w:tcBorders>
            <w:shd w:val="clear" w:color="auto" w:fill="auto"/>
          </w:tcPr>
          <w:p>
            <w:pPr>
              <w:rPr>
                <w:noProof/>
                <w:sz w:val="20"/>
                <w:szCs w:val="20"/>
              </w:rPr>
            </w:pPr>
            <w:r>
              <w:rPr>
                <w:noProof/>
                <w:sz w:val="20"/>
              </w:rPr>
              <w:t>ECE/TRANS/WP.29/2018/73</w:t>
            </w:r>
          </w:p>
        </w:tc>
      </w:tr>
    </w:tbl>
    <w:p>
      <w:pPr>
        <w:spacing w:before="0" w:after="200" w:line="276" w:lineRule="auto"/>
        <w:jc w:val="left"/>
        <w:rPr>
          <w:rFonts w:asciiTheme="minorHAnsi" w:hAnsiTheme="minorHAnsi" w:cstheme="minorBidi"/>
          <w:noProof/>
          <w:sz w:val="22"/>
        </w:rPr>
      </w:pPr>
    </w:p>
    <w:tbl>
      <w:tblPr>
        <w:tblW w:w="8946" w:type="dxa"/>
        <w:tblInd w:w="93" w:type="dxa"/>
        <w:tblLook w:val="04A0" w:firstRow="1" w:lastRow="0" w:firstColumn="1" w:lastColumn="0" w:noHBand="0" w:noVBand="1"/>
      </w:tblPr>
      <w:tblGrid>
        <w:gridCol w:w="1291"/>
        <w:gridCol w:w="4677"/>
        <w:gridCol w:w="2978"/>
      </w:tblGrid>
      <w:tr>
        <w:trPr>
          <w:trHeight w:val="465"/>
        </w:trPr>
        <w:tc>
          <w:tcPr>
            <w:tcW w:w="1291" w:type="dxa"/>
            <w:tcBorders>
              <w:top w:val="single" w:sz="8" w:space="0" w:color="auto"/>
              <w:left w:val="single" w:sz="8" w:space="0" w:color="auto"/>
              <w:bottom w:val="single" w:sz="4" w:space="0" w:color="auto"/>
              <w:right w:val="single" w:sz="4" w:space="0" w:color="auto"/>
            </w:tcBorders>
            <w:shd w:val="clear" w:color="auto" w:fill="auto"/>
          </w:tcPr>
          <w:p>
            <w:pPr>
              <w:spacing w:before="0" w:after="0"/>
              <w:jc w:val="left"/>
              <w:rPr>
                <w:rFonts w:eastAsia="Times New Roman"/>
                <w:b/>
                <w:bCs/>
                <w:noProof/>
                <w:szCs w:val="24"/>
                <w:highlight w:val="yellow"/>
              </w:rPr>
            </w:pPr>
          </w:p>
        </w:tc>
        <w:tc>
          <w:tcPr>
            <w:tcW w:w="4677"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Titre du point de l'ordre du jour</w:t>
            </w:r>
          </w:p>
        </w:tc>
        <w:tc>
          <w:tcPr>
            <w:tcW w:w="2978"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rPr>
            </w:pPr>
            <w:r>
              <w:rPr>
                <w:b/>
                <w:noProof/>
              </w:rPr>
              <w:t>Référence du document</w:t>
            </w:r>
          </w:p>
        </w:tc>
      </w:tr>
      <w:tr>
        <w:trPr>
          <w:trHeight w:val="600"/>
        </w:trPr>
        <w:tc>
          <w:tcPr>
            <w:tcW w:w="1291" w:type="dxa"/>
            <w:tcBorders>
              <w:top w:val="nil"/>
              <w:left w:val="single" w:sz="4" w:space="0" w:color="auto"/>
              <w:bottom w:val="nil"/>
              <w:right w:val="single" w:sz="4" w:space="0" w:color="auto"/>
            </w:tcBorders>
            <w:shd w:val="clear" w:color="auto" w:fill="auto"/>
            <w:hideMark/>
          </w:tcPr>
          <w:p>
            <w:pPr>
              <w:rPr>
                <w:noProof/>
                <w:highlight w:val="yellow"/>
              </w:rPr>
            </w:pPr>
          </w:p>
        </w:tc>
        <w:tc>
          <w:tcPr>
            <w:tcW w:w="4677" w:type="dxa"/>
            <w:tcBorders>
              <w:top w:val="nil"/>
              <w:left w:val="nil"/>
              <w:bottom w:val="nil"/>
              <w:right w:val="single" w:sz="4" w:space="0" w:color="auto"/>
            </w:tcBorders>
            <w:shd w:val="clear" w:color="auto" w:fill="auto"/>
            <w:hideMark/>
          </w:tcPr>
          <w:p>
            <w:pPr>
              <w:rPr>
                <w:noProof/>
              </w:rPr>
            </w:pPr>
            <w:r>
              <w:rPr>
                <w:noProof/>
                <w:sz w:val="20"/>
              </w:rPr>
              <w:t>Demande d'inscription au Recueil des RTM admissibles des règlements (UE) 2017/1151 et (UE) 2017/1154 de l'Union européenne relatifs aux émissions en conditions de conduite réelles</w:t>
            </w:r>
          </w:p>
        </w:tc>
        <w:tc>
          <w:tcPr>
            <w:tcW w:w="2978" w:type="dxa"/>
            <w:tcBorders>
              <w:top w:val="nil"/>
              <w:left w:val="nil"/>
              <w:bottom w:val="nil"/>
              <w:right w:val="single" w:sz="4" w:space="0" w:color="auto"/>
            </w:tcBorders>
            <w:shd w:val="clear" w:color="auto" w:fill="auto"/>
            <w:hideMark/>
          </w:tcPr>
          <w:p>
            <w:pPr>
              <w:rPr>
                <w:noProof/>
              </w:rPr>
            </w:pPr>
            <w:r>
              <w:rPr>
                <w:noProof/>
                <w:sz w:val="20"/>
              </w:rPr>
              <w:t>ECE/TRANS/WP.29/2018/79</w:t>
            </w:r>
          </w:p>
        </w:tc>
      </w:tr>
      <w:tr>
        <w:trPr>
          <w:trHeight w:val="600"/>
        </w:trPr>
        <w:tc>
          <w:tcPr>
            <w:tcW w:w="1291" w:type="dxa"/>
            <w:tcBorders>
              <w:top w:val="nil"/>
              <w:left w:val="single" w:sz="4" w:space="0" w:color="auto"/>
              <w:bottom w:val="single" w:sz="4" w:space="0" w:color="auto"/>
              <w:right w:val="single" w:sz="4" w:space="0" w:color="auto"/>
            </w:tcBorders>
            <w:shd w:val="clear" w:color="auto" w:fill="auto"/>
          </w:tcPr>
          <w:p>
            <w:pPr>
              <w:rPr>
                <w:noProof/>
                <w:highlight w:val="yellow"/>
              </w:rPr>
            </w:pPr>
          </w:p>
        </w:tc>
        <w:tc>
          <w:tcPr>
            <w:tcW w:w="4677" w:type="dxa"/>
            <w:tcBorders>
              <w:top w:val="nil"/>
              <w:left w:val="nil"/>
              <w:bottom w:val="single" w:sz="4" w:space="0" w:color="auto"/>
              <w:right w:val="single" w:sz="4" w:space="0" w:color="auto"/>
            </w:tcBorders>
            <w:shd w:val="clear" w:color="auto" w:fill="auto"/>
          </w:tcPr>
          <w:p>
            <w:pPr>
              <w:rPr>
                <w:noProof/>
              </w:rPr>
            </w:pPr>
            <w:r>
              <w:rPr>
                <w:noProof/>
                <w:sz w:val="20"/>
              </w:rPr>
              <w:t>Demande d'inscription au Recueil des RTM admissibles (Recueil des règlements admissibles) de la méthodologie du Japon pour les émissions en conditions de conduite réelles</w:t>
            </w:r>
          </w:p>
        </w:tc>
        <w:tc>
          <w:tcPr>
            <w:tcW w:w="2978" w:type="dxa"/>
            <w:tcBorders>
              <w:top w:val="nil"/>
              <w:left w:val="nil"/>
              <w:bottom w:val="single" w:sz="4" w:space="0" w:color="auto"/>
              <w:right w:val="single" w:sz="4" w:space="0" w:color="auto"/>
            </w:tcBorders>
            <w:shd w:val="clear" w:color="auto" w:fill="auto"/>
          </w:tcPr>
          <w:p>
            <w:pPr>
              <w:rPr>
                <w:noProof/>
              </w:rPr>
            </w:pPr>
            <w:r>
              <w:rPr>
                <w:noProof/>
                <w:sz w:val="20"/>
              </w:rPr>
              <w:t>ECE/TRANS/WP.29/2018/81</w:t>
            </w:r>
          </w:p>
        </w:tc>
      </w:tr>
    </w:tbl>
    <w:p>
      <w:pPr>
        <w:rPr>
          <w:noProof/>
        </w:rPr>
      </w:pP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rPr>
      </w:pPr>
      <w:r>
        <w:rPr>
          <w:rStyle w:val="FootnoteReference"/>
        </w:rPr>
        <w:footnoteRef/>
      </w:r>
      <w:r>
        <w:tab/>
      </w:r>
      <w:r>
        <w:rPr>
          <w:sz w:val="18"/>
        </w:rPr>
        <w:t xml:space="preserve">Tous les documents référencés dans le tableau sont publiquement disponibles à l’adresse suivante: </w:t>
      </w:r>
    </w:p>
    <w:p>
      <w:pPr>
        <w:pStyle w:val="FootnoteText"/>
        <w:rPr>
          <w:sz w:val="18"/>
        </w:rPr>
      </w:pPr>
      <w:hyperlink r:id="rId1">
        <w:r>
          <w:rPr>
            <w:rStyle w:val="Hyperlink"/>
            <w:sz w:val="18"/>
          </w:rPr>
          <w:t>http://www.unece.org/trans/main/wp29/wp29wgs/wp29gen/gen2018.html</w:t>
        </w:r>
      </w:hyperlink>
    </w:p>
    <w:p>
      <w:pPr>
        <w:pStyle w:val="Footnote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5:25: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09922DC7-DB47-40F5-A001-9009424F4610"/>
    <w:docVar w:name="LW_COVERPAGE_TYPE" w:val="1"/>
    <w:docVar w:name="LW_CROSSREFERENCE" w:val="&lt;UNUSED&gt;"/>
    <w:docVar w:name="LW_DocType" w:val="ANNEX"/>
    <w:docVar w:name="LW_EMISSION" w:val="23.5.2018"/>
    <w:docVar w:name="LW_EMISSION_ISODATE" w:val="2018-05-23"/>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es comités compétents de la Commission économique pour l'Europe des Nations unies, sur les propositions d'amendements aux règlements nºs 13, 13 H, 14, 16, 22, 44, 49, 51, 54, 75, 83, 85, 89, 96, 106, 108, 109, 120, 129, 137, 139 et 140 de l'ONU et aux règlements techniques mondiaux nºs 15 et 19 de l'ONU, ainsi que sur les propositions de deux nouveaux règlements de l'ONU et de deux nouvelles inscriptions au Recueil des règlements techniques mondiaux admissibles"/>
    <w:docVar w:name="LW_OBJETACTEPRINCIPAL.CP" w:val="relative à la position à prendre au nom de l'Union européenne, au sein des comités compétents de la Commission économique pour l'Europe des Nations unies, sur les propositions d'amendements aux règlements nºs 13, 13 H, 14, 16, 22, 44, 49, 51, 54, 75, 83, 85, 89, 96, 106, 108, 109, 120, 129, 137, 139 et 140 de l'ONU et aux règlements techniques mondiaux nºs 15 et 19 de l'ONU, ainsi que sur les propositions de deux nouveaux règlements de l'ONU et de deux nouvelles inscriptions au Recueil des règlements techniques mondiaux admissibles"/>
    <w:docVar w:name="LW_PART_NBR" w:val="1"/>
    <w:docVar w:name="LW_PART_NBR_TOTAL" w:val="1"/>
    <w:docVar w:name="LW_REF.INST.NEW" w:val="COM"/>
    <w:docVar w:name="LW_REF.INST.NEW_ADOPTED" w:val="final"/>
    <w:docVar w:name="LW_REF.INST.NEW_TEXT" w:val="(2018) 3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gen201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0824-9B94-4CCF-8275-1CA51BAB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914</Words>
  <Characters>5450</Characters>
  <Application>Microsoft Office Word</Application>
  <DocSecurity>0</DocSecurity>
  <Lines>218</Lines>
  <Paragraphs>141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BRASSART Odile (GROW)</dc:creator>
  <cp:lastModifiedBy>DIGIT/A3</cp:lastModifiedBy>
  <cp:revision>7</cp:revision>
  <cp:lastPrinted>2018-05-17T15:22:00Z</cp:lastPrinted>
  <dcterms:created xsi:type="dcterms:W3CDTF">2018-05-17T15:48:00Z</dcterms:created>
  <dcterms:modified xsi:type="dcterms:W3CDTF">2018-05-22T13:25:00Z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