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FF6054C-11C1-4AA6-B759-90DB514985BD" style="width:450.35pt;height:320.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Настоящият доклад относно мисия за засилено наблюдение, проведена в Румъния, се предава на Съвета в съответствие с член 11, параграф 4 от Регламент (ЕО) № 1466/97</w:t>
      </w:r>
      <w:r>
        <w:rPr>
          <w:rFonts w:ascii="Times New Roman" w:hAnsi="Times New Roman"/>
          <w:noProof/>
          <w:sz w:val="24"/>
          <w:vertAlign w:val="superscript"/>
        </w:rPr>
        <w:footnoteReference w:id="2"/>
      </w:r>
      <w:r>
        <w:rPr>
          <w:rFonts w:ascii="Times New Roman" w:hAnsi="Times New Roman"/>
          <w:noProof/>
          <w:sz w:val="24"/>
        </w:rPr>
        <w:t>. Както е предвидено в член 11, параграф 5 от Регламент (ЕО) № 1466/97, предварителните констатации от мисията бяха изпратени предварително на румънските органи за коментар.</w:t>
      </w:r>
    </w:p>
    <w:p>
      <w:pPr>
        <w:spacing w:after="120"/>
        <w:jc w:val="both"/>
        <w:rPr>
          <w:rFonts w:ascii="Times New Roman" w:hAnsi="Times New Roman" w:cs="Times New Roman"/>
          <w:noProof/>
          <w:sz w:val="24"/>
          <w:szCs w:val="24"/>
        </w:rPr>
      </w:pPr>
    </w:p>
    <w:p>
      <w:pPr>
        <w:spacing w:after="0" w:line="240" w:lineRule="auto"/>
        <w:jc w:val="center"/>
        <w:rPr>
          <w:rFonts w:ascii="Times New Roman" w:hAnsi="Times New Roman" w:cs="Times New Roman"/>
          <w:b/>
          <w:noProof/>
          <w:sz w:val="28"/>
          <w:szCs w:val="24"/>
        </w:rPr>
      </w:pPr>
      <w:r>
        <w:rPr>
          <w:rFonts w:ascii="Times New Roman" w:hAnsi="Times New Roman"/>
          <w:b/>
          <w:noProof/>
          <w:sz w:val="28"/>
        </w:rPr>
        <w:t>Румъния — Процедура при значително отклонение</w:t>
      </w:r>
    </w:p>
    <w:p>
      <w:pPr>
        <w:spacing w:after="0" w:line="240" w:lineRule="auto"/>
        <w:jc w:val="center"/>
        <w:rPr>
          <w:rFonts w:ascii="Times New Roman" w:hAnsi="Times New Roman" w:cs="Times New Roman"/>
          <w:b/>
          <w:noProof/>
          <w:sz w:val="28"/>
          <w:szCs w:val="24"/>
        </w:rPr>
      </w:pPr>
      <w:r>
        <w:rPr>
          <w:rFonts w:ascii="Times New Roman" w:hAnsi="Times New Roman"/>
          <w:b/>
          <w:noProof/>
          <w:sz w:val="28"/>
        </w:rPr>
        <w:t>Мисия за засилено наблюдение, 10—11 април 2018 г.</w:t>
      </w:r>
    </w:p>
    <w:p>
      <w:pPr>
        <w:spacing w:before="120" w:after="0" w:line="240" w:lineRule="auto"/>
        <w:jc w:val="center"/>
        <w:rPr>
          <w:rFonts w:ascii="Times New Roman" w:hAnsi="Times New Roman" w:cs="Times New Roman"/>
          <w:b/>
          <w:noProof/>
          <w:sz w:val="28"/>
          <w:szCs w:val="24"/>
        </w:rPr>
      </w:pPr>
      <w:r>
        <w:rPr>
          <w:rFonts w:ascii="Times New Roman" w:hAnsi="Times New Roman"/>
          <w:b/>
          <w:noProof/>
          <w:sz w:val="28"/>
        </w:rPr>
        <w:t>Доклад</w:t>
      </w:r>
    </w:p>
    <w:p>
      <w:pPr>
        <w:spacing w:after="0"/>
        <w:jc w:val="both"/>
        <w:rPr>
          <w:rFonts w:ascii="Times New Roman" w:hAnsi="Times New Roman" w:cs="Times New Roman"/>
          <w:noProof/>
          <w:sz w:val="24"/>
          <w:szCs w:val="24"/>
        </w:rPr>
      </w:pPr>
    </w:p>
    <w:p>
      <w:pPr>
        <w:spacing w:before="240" w:after="120"/>
        <w:jc w:val="both"/>
        <w:rPr>
          <w:rFonts w:ascii="Times New Roman" w:hAnsi="Times New Roman" w:cs="Times New Roman"/>
          <w:b/>
          <w:noProof/>
          <w:sz w:val="24"/>
          <w:szCs w:val="24"/>
        </w:rPr>
      </w:pPr>
      <w:r>
        <w:rPr>
          <w:rFonts w:ascii="Times New Roman" w:hAnsi="Times New Roman"/>
          <w:b/>
          <w:noProof/>
          <w:sz w:val="24"/>
        </w:rPr>
        <w:t>1. Въведение</w:t>
      </w:r>
    </w:p>
    <w:p>
      <w:pPr>
        <w:spacing w:after="120"/>
        <w:jc w:val="both"/>
        <w:rPr>
          <w:rFonts w:ascii="Times New Roman" w:hAnsi="Times New Roman" w:cs="Times New Roman"/>
          <w:noProof/>
          <w:sz w:val="24"/>
          <w:szCs w:val="24"/>
        </w:rPr>
      </w:pPr>
      <w:r>
        <w:rPr>
          <w:rFonts w:ascii="Times New Roman" w:hAnsi="Times New Roman"/>
          <w:b/>
          <w:noProof/>
          <w:sz w:val="24"/>
        </w:rPr>
        <w:t>Вследствие на значителното отклонение на Румъния от нейната средносрочна бюджетна цел (СБЦ) през 2016 г. през пролетта на 2017 г. по отношение на Румъния беше стартирана процедура при значително отклонение (ПЗО).</w:t>
      </w:r>
      <w:r>
        <w:rPr>
          <w:rFonts w:ascii="Times New Roman" w:hAnsi="Times New Roman"/>
          <w:noProof/>
          <w:sz w:val="24"/>
        </w:rPr>
        <w:t xml:space="preserve"> На 22 май 2017 г. Комисията отправи предупреждение към Румъния и предложи на Съвета да стартира процедура при значително отклонение. В своята препоръка за процедура при значително отклонение от 16 юни 2017 г. Съветът прикани Румъния да предприеме мерки, за да гарантира, че през 2017 г. номиналният темп на растеж на нетните първични държавни разходи не надвишава 3,3 %. Това съответства на годишна структурна корекция от 0,5 % от БВП, което е минималната изисквана корекция съгласно предпазните мерки на Пакта за стабилност и растеж (ПСР). </w:t>
      </w:r>
    </w:p>
    <w:p>
      <w:pPr>
        <w:spacing w:after="120"/>
        <w:jc w:val="both"/>
        <w:rPr>
          <w:rFonts w:ascii="Times New Roman" w:hAnsi="Times New Roman" w:cs="Times New Roman"/>
          <w:noProof/>
          <w:sz w:val="24"/>
          <w:szCs w:val="24"/>
        </w:rPr>
      </w:pPr>
      <w:r>
        <w:rPr>
          <w:rFonts w:ascii="Times New Roman" w:hAnsi="Times New Roman"/>
          <w:b/>
          <w:noProof/>
          <w:sz w:val="24"/>
        </w:rPr>
        <w:t xml:space="preserve">Като следствие от липсата на ефективни действия от страна на Румъния, през декември 2017 г. Съветът издаде преразгледана препоръка за ПЗО. </w:t>
      </w:r>
      <w:r>
        <w:rPr>
          <w:rFonts w:ascii="Times New Roman" w:hAnsi="Times New Roman"/>
          <w:noProof/>
          <w:sz w:val="24"/>
        </w:rPr>
        <w:t xml:space="preserve">Въз основа на резултатите от мисията за засилено наблюдение от септември 2017 г. и доклада, представен от органите, Комисията заключи, че органите не възнамеряват да предприемат действия във връзка с препоръката за ПЗО, като усилията им се съсредоточават само върху избягването на нарушаването на референтната стойност от 3 % от БВП на номиналния дефицит. Поради това на 5 декември 2017 г. Съветът стигна до заключението, че не са били предприети ефективни действия от Румъния, и отправи преразгледана препоръка. Съветът прикани Румъния да предприеме мерки, за да гарантира, че номиналният темп на растеж на нетните първични държавни разходи не надвишава 3,3 % през 2018 г., което съответства на годишна структурна корекция от 0,8 % от БВП през 2018 г. Това съответства на нуждата от предприемане на мерки с общ структурен резултат от 1,8 % от БВП през 2018 г. в сравнение с базовия сценарий в икономическата прогноза на Комисията от есента на 2017 г. Румъния докладва на Съвета относно предприетите мерки на 20 април, т.е. след крайния срок 15 април. </w:t>
      </w:r>
      <w:r>
        <w:rPr>
          <w:rFonts w:ascii="Times New Roman" w:hAnsi="Times New Roman"/>
          <w:noProof/>
          <w:sz w:val="24"/>
        </w:rPr>
        <w:lastRenderedPageBreak/>
        <w:t>Оценката на Комисията на доклада е публикувана като част от пролетния пакет на европейския семестър.</w:t>
      </w:r>
    </w:p>
    <w:p>
      <w:pPr>
        <w:spacing w:after="120"/>
        <w:jc w:val="both"/>
        <w:rPr>
          <w:rFonts w:ascii="Times New Roman" w:hAnsi="Times New Roman" w:cs="Times New Roman"/>
          <w:noProof/>
          <w:sz w:val="24"/>
          <w:szCs w:val="24"/>
          <w:highlight w:val="yellow"/>
        </w:rPr>
      </w:pPr>
      <w:r>
        <w:rPr>
          <w:rFonts w:ascii="Times New Roman" w:hAnsi="Times New Roman"/>
          <w:b/>
          <w:noProof/>
          <w:sz w:val="24"/>
        </w:rPr>
        <w:t xml:space="preserve">Според прогнозите на Комисията при обичайния сценарий за липса за промяна в политиката както номиналният, така и за структурният дефицит се очаква да нараснат през 2018 г. </w:t>
      </w:r>
      <w:r>
        <w:rPr>
          <w:rFonts w:ascii="Times New Roman" w:hAnsi="Times New Roman"/>
          <w:noProof/>
          <w:sz w:val="24"/>
        </w:rPr>
        <w:t>Експанзионистичната фискална политика ще се запази в близко бъдеще. Бюджетът за 2018 г. цели дефицит по консолидирания държавен бюджет от 3 % от БВП, което предполага по-нататъшно увеличение на структурния дефицит в условията на нарастваща разлика между фактическия и потенциалния БВП. Въпреки това бюджетът се основава на оптимистичен макроикономически сценарий и вероятно надценява данъчните приходи. Комисията предвижда номинален дефицит от 3,4 % от БВП през 2018 г. при обичайния сценарий за липса за промяна в политиката. Заплатите в публичния сектор бяха значително увеличени от закона за уеднаквяване на заплатите (ЗУЗ), който влезе в сила през лятото на 2017 г. Пенсиите за старост ще продължат да растат отвъд стандартния механизъм за индексиране на пенсиите. Освен това плоският данък върху доходите на физическите лица бе намален от 16 % на 10 % от януари 2018 г. От друга страна, промяната на социалноосигурителните вноски от сегашните 22,75 % за работодателите и 16,5 % за работещите съответно на 2,25 % и 35 % частично ще задържи фискалните разходи, дължащи се на увеличенията на брутните заплати в публичния сектор през 2018 г. В допълнение, бюджетът за 2018 г. включва намаление на дела на социалноосигурителните вноски, прехвърлени към втория стълб на пенсионната система, с положително въздействие върху приходите на консолидирания бюджет.</w:t>
      </w:r>
    </w:p>
    <w:p>
      <w:pPr>
        <w:spacing w:after="120"/>
        <w:jc w:val="both"/>
        <w:rPr>
          <w:rFonts w:ascii="Times New Roman" w:hAnsi="Times New Roman" w:cs="Times New Roman"/>
          <w:noProof/>
          <w:sz w:val="24"/>
          <w:szCs w:val="24"/>
        </w:rPr>
      </w:pPr>
      <w:r>
        <w:rPr>
          <w:rFonts w:ascii="Times New Roman" w:hAnsi="Times New Roman"/>
          <w:b/>
          <w:noProof/>
          <w:sz w:val="24"/>
        </w:rPr>
        <w:t xml:space="preserve">Мисията за засилено наблюдение от страна на Комисията се проведе на 10—11 април 2018 г., т.е. преди представянето на горепосочения доклад, както се изисква. </w:t>
      </w:r>
      <w:r>
        <w:rPr>
          <w:rFonts w:ascii="Times New Roman" w:hAnsi="Times New Roman"/>
          <w:noProof/>
          <w:sz w:val="24"/>
        </w:rPr>
        <w:t>Следователно последващото отчитане съгласно законодателните изисквания не е взето предвид в настоящия доклад за мисията. Мисията се състоя на основата на член 11, параграф 2 от Регламент (ЕО) № 1466/97. Беше проведена среща с министъра на финансите Eugen Teodorovici, управителя на Националната банка на Румъния Mugur Isărescu, както и членове на Фискалния съвет на Румъния. Целта на мисията беше да се запознае подробно с фискалните действия, планирани от органите, да обърне внимание на фискалните рискове и да насърчи спазването на разпоредбите на ПСР.</w:t>
      </w:r>
    </w:p>
    <w:p>
      <w:pPr>
        <w:spacing w:before="360" w:after="120"/>
        <w:jc w:val="both"/>
        <w:rPr>
          <w:rFonts w:ascii="Times New Roman" w:hAnsi="Times New Roman" w:cs="Times New Roman"/>
          <w:b/>
          <w:noProof/>
          <w:sz w:val="24"/>
          <w:szCs w:val="24"/>
        </w:rPr>
      </w:pPr>
      <w:r>
        <w:rPr>
          <w:rFonts w:ascii="Times New Roman" w:hAnsi="Times New Roman"/>
          <w:b/>
          <w:noProof/>
          <w:sz w:val="24"/>
        </w:rPr>
        <w:t>2. Констатации от мисията</w:t>
      </w:r>
    </w:p>
    <w:p>
      <w:pPr>
        <w:spacing w:after="120"/>
        <w:jc w:val="both"/>
        <w:rPr>
          <w:rFonts w:ascii="Times New Roman" w:hAnsi="Times New Roman" w:cs="Times New Roman"/>
          <w:noProof/>
          <w:sz w:val="24"/>
          <w:szCs w:val="24"/>
        </w:rPr>
      </w:pPr>
      <w:r>
        <w:rPr>
          <w:rFonts w:ascii="Times New Roman" w:hAnsi="Times New Roman"/>
          <w:b/>
          <w:noProof/>
          <w:sz w:val="24"/>
        </w:rPr>
        <w:t>Изглежда, че румънските органи не възнамеряват да предприемат действия във връзка с препоръката за стартиране на процедура при значително отклонение.</w:t>
      </w:r>
      <w:r>
        <w:rPr>
          <w:rFonts w:ascii="Times New Roman" w:hAnsi="Times New Roman"/>
          <w:noProof/>
          <w:sz w:val="24"/>
        </w:rPr>
        <w:t xml:space="preserve"> От името на Министерство на финансите и на правителството, министър Teodorovici потвърди, че целта за 2018 г. остава поддържането на номиналния дефицит под 3 % от БВП. Като се има предвид положителната и нарастваща разлика между фактическия и потенциалния БВП, това означава влошаване на съответния структурен дефицит, в разрез с препоръката на Съвета. Министър Teodorovici обясни, че той е обвързан от мерките, съдържащи се в програмата на правителството, които са напълно отразени в </w:t>
      </w:r>
      <w:r>
        <w:rPr>
          <w:rFonts w:ascii="Times New Roman" w:hAnsi="Times New Roman"/>
          <w:noProof/>
          <w:sz w:val="24"/>
        </w:rPr>
        <w:lastRenderedPageBreak/>
        <w:t xml:space="preserve">бюджета по отношение както на приходите, така и на разходите. Той също така изрази увереност, че усвояването на средства от фондовете на ЕС ще нарасне през тази година в сравнение с 2017 г. (което обаче ще увеличи задълженията за съфинансиране). Министър Teodorovici добави, че спазването на прага от 3 % от БВП за номиналния дефицит през 2018 г. ще изисква допълнителни мерки, които Румъния ще определи в доклада относно предприетите действия. Министър Teodorovici посочи, че тези мерки ще се отнасят до подобряване на функционирането на данъчната и митническата администрация, по-специално чрез въвеждане на нова ИТ система. Мисията подчерта, че в доклада относно предприетите действия, който трябваше да бъде представен до 15 април, трябва да се съдържат подробности и количествена оценка на планираните мерки. Мисията също така отбеляза, че паричните данни за изпълнението на бюджета за първото тримесечие на 2018 г. показват влошен баланс в сравнение със същия период на предходната година (дефицит от 0,5 % от БВП за първото тримесечие на 2018 г. спрямо излишък от 0,2 % от БВП през първото тримесечие на 2017 г.). Министър Teodorovici посочи, че дефицитът е в съответствие с прогнозите и до голяма степен се дължи на еднократни разходи в сектора на отбраната. Накрая, министър Teodorovici съобщи, че ще настоява за промяна на практиката на късното приемане на държавния бюджет (обикновено през декември на предходната година) и ще се опита бюджетът за 2019 г. да бъде приет на по-ранна дата. </w:t>
      </w:r>
    </w:p>
    <w:p>
      <w:pPr>
        <w:spacing w:after="120"/>
        <w:jc w:val="both"/>
        <w:rPr>
          <w:rFonts w:ascii="Times New Roman" w:hAnsi="Times New Roman" w:cs="Times New Roman"/>
          <w:b/>
          <w:noProof/>
          <w:sz w:val="24"/>
          <w:szCs w:val="24"/>
          <w:highlight w:val="yellow"/>
        </w:rPr>
      </w:pPr>
      <w:r>
        <w:rPr>
          <w:rFonts w:ascii="Times New Roman" w:hAnsi="Times New Roman"/>
          <w:b/>
          <w:noProof/>
          <w:sz w:val="24"/>
        </w:rPr>
        <w:t>Освен това правителството обмисля преобръщане на системната пенсионна реформа от 2008 г., с която беше въведен вторият стълб.</w:t>
      </w:r>
      <w:r>
        <w:rPr>
          <w:rFonts w:ascii="Times New Roman" w:hAnsi="Times New Roman"/>
          <w:noProof/>
          <w:sz w:val="24"/>
        </w:rPr>
        <w:t xml:space="preserve"> Като част от бюджета за 2018 г. органите вече са съкратили дела на социалноосигурителните вноски, прехвърлени към втория стълб на пенсионната система. Според публичните изявления правителството обмисля да направи незадължителни трансферите към втория стълб на пенсионната система и да вземе решение до края на юни 2018 г., след като се консултира със заинтересованите страни. Тези трансфери възлизат на приблизително 7 млрд. леи годишно (около 1,5 млрд. евро; 0,8 % от БВП). Тази мярка би намалила бюджетния дефицит в краткосрочен план, тъй като съгласно Европейската система от сметки вторият пенсионен стълб е класифициран извън сектор „Държавно управление“. Тази печалба за бюджета ще изчезне обаче в дългосрочен план, тъй като социалноосигурителните вноски, отклонени от втория стълб, ще бъдат придружени от задължение за плащане на пенсии за старост в бъдеще. Освен това такава промяна би могла да има отрицателни последици за жизнеспособността на пенсионната система и за развитието на капиталовите пазари. Ако вторият пенсионен стълб стане незадължителен, това би лишило Румъния от възможността да се позове на клаузата за реформата на пенсионната система по Пакта за стабилност и растеж. </w:t>
      </w:r>
    </w:p>
    <w:p>
      <w:pPr>
        <w:spacing w:after="120"/>
        <w:jc w:val="both"/>
        <w:rPr>
          <w:rFonts w:ascii="Times New Roman" w:hAnsi="Times New Roman" w:cs="Times New Roman"/>
          <w:noProof/>
          <w:sz w:val="24"/>
          <w:szCs w:val="24"/>
        </w:rPr>
      </w:pPr>
      <w:r>
        <w:rPr>
          <w:rFonts w:ascii="Times New Roman" w:hAnsi="Times New Roman"/>
          <w:b/>
          <w:noProof/>
          <w:sz w:val="24"/>
        </w:rPr>
        <w:t xml:space="preserve">Националната банка на Румъния (НБР) изрази опасения относно въздействието на експанзионистичната, проциклична фискална политика върху настоящата комбинация от политики. </w:t>
      </w:r>
      <w:r>
        <w:rPr>
          <w:rFonts w:ascii="Times New Roman" w:hAnsi="Times New Roman"/>
          <w:noProof/>
          <w:sz w:val="24"/>
        </w:rPr>
        <w:t xml:space="preserve">Румъния се намира в условия на голям икономически подем, като фискалната позиция на страната е до голяма степен експанзионистична. Като такава, фискалната политика на Румъния изглежда неразумна и обуславя в голяма </w:t>
      </w:r>
      <w:r>
        <w:rPr>
          <w:rFonts w:ascii="Times New Roman" w:hAnsi="Times New Roman"/>
          <w:noProof/>
          <w:sz w:val="24"/>
        </w:rPr>
        <w:lastRenderedPageBreak/>
        <w:t xml:space="preserve">степен паричната политика. Според прогнозите на НБР дефицитът на консолидирания държавен бюджет ще се увеличи над 3 % от БВП през 2018 г., ако няма промяна в политиката. НБР подчерта, че Румъния е добре осведомена за прага от 3 % от БВП за номиналния дефицит, но липсва обществена осведоменост за предпазната част на Пакта за стабилност и растеж. Могат да се предприемат фискални мерки по отношение на приходите, имайки предвид, че отклоняването от средносрочната бюджетна цел се дължи на непреки данъчни облекчения, данъчните ставки са ниски и избягването на данъци е голямо. </w:t>
      </w:r>
    </w:p>
    <w:p>
      <w:pPr>
        <w:spacing w:after="120"/>
        <w:jc w:val="both"/>
        <w:rPr>
          <w:rFonts w:ascii="Times New Roman" w:hAnsi="Times New Roman" w:cs="Times New Roman"/>
          <w:noProof/>
          <w:sz w:val="24"/>
          <w:szCs w:val="24"/>
        </w:rPr>
      </w:pPr>
      <w:r>
        <w:rPr>
          <w:rFonts w:ascii="Times New Roman" w:hAnsi="Times New Roman"/>
          <w:b/>
          <w:noProof/>
          <w:sz w:val="24"/>
        </w:rPr>
        <w:t xml:space="preserve">Фискалният съвет споделя загрижеността на Комисията относно фискалните перспективи. </w:t>
      </w:r>
      <w:r>
        <w:rPr>
          <w:rFonts w:ascii="Times New Roman" w:hAnsi="Times New Roman"/>
          <w:noProof/>
          <w:sz w:val="24"/>
        </w:rPr>
        <w:t xml:space="preserve">Според Фискалния съвет през 2018 г. структурният дефицит ще се влоши значително, а номиналният дефицит се очаква да надхвърли прага от 3 % от БВП при липсата на компенсиращи фискални мерки. Възможностите за съкращаване на публичните инвестиции през 2018 г. са ограничени, тъй като публичните инвестиции вече достигнаха рекордно ниско ниво през 2017 г., а усвояването на средствата от ЕС се увеличи през 2018 г., което предполага по-високи задължения за съфинансиране. </w:t>
      </w:r>
    </w:p>
    <w:p>
      <w:pPr>
        <w:rPr>
          <w:noProof/>
        </w:rPr>
      </w:pPr>
      <w:r>
        <w:rPr>
          <w:noProof/>
        </w:rPr>
        <w:br w:type="page"/>
      </w:r>
    </w:p>
    <w:p>
      <w:pPr>
        <w:rPr>
          <w:noProof/>
        </w:rPr>
      </w:pPr>
    </w:p>
    <w:p>
      <w:pPr>
        <w:spacing w:after="0"/>
        <w:jc w:val="center"/>
        <w:rPr>
          <w:rFonts w:ascii="Times New Roman" w:hAnsi="Times New Roman" w:cs="Times New Roman"/>
          <w:b/>
          <w:noProof/>
          <w:sz w:val="24"/>
          <w:szCs w:val="24"/>
        </w:rPr>
      </w:pPr>
      <w:r>
        <w:rPr>
          <w:rFonts w:ascii="Times New Roman" w:hAnsi="Times New Roman"/>
          <w:b/>
          <w:noProof/>
          <w:sz w:val="24"/>
        </w:rPr>
        <w:t>СТАТИСТИЧЕСКО ПРИЛОЖЕНИЕ</w:t>
      </w:r>
    </w:p>
    <w:p>
      <w:pPr>
        <w:jc w:val="center"/>
        <w:rPr>
          <w:noProof/>
        </w:rPr>
      </w:pPr>
      <w:r>
        <w:rPr>
          <w:rFonts w:ascii="Times New Roman" w:hAnsi="Times New Roman"/>
          <w:noProof/>
        </w:rPr>
        <w:t>(Прогнозни данни, основани на прогнозата на Европейската комисия от пролетта на 2018 г.)</w:t>
      </w:r>
      <w:r>
        <w:rPr>
          <w:rStyle w:val="FootnoteReference"/>
          <w:rFonts w:ascii="Times New Roman" w:hAnsi="Times New Roman"/>
          <w:noProof/>
          <w:sz w:val="24"/>
        </w:rPr>
        <w:footnoteReference w:id="3"/>
      </w: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r>
        <w:rPr>
          <w:rFonts w:ascii="Times New Roman" w:hAnsi="Times New Roman"/>
          <w:b/>
          <w:noProof/>
          <w:sz w:val="24"/>
        </w:rPr>
        <w:t>Таблица 1: Преглед на основните икономически показатели за периода 2010—2019 г.</w:t>
      </w:r>
    </w:p>
    <w:p>
      <w:pPr>
        <w:spacing w:after="120"/>
        <w:jc w:val="both"/>
        <w:rPr>
          <w:rFonts w:ascii="Times New Roman" w:hAnsi="Times New Roman" w:cs="Times New Roman"/>
          <w:noProof/>
          <w:sz w:val="24"/>
          <w:szCs w:val="24"/>
          <w:highlight w:val="yellow"/>
        </w:rPr>
      </w:pPr>
      <w:r>
        <w:rPr>
          <w:noProof/>
          <w:lang w:val="en-US" w:eastAsia="en-US" w:bidi="ar-SA"/>
        </w:rPr>
        <w:drawing>
          <wp:inline distT="0" distB="0" distL="0" distR="0">
            <wp:extent cx="5760720" cy="4369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369274"/>
                    </a:xfrm>
                    <a:prstGeom prst="rect">
                      <a:avLst/>
                    </a:prstGeom>
                    <a:noFill/>
                    <a:ln>
                      <a:noFill/>
                    </a:ln>
                  </pic:spPr>
                </pic:pic>
              </a:graphicData>
            </a:graphic>
          </wp:inline>
        </w:drawing>
      </w:r>
    </w:p>
    <w:p>
      <w:pPr>
        <w:rPr>
          <w:noProof/>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rPr>
      </w:pPr>
      <w:r>
        <w:rPr>
          <w:rFonts w:ascii="Times New Roman" w:hAnsi="Times New Roman"/>
          <w:b/>
          <w:noProof/>
          <w:sz w:val="24"/>
        </w:rPr>
        <w:lastRenderedPageBreak/>
        <w:t>Таблица 2: Сметки на сектор „Държавно управление“ за периода 2016—2019 г. (% от БВП)</w:t>
      </w:r>
    </w:p>
    <w:p>
      <w:pPr>
        <w:spacing w:after="120"/>
        <w:jc w:val="both"/>
        <w:rPr>
          <w:rFonts w:ascii="Times New Roman" w:hAnsi="Times New Roman" w:cs="Times New Roman"/>
          <w:noProof/>
          <w:sz w:val="24"/>
          <w:szCs w:val="24"/>
          <w:highlight w:val="yellow"/>
        </w:rPr>
      </w:pPr>
      <w:r>
        <w:rPr>
          <w:noProof/>
          <w:lang w:val="en-US" w:eastAsia="en-US" w:bidi="ar-SA"/>
        </w:rPr>
        <w:drawing>
          <wp:inline distT="0" distB="0" distL="0" distR="0">
            <wp:extent cx="5760720" cy="4189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189336"/>
                    </a:xfrm>
                    <a:prstGeom prst="rect">
                      <a:avLst/>
                    </a:prstGeom>
                    <a:noFill/>
                    <a:ln>
                      <a:noFill/>
                    </a:ln>
                  </pic:spPr>
                </pic:pic>
              </a:graphicData>
            </a:graphic>
          </wp:inline>
        </w:drawing>
      </w:r>
    </w:p>
    <w:p>
      <w:pPr>
        <w:rPr>
          <w:noProof/>
          <w:highlight w:val="yellow"/>
        </w:rPr>
      </w:pPr>
    </w:p>
    <w:p>
      <w:pPr>
        <w:rPr>
          <w:noProof/>
          <w:highlight w:val="yellow"/>
        </w:rPr>
      </w:pPr>
    </w:p>
    <w:p>
      <w:pPr>
        <w:spacing w:after="120"/>
        <w:jc w:val="both"/>
        <w:rPr>
          <w:rFonts w:ascii="Times New Roman" w:hAnsi="Times New Roman" w:cs="Times New Roman"/>
          <w:b/>
          <w:noProof/>
          <w:sz w:val="24"/>
          <w:szCs w:val="24"/>
        </w:rPr>
      </w:pPr>
      <w:r>
        <w:rPr>
          <w:rFonts w:ascii="Times New Roman" w:hAnsi="Times New Roman"/>
          <w:b/>
          <w:noProof/>
          <w:sz w:val="24"/>
        </w:rPr>
        <w:t>Таблица 3: Циклична корекция на салдото по консолидирания държавен бюджет за периода 2010—2019 г. (% от БВП)</w:t>
      </w:r>
    </w:p>
    <w:p>
      <w:pPr>
        <w:rPr>
          <w:noProof/>
        </w:rPr>
      </w:pPr>
      <w:r>
        <w:rPr>
          <w:noProof/>
          <w:lang w:val="en-US" w:eastAsia="en-US" w:bidi="ar-SA"/>
        </w:rPr>
        <w:drawing>
          <wp:inline distT="0" distB="0" distL="0" distR="0">
            <wp:extent cx="5760720" cy="1513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13865"/>
                    </a:xfrm>
                    <a:prstGeom prst="rect">
                      <a:avLst/>
                    </a:prstGeom>
                    <a:noFill/>
                    <a:ln>
                      <a:noFill/>
                    </a:ln>
                  </pic:spPr>
                </pic:pic>
              </a:graphicData>
            </a:graphic>
          </wp:inline>
        </w:drawing>
      </w:r>
    </w:p>
    <w:p>
      <w:pPr>
        <w:spacing w:after="120"/>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Прогнозата на Комисията ще бъде актуализирана през ноември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F6054C-11C1-4AA6-B759-90DB514985BD"/>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85?\u1072? \u1050?\u1086?\u1084?\u1080?\u1089?\u1080?\u1103?\u1090?\u1072? \u1076?\u1086? \u1057?\u1098?\u1074?\u1077?\u1090?\u1072? \u1074? \u1089?\u1098?\u1086?\u1090?\u1074?\u1077?\u1090?\u1089?\u1090?\u1074?\u1080?\u1077? \u1089? \u1095?\u1083?\u1077?\u1085? 11, \u1087?\u1072?\u1088?\u1072?\u1075?\u1088?\u1072?\u1092? 2 \u1086?\u1090? \u1056?\u1077?\u1075?\u1083?\u1072?\u1084?\u1077?\u1085?\u1090? (\u1045?\u1054?) \u8470? 1466/97 \u1086?\u1090?\u1085?\u1086?\u1089?\u1085?\u1086? \u1084?\u1080?\u1089?\u1080?\u1103?\u1090?\u1072? \u1079?\u1072? \u1079?\u1072?\u1089?\u1080?\u1083?\u1077?\u1085?\u1086? \u1085?\u1072?\u1073?\u1083?\u1102?\u1076?\u1077?\u1085?\u1080?\u1077? \u1074? \u1056?\u1091?\u1084?\u1098?\u1085?\u1080?\u1103? \u1086?\u1090? 10-11 \u1072?\u1087?\u1088?\u1080?\u1083? 2018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F8BC-4519-43DC-A25B-825D07E0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8611</Characters>
  <Application>Microsoft Office Word</Application>
  <DocSecurity>0</DocSecurity>
  <Lines>156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2018-05-03T08:29:00Z</cp:lastPrinted>
  <dcterms:created xsi:type="dcterms:W3CDTF">2018-05-17T09:06:00Z</dcterms:created>
  <dcterms:modified xsi:type="dcterms:W3CDTF">2018-05-23T11:25:00Z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