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36" w:rsidRDefault="00A003ED" w:rsidP="00A003E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43B3594-084B-487E-B1D4-00EAE0EAB99C" style="width:450.25pt;height:444.9pt">
            <v:imagedata r:id="rId12" o:title=""/>
          </v:shape>
        </w:pict>
      </w:r>
    </w:p>
    <w:bookmarkEnd w:id="0"/>
    <w:p w:rsidR="00424A36" w:rsidRDefault="00424A36">
      <w:pPr>
        <w:rPr>
          <w:noProof/>
        </w:rPr>
        <w:sectPr w:rsidR="00424A36" w:rsidSect="00A003ED">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rsidR="00424A36">
        <w:tc>
          <w:tcPr>
            <w:tcW w:w="10188" w:type="dxa"/>
            <w:tcBorders>
              <w:bottom w:val="single" w:sz="4" w:space="0" w:color="auto"/>
            </w:tcBorders>
            <w:shd w:val="clear" w:color="auto" w:fill="CCCCCC"/>
          </w:tcPr>
          <w:p w:rsidR="00424A36" w:rsidRDefault="00A003ED">
            <w:pPr>
              <w:tabs>
                <w:tab w:val="left" w:pos="2309"/>
              </w:tabs>
              <w:spacing w:before="60" w:after="60"/>
              <w:jc w:val="center"/>
              <w:rPr>
                <w:rFonts w:ascii="Tahoma" w:hAnsi="Tahoma" w:cs="Tahoma"/>
                <w:b/>
                <w:noProof/>
                <w:sz w:val="20"/>
                <w:szCs w:val="20"/>
              </w:rPr>
            </w:pPr>
            <w:bookmarkStart w:id="1" w:name="_GoBack"/>
            <w:bookmarkEnd w:id="1"/>
            <w:r>
              <w:rPr>
                <w:rFonts w:ascii="Tahoma" w:hAnsi="Tahoma"/>
                <w:b/>
                <w:noProof/>
                <w:sz w:val="20"/>
              </w:rPr>
              <w:lastRenderedPageBreak/>
              <w:t>Résumé de l’analyse d’impact</w:t>
            </w:r>
          </w:p>
        </w:tc>
      </w:tr>
      <w:tr w:rsidR="00424A36">
        <w:trPr>
          <w:trHeight w:val="574"/>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424A36" w:rsidRDefault="00A003ED">
            <w:pPr>
              <w:spacing w:before="20"/>
              <w:jc w:val="center"/>
              <w:rPr>
                <w:rFonts w:ascii="Tahoma" w:hAnsi="Tahoma" w:cs="Tahoma"/>
                <w:b/>
                <w:noProof/>
                <w:sz w:val="20"/>
              </w:rPr>
            </w:pPr>
            <w:r>
              <w:rPr>
                <w:rFonts w:ascii="Tahoma" w:hAnsi="Tahoma"/>
                <w:b/>
                <w:noProof/>
                <w:color w:val="FFFFFF" w:themeColor="background1"/>
                <w:sz w:val="20"/>
              </w:rPr>
              <w:t xml:space="preserve">Analyse d’impact concernant une proposition </w:t>
            </w:r>
            <w:r>
              <w:rPr>
                <w:rFonts w:ascii="Tahoma" w:hAnsi="Tahoma" w:cs="Tahoma"/>
                <w:b/>
                <w:noProof/>
                <w:color w:val="FFFFFF" w:themeColor="background1"/>
                <w:sz w:val="20"/>
              </w:rPr>
              <w:br/>
            </w:r>
            <w:r>
              <w:rPr>
                <w:rFonts w:ascii="Tahoma" w:hAnsi="Tahoma"/>
                <w:b/>
                <w:noProof/>
                <w:color w:val="FFFFFF" w:themeColor="background1"/>
                <w:sz w:val="20"/>
              </w:rPr>
              <w:t xml:space="preserve">relative à l’amélioration de l’accès transfrontière aux preuves </w:t>
            </w:r>
            <w:r>
              <w:rPr>
                <w:rFonts w:ascii="Tahoma" w:hAnsi="Tahoma"/>
                <w:b/>
                <w:noProof/>
                <w:color w:val="FFFFFF" w:themeColor="background1"/>
                <w:sz w:val="20"/>
              </w:rPr>
              <w:t>électroniques en matière pénale</w:t>
            </w:r>
          </w:p>
        </w:tc>
      </w:tr>
      <w:tr w:rsidR="00424A36">
        <w:tc>
          <w:tcPr>
            <w:tcW w:w="10188" w:type="dxa"/>
            <w:tcBorders>
              <w:bottom w:val="single" w:sz="4" w:space="0" w:color="auto"/>
            </w:tcBorders>
            <w:shd w:val="clear" w:color="auto" w:fill="CCCCCC"/>
          </w:tcPr>
          <w:p w:rsidR="00424A36" w:rsidRDefault="00A003ED">
            <w:pPr>
              <w:tabs>
                <w:tab w:val="left" w:pos="2309"/>
              </w:tabs>
              <w:spacing w:before="60" w:after="60"/>
              <w:rPr>
                <w:rFonts w:ascii="Tahoma" w:hAnsi="Tahoma" w:cs="Tahoma"/>
                <w:b/>
                <w:noProof/>
                <w:sz w:val="20"/>
                <w:szCs w:val="20"/>
              </w:rPr>
            </w:pPr>
            <w:r>
              <w:rPr>
                <w:rFonts w:ascii="Tahoma" w:hAnsi="Tahoma"/>
                <w:b/>
                <w:noProof/>
                <w:sz w:val="20"/>
              </w:rPr>
              <w:t>A. Nécessité d’une action</w:t>
            </w:r>
            <w:r>
              <w:rPr>
                <w:noProof/>
              </w:rPr>
              <w:tab/>
            </w:r>
          </w:p>
        </w:tc>
      </w:tr>
      <w:tr w:rsidR="00424A36">
        <w:tc>
          <w:tcPr>
            <w:tcW w:w="10188" w:type="dxa"/>
            <w:tcBorders>
              <w:bottom w:val="single" w:sz="4" w:space="0" w:color="auto"/>
            </w:tcBorders>
            <w:shd w:val="clear" w:color="auto" w:fill="E0E0E0"/>
          </w:tcPr>
          <w:p w:rsidR="00424A36" w:rsidRDefault="00A003ED">
            <w:pPr>
              <w:pStyle w:val="Default"/>
              <w:spacing w:before="20" w:after="20"/>
              <w:jc w:val="both"/>
              <w:rPr>
                <w:rFonts w:ascii="Tahoma" w:hAnsi="Tahoma" w:cs="Tahoma"/>
                <w:noProof/>
                <w:sz w:val="20"/>
                <w:szCs w:val="20"/>
              </w:rPr>
            </w:pPr>
            <w:r>
              <w:rPr>
                <w:rFonts w:ascii="Tahoma" w:hAnsi="Tahoma"/>
                <w:b/>
                <w:noProof/>
                <w:sz w:val="20"/>
              </w:rPr>
              <w:t xml:space="preserve">Quel est le problème et pourquoi en est-ce un au niveau de l’UE? </w:t>
            </w:r>
          </w:p>
        </w:tc>
      </w:tr>
      <w:tr w:rsidR="00424A36">
        <w:trPr>
          <w:trHeight w:val="3340"/>
        </w:trPr>
        <w:tc>
          <w:tcPr>
            <w:tcW w:w="10188" w:type="dxa"/>
            <w:tcBorders>
              <w:bottom w:val="single" w:sz="4" w:space="0" w:color="auto"/>
            </w:tcBorders>
            <w:shd w:val="clear" w:color="auto" w:fill="auto"/>
          </w:tcPr>
          <w:p w:rsidR="00424A36" w:rsidRDefault="00A003ED">
            <w:pPr>
              <w:spacing w:before="60"/>
              <w:jc w:val="both"/>
              <w:rPr>
                <w:rFonts w:ascii="Tahoma" w:hAnsi="Tahoma" w:cs="Tahoma"/>
                <w:b/>
                <w:noProof/>
                <w:sz w:val="20"/>
                <w:szCs w:val="20"/>
              </w:rPr>
            </w:pPr>
            <w:r>
              <w:rPr>
                <w:rFonts w:ascii="Tahoma" w:hAnsi="Tahoma"/>
                <w:b/>
                <w:noProof/>
                <w:sz w:val="20"/>
              </w:rPr>
              <w:t>Les difficultés</w:t>
            </w:r>
            <w:r>
              <w:rPr>
                <w:rFonts w:ascii="Tahoma" w:hAnsi="Tahoma"/>
                <w:noProof/>
                <w:sz w:val="20"/>
              </w:rPr>
              <w:t xml:space="preserve"> dans </w:t>
            </w:r>
            <w:r>
              <w:rPr>
                <w:rFonts w:ascii="Tahoma" w:hAnsi="Tahoma"/>
                <w:b/>
                <w:noProof/>
                <w:sz w:val="20"/>
              </w:rPr>
              <w:t>l’accès transfrontière aux preuves électroniques</w:t>
            </w:r>
            <w:r>
              <w:rPr>
                <w:rFonts w:ascii="Tahoma" w:hAnsi="Tahoma"/>
                <w:noProof/>
                <w:sz w:val="20"/>
              </w:rPr>
              <w:t xml:space="preserve"> entravent actuellement l’efficacité des enquêtes et des poursuites visant les activités criminelles dans l’Union. On observe un manque d’efficience dans la coopération judiciaire entre les autorités publiques, dans la coopération directe entre les autorit</w:t>
            </w:r>
            <w:r>
              <w:rPr>
                <w:rFonts w:ascii="Tahoma" w:hAnsi="Tahoma"/>
                <w:noProof/>
                <w:sz w:val="20"/>
              </w:rPr>
              <w:t>és publiques et les fournisseurs de services, ainsi que dans l’accès direct des autorités publiques aux preuves électroniques.</w:t>
            </w:r>
            <w:r>
              <w:rPr>
                <w:rFonts w:ascii="Tahoma" w:hAnsi="Tahoma"/>
                <w:b/>
                <w:noProof/>
                <w:sz w:val="20"/>
              </w:rPr>
              <w:t xml:space="preserve"> </w:t>
            </w:r>
            <w:r>
              <w:rPr>
                <w:rFonts w:ascii="Tahoma" w:hAnsi="Tahoma"/>
                <w:noProof/>
                <w:sz w:val="20"/>
              </w:rPr>
              <w:t>Par conséquent, des enquêtes sont bloquées, des délits restent impunis, les victimes sont moins bien protégées et les citoyens de</w:t>
            </w:r>
            <w:r>
              <w:rPr>
                <w:rFonts w:ascii="Tahoma" w:hAnsi="Tahoma"/>
                <w:noProof/>
                <w:sz w:val="20"/>
              </w:rPr>
              <w:t xml:space="preserve"> l’Union se sentent moins en sécurité.</w:t>
            </w:r>
          </w:p>
          <w:p w:rsidR="00424A36" w:rsidRDefault="00A003ED">
            <w:pPr>
              <w:spacing w:before="120" w:line="276" w:lineRule="auto"/>
              <w:jc w:val="both"/>
              <w:rPr>
                <w:rFonts w:ascii="Tahoma" w:hAnsi="Tahoma" w:cs="Tahoma"/>
                <w:noProof/>
                <w:sz w:val="20"/>
                <w:szCs w:val="20"/>
              </w:rPr>
            </w:pPr>
            <w:r>
              <w:rPr>
                <w:rFonts w:ascii="Tahoma" w:hAnsi="Tahoma"/>
                <w:noProof/>
                <w:sz w:val="20"/>
              </w:rPr>
              <w:t>L’analyse d’impact fait ressortir trois types de problèmes:</w:t>
            </w:r>
          </w:p>
          <w:p w:rsidR="00424A36" w:rsidRDefault="00A003ED">
            <w:pPr>
              <w:pStyle w:val="ListParagraph"/>
              <w:numPr>
                <w:ilvl w:val="0"/>
                <w:numId w:val="2"/>
              </w:numPr>
              <w:spacing w:after="200" w:line="276" w:lineRule="auto"/>
              <w:jc w:val="both"/>
              <w:rPr>
                <w:rFonts w:ascii="Tahoma" w:hAnsi="Tahoma" w:cs="Tahoma"/>
                <w:noProof/>
                <w:sz w:val="20"/>
                <w:szCs w:val="20"/>
              </w:rPr>
            </w:pPr>
            <w:r>
              <w:rPr>
                <w:rFonts w:ascii="Tahoma" w:hAnsi="Tahoma"/>
                <w:noProof/>
                <w:sz w:val="20"/>
              </w:rPr>
              <w:t xml:space="preserve">Dans le cadre des procédures existantes en matière de </w:t>
            </w:r>
            <w:r>
              <w:rPr>
                <w:rFonts w:ascii="Tahoma" w:hAnsi="Tahoma"/>
                <w:b/>
                <w:noProof/>
                <w:sz w:val="20"/>
              </w:rPr>
              <w:t>coopération judiciaire</w:t>
            </w:r>
            <w:r>
              <w:rPr>
                <w:rFonts w:ascii="Tahoma" w:hAnsi="Tahoma"/>
                <w:noProof/>
                <w:sz w:val="20"/>
              </w:rPr>
              <w:t xml:space="preserve">, l’accès transfrontière aux preuves électroniques prend </w:t>
            </w:r>
            <w:r>
              <w:rPr>
                <w:rFonts w:ascii="Tahoma" w:hAnsi="Tahoma"/>
                <w:b/>
                <w:noProof/>
                <w:sz w:val="20"/>
              </w:rPr>
              <w:t>trop de temps</w:t>
            </w:r>
            <w:r>
              <w:rPr>
                <w:rFonts w:ascii="Tahoma" w:hAnsi="Tahoma"/>
                <w:noProof/>
                <w:sz w:val="20"/>
              </w:rPr>
              <w:t xml:space="preserve">, ce qui </w:t>
            </w:r>
            <w:r>
              <w:rPr>
                <w:rFonts w:ascii="Tahoma" w:hAnsi="Tahoma"/>
                <w:noProof/>
                <w:sz w:val="20"/>
              </w:rPr>
              <w:t>réduit l’efficacité des enquêtes et des poursuites.</w:t>
            </w:r>
          </w:p>
          <w:p w:rsidR="00424A36" w:rsidRDefault="00A003ED">
            <w:pPr>
              <w:pStyle w:val="ListParagraph"/>
              <w:numPr>
                <w:ilvl w:val="0"/>
                <w:numId w:val="2"/>
              </w:numPr>
              <w:spacing w:after="200" w:line="276" w:lineRule="auto"/>
              <w:jc w:val="both"/>
              <w:rPr>
                <w:rFonts w:ascii="Tahoma" w:hAnsi="Tahoma" w:cs="Tahoma"/>
                <w:noProof/>
                <w:sz w:val="20"/>
                <w:szCs w:val="20"/>
              </w:rPr>
            </w:pPr>
            <w:r>
              <w:rPr>
                <w:rFonts w:ascii="Tahoma" w:hAnsi="Tahoma"/>
                <w:noProof/>
                <w:sz w:val="20"/>
              </w:rPr>
              <w:t xml:space="preserve">Les inefficacités dans la </w:t>
            </w:r>
            <w:r>
              <w:rPr>
                <w:rFonts w:ascii="Tahoma" w:hAnsi="Tahoma"/>
                <w:b/>
                <w:noProof/>
                <w:sz w:val="20"/>
              </w:rPr>
              <w:t>coopération public-privé</w:t>
            </w:r>
            <w:r>
              <w:rPr>
                <w:rFonts w:ascii="Tahoma" w:hAnsi="Tahoma"/>
                <w:noProof/>
                <w:sz w:val="20"/>
              </w:rPr>
              <w:t xml:space="preserve"> entre les fournisseurs de services et les autorités publiques entravent l’efficacité des enquêtes et des poursuites.</w:t>
            </w:r>
          </w:p>
          <w:p w:rsidR="00424A36" w:rsidRDefault="00A003ED">
            <w:pPr>
              <w:pStyle w:val="ListParagraph"/>
              <w:numPr>
                <w:ilvl w:val="0"/>
                <w:numId w:val="2"/>
              </w:numPr>
              <w:spacing w:line="276" w:lineRule="auto"/>
              <w:jc w:val="both"/>
              <w:rPr>
                <w:rFonts w:ascii="Tahoma" w:hAnsi="Tahoma" w:cs="Tahoma"/>
                <w:noProof/>
                <w:sz w:val="20"/>
                <w:szCs w:val="20"/>
              </w:rPr>
            </w:pPr>
            <w:r>
              <w:rPr>
                <w:rFonts w:ascii="Tahoma" w:hAnsi="Tahoma"/>
                <w:noProof/>
                <w:sz w:val="20"/>
              </w:rPr>
              <w:t>Les lacunes dans la détermination de</w:t>
            </w:r>
            <w:r>
              <w:rPr>
                <w:rFonts w:ascii="Tahoma" w:hAnsi="Tahoma"/>
                <w:noProof/>
                <w:sz w:val="20"/>
              </w:rPr>
              <w:t xml:space="preserve"> la </w:t>
            </w:r>
            <w:r>
              <w:rPr>
                <w:rFonts w:ascii="Tahoma" w:hAnsi="Tahoma"/>
                <w:b/>
                <w:noProof/>
                <w:sz w:val="20"/>
              </w:rPr>
              <w:t>compétence</w:t>
            </w:r>
            <w:r>
              <w:rPr>
                <w:rFonts w:ascii="Tahoma" w:hAnsi="Tahoma"/>
                <w:noProof/>
                <w:sz w:val="20"/>
              </w:rPr>
              <w:t xml:space="preserve"> peuvent nuire à l’efficacité des enquêtes et des poursuites transfrontières. </w:t>
            </w:r>
          </w:p>
        </w:tc>
      </w:tr>
      <w:tr w:rsidR="00424A36">
        <w:tc>
          <w:tcPr>
            <w:tcW w:w="10188" w:type="dxa"/>
            <w:tcBorders>
              <w:bottom w:val="single" w:sz="4" w:space="0" w:color="auto"/>
            </w:tcBorders>
            <w:shd w:val="clear" w:color="auto" w:fill="E6E6E6"/>
          </w:tcPr>
          <w:p w:rsidR="00424A36" w:rsidRDefault="00A003ED">
            <w:pPr>
              <w:pStyle w:val="Default"/>
              <w:spacing w:before="20" w:after="20"/>
              <w:jc w:val="both"/>
              <w:rPr>
                <w:rFonts w:ascii="Tahoma" w:hAnsi="Tahoma" w:cs="Tahoma"/>
                <w:noProof/>
                <w:sz w:val="20"/>
                <w:szCs w:val="20"/>
              </w:rPr>
            </w:pPr>
            <w:r>
              <w:rPr>
                <w:rFonts w:ascii="Tahoma" w:hAnsi="Tahoma"/>
                <w:b/>
                <w:noProof/>
                <w:sz w:val="20"/>
              </w:rPr>
              <w:t xml:space="preserve">Quels sont les objectifs de cette initiative? </w:t>
            </w:r>
          </w:p>
        </w:tc>
      </w:tr>
      <w:tr w:rsidR="00424A36">
        <w:trPr>
          <w:trHeight w:val="2142"/>
        </w:trPr>
        <w:tc>
          <w:tcPr>
            <w:tcW w:w="10188" w:type="dxa"/>
            <w:tcBorders>
              <w:bottom w:val="single" w:sz="4" w:space="0" w:color="auto"/>
            </w:tcBorders>
            <w:shd w:val="clear" w:color="auto" w:fill="auto"/>
          </w:tcPr>
          <w:p w:rsidR="00424A36" w:rsidRDefault="00A003ED">
            <w:pPr>
              <w:spacing w:before="60" w:after="60"/>
              <w:jc w:val="both"/>
              <w:rPr>
                <w:rFonts w:ascii="Tahoma" w:hAnsi="Tahoma" w:cs="Tahoma"/>
                <w:noProof/>
                <w:sz w:val="20"/>
                <w:szCs w:val="20"/>
              </w:rPr>
            </w:pPr>
            <w:r>
              <w:rPr>
                <w:rFonts w:ascii="Tahoma" w:hAnsi="Tahoma"/>
                <w:noProof/>
                <w:sz w:val="20"/>
              </w:rPr>
              <w:t xml:space="preserve">L’objectif </w:t>
            </w:r>
            <w:r>
              <w:rPr>
                <w:rFonts w:ascii="Tahoma" w:hAnsi="Tahoma"/>
                <w:b/>
                <w:noProof/>
                <w:sz w:val="20"/>
              </w:rPr>
              <w:t xml:space="preserve">général </w:t>
            </w:r>
            <w:r>
              <w:rPr>
                <w:rFonts w:ascii="Tahoma" w:hAnsi="Tahoma"/>
                <w:noProof/>
                <w:sz w:val="20"/>
              </w:rPr>
              <w:t>consiste à assurer l’efficacité des enquêtes et des poursuites visant les activités criminelles</w:t>
            </w:r>
            <w:r>
              <w:rPr>
                <w:rFonts w:ascii="Tahoma" w:hAnsi="Tahoma"/>
                <w:noProof/>
                <w:sz w:val="20"/>
              </w:rPr>
              <w:t xml:space="preserve"> dans l’Union en améliorant l’accès transfrontière aux preuves électroniques par un renforcement de la coopération judiciaire en matière pénale et un rapprochement des règles et procédures.</w:t>
            </w:r>
          </w:p>
          <w:p w:rsidR="00424A36" w:rsidRDefault="00A003ED">
            <w:pPr>
              <w:spacing w:line="276" w:lineRule="auto"/>
              <w:jc w:val="both"/>
              <w:rPr>
                <w:rFonts w:ascii="Tahoma" w:hAnsi="Tahoma" w:cs="Tahoma"/>
                <w:noProof/>
                <w:sz w:val="20"/>
                <w:szCs w:val="20"/>
              </w:rPr>
            </w:pPr>
            <w:r>
              <w:rPr>
                <w:rFonts w:ascii="Tahoma" w:hAnsi="Tahoma"/>
                <w:noProof/>
                <w:sz w:val="20"/>
              </w:rPr>
              <w:t xml:space="preserve">Les objectifs </w:t>
            </w:r>
            <w:r>
              <w:rPr>
                <w:rFonts w:ascii="Tahoma" w:hAnsi="Tahoma"/>
                <w:b/>
                <w:noProof/>
                <w:sz w:val="20"/>
              </w:rPr>
              <w:t>spécifiques</w:t>
            </w:r>
            <w:r>
              <w:rPr>
                <w:rFonts w:ascii="Tahoma" w:hAnsi="Tahoma"/>
                <w:noProof/>
                <w:sz w:val="20"/>
              </w:rPr>
              <w:t xml:space="preserve"> sont au nombre de trois: </w:t>
            </w:r>
          </w:p>
          <w:p w:rsidR="00424A36" w:rsidRDefault="00A003ED">
            <w:pPr>
              <w:pStyle w:val="ListParagraph"/>
              <w:numPr>
                <w:ilvl w:val="0"/>
                <w:numId w:val="1"/>
              </w:numPr>
              <w:spacing w:line="276" w:lineRule="auto"/>
              <w:contextualSpacing w:val="0"/>
              <w:jc w:val="both"/>
              <w:rPr>
                <w:rFonts w:ascii="Tahoma" w:hAnsi="Tahoma" w:cs="Tahoma"/>
                <w:noProof/>
                <w:sz w:val="20"/>
                <w:szCs w:val="20"/>
              </w:rPr>
            </w:pPr>
            <w:r>
              <w:rPr>
                <w:rFonts w:ascii="Tahoma" w:hAnsi="Tahoma"/>
                <w:b/>
                <w:noProof/>
                <w:sz w:val="20"/>
              </w:rPr>
              <w:t>réduire les dé</w:t>
            </w:r>
            <w:r>
              <w:rPr>
                <w:rFonts w:ascii="Tahoma" w:hAnsi="Tahoma"/>
                <w:b/>
                <w:noProof/>
                <w:sz w:val="20"/>
              </w:rPr>
              <w:t>lais</w:t>
            </w:r>
            <w:r>
              <w:rPr>
                <w:rFonts w:ascii="Tahoma" w:hAnsi="Tahoma"/>
                <w:noProof/>
                <w:sz w:val="20"/>
              </w:rPr>
              <w:t xml:space="preserve"> dans l’accès transfrontière aux preuves électroniques;</w:t>
            </w:r>
          </w:p>
          <w:p w:rsidR="00424A36" w:rsidRDefault="00A003ED">
            <w:pPr>
              <w:pStyle w:val="ListParagraph"/>
              <w:numPr>
                <w:ilvl w:val="0"/>
                <w:numId w:val="1"/>
              </w:numPr>
              <w:spacing w:line="276" w:lineRule="auto"/>
              <w:contextualSpacing w:val="0"/>
              <w:jc w:val="both"/>
              <w:rPr>
                <w:rFonts w:ascii="Tahoma" w:hAnsi="Tahoma" w:cs="Tahoma"/>
                <w:noProof/>
                <w:sz w:val="20"/>
                <w:szCs w:val="20"/>
              </w:rPr>
            </w:pPr>
            <w:r>
              <w:rPr>
                <w:rFonts w:ascii="Tahoma" w:hAnsi="Tahoma"/>
                <w:b/>
                <w:noProof/>
                <w:sz w:val="20"/>
              </w:rPr>
              <w:t>assurer l’accès</w:t>
            </w:r>
            <w:r>
              <w:rPr>
                <w:rFonts w:ascii="Tahoma" w:hAnsi="Tahoma"/>
                <w:noProof/>
                <w:sz w:val="20"/>
              </w:rPr>
              <w:t xml:space="preserve"> transfrontière aux preuves électroniques là où il fait </w:t>
            </w:r>
            <w:r>
              <w:rPr>
                <w:rFonts w:ascii="Tahoma" w:hAnsi="Tahoma"/>
                <w:b/>
                <w:noProof/>
                <w:sz w:val="20"/>
              </w:rPr>
              <w:t>actuellement défaut;</w:t>
            </w:r>
          </w:p>
          <w:p w:rsidR="00424A36" w:rsidRDefault="00A003ED">
            <w:pPr>
              <w:pStyle w:val="ListParagraph"/>
              <w:numPr>
                <w:ilvl w:val="0"/>
                <w:numId w:val="1"/>
              </w:numPr>
              <w:spacing w:after="120" w:line="276" w:lineRule="auto"/>
              <w:ind w:left="714" w:hanging="357"/>
              <w:contextualSpacing w:val="0"/>
              <w:jc w:val="both"/>
              <w:rPr>
                <w:rFonts w:ascii="Tahoma" w:hAnsi="Tahoma" w:cs="Tahoma"/>
                <w:b/>
                <w:noProof/>
                <w:sz w:val="20"/>
                <w:szCs w:val="20"/>
              </w:rPr>
            </w:pPr>
            <w:r>
              <w:rPr>
                <w:rFonts w:ascii="Tahoma" w:hAnsi="Tahoma"/>
                <w:noProof/>
                <w:sz w:val="20"/>
              </w:rPr>
              <w:t xml:space="preserve">améliorer la </w:t>
            </w:r>
            <w:r>
              <w:rPr>
                <w:rFonts w:ascii="Tahoma" w:hAnsi="Tahoma"/>
                <w:b/>
                <w:noProof/>
                <w:sz w:val="20"/>
              </w:rPr>
              <w:t>sécurité juridique</w:t>
            </w:r>
            <w:r>
              <w:rPr>
                <w:rFonts w:ascii="Tahoma" w:hAnsi="Tahoma"/>
                <w:noProof/>
                <w:sz w:val="20"/>
              </w:rPr>
              <w:t xml:space="preserve">, la </w:t>
            </w:r>
            <w:r>
              <w:rPr>
                <w:rFonts w:ascii="Tahoma" w:hAnsi="Tahoma"/>
                <w:b/>
                <w:noProof/>
                <w:sz w:val="20"/>
              </w:rPr>
              <w:t>protection des droits fondamentaux</w:t>
            </w:r>
            <w:r>
              <w:rPr>
                <w:rFonts w:ascii="Tahoma" w:hAnsi="Tahoma"/>
                <w:noProof/>
                <w:sz w:val="20"/>
              </w:rPr>
              <w:t>, la</w:t>
            </w:r>
            <w:r>
              <w:rPr>
                <w:rFonts w:ascii="Tahoma" w:hAnsi="Tahoma"/>
                <w:b/>
                <w:noProof/>
                <w:sz w:val="20"/>
              </w:rPr>
              <w:t xml:space="preserve"> transparence </w:t>
            </w:r>
            <w:r>
              <w:rPr>
                <w:rFonts w:ascii="Tahoma" w:hAnsi="Tahoma"/>
                <w:noProof/>
                <w:sz w:val="20"/>
              </w:rPr>
              <w:t>et l'</w:t>
            </w:r>
            <w:r>
              <w:rPr>
                <w:rFonts w:ascii="Tahoma" w:hAnsi="Tahoma"/>
                <w:b/>
                <w:noProof/>
                <w:sz w:val="20"/>
              </w:rPr>
              <w:t xml:space="preserve">obligation </w:t>
            </w:r>
            <w:r>
              <w:rPr>
                <w:rFonts w:ascii="Tahoma" w:hAnsi="Tahoma"/>
                <w:b/>
                <w:noProof/>
                <w:sz w:val="20"/>
              </w:rPr>
              <w:t>de rendre des comptes.</w:t>
            </w:r>
          </w:p>
        </w:tc>
      </w:tr>
      <w:tr w:rsidR="00424A36">
        <w:tc>
          <w:tcPr>
            <w:tcW w:w="10188" w:type="dxa"/>
            <w:tcBorders>
              <w:bottom w:val="single" w:sz="4" w:space="0" w:color="auto"/>
            </w:tcBorders>
            <w:shd w:val="clear" w:color="auto" w:fill="E6E6E6"/>
          </w:tcPr>
          <w:p w:rsidR="00424A36" w:rsidRDefault="00A003ED">
            <w:pPr>
              <w:pStyle w:val="Default"/>
              <w:spacing w:before="20" w:after="20"/>
              <w:jc w:val="both"/>
              <w:rPr>
                <w:rFonts w:ascii="Tahoma" w:hAnsi="Tahoma" w:cs="Tahoma"/>
                <w:noProof/>
                <w:sz w:val="20"/>
                <w:szCs w:val="20"/>
              </w:rPr>
            </w:pPr>
            <w:r>
              <w:rPr>
                <w:rFonts w:ascii="Tahoma" w:hAnsi="Tahoma"/>
                <w:b/>
                <w:noProof/>
                <w:sz w:val="20"/>
              </w:rPr>
              <w:t xml:space="preserve">Quelle est la valeur ajoutée de l’action au niveau de l’UE? (subsidiarité) </w:t>
            </w:r>
          </w:p>
        </w:tc>
      </w:tr>
      <w:tr w:rsidR="00424A36">
        <w:trPr>
          <w:trHeight w:val="1750"/>
        </w:trPr>
        <w:tc>
          <w:tcPr>
            <w:tcW w:w="10188" w:type="dxa"/>
            <w:tcBorders>
              <w:bottom w:val="single" w:sz="4" w:space="0" w:color="auto"/>
            </w:tcBorders>
            <w:shd w:val="clear" w:color="auto" w:fill="auto"/>
          </w:tcPr>
          <w:p w:rsidR="00424A36" w:rsidRDefault="00A003ED">
            <w:pPr>
              <w:spacing w:before="60"/>
              <w:jc w:val="both"/>
              <w:rPr>
                <w:rFonts w:ascii="Tahoma" w:hAnsi="Tahoma" w:cs="Tahoma"/>
                <w:noProof/>
                <w:sz w:val="20"/>
                <w:szCs w:val="20"/>
              </w:rPr>
            </w:pPr>
            <w:r>
              <w:rPr>
                <w:rFonts w:ascii="Tahoma" w:hAnsi="Tahoma"/>
                <w:noProof/>
                <w:sz w:val="20"/>
              </w:rPr>
              <w:t xml:space="preserve">Dès lors que la présente initiative concerne des questions </w:t>
            </w:r>
            <w:r>
              <w:rPr>
                <w:rFonts w:ascii="Tahoma" w:hAnsi="Tahoma"/>
                <w:b/>
                <w:noProof/>
                <w:sz w:val="20"/>
              </w:rPr>
              <w:t>transfrontières</w:t>
            </w:r>
            <w:r>
              <w:rPr>
                <w:rFonts w:ascii="Tahoma" w:hAnsi="Tahoma"/>
                <w:noProof/>
                <w:sz w:val="20"/>
              </w:rPr>
              <w:t xml:space="preserve">, les problèmes en cause ne peuvent être résolus par l’action individuelle des États membres. De plus, compte tenu de la diversité des approches juridiques, du nombre de domaines d’action concernés (sécurité, droit pénal, droits fondamentaux, y compris la </w:t>
            </w:r>
            <w:r>
              <w:rPr>
                <w:rFonts w:ascii="Tahoma" w:hAnsi="Tahoma"/>
                <w:noProof/>
                <w:sz w:val="20"/>
              </w:rPr>
              <w:t xml:space="preserve">protection des données, questions économiques) et du large éventail de parties prenantes, l’Union est le niveau le plus approprié pour régler les problèmes recensés. </w:t>
            </w:r>
          </w:p>
          <w:p w:rsidR="00424A36" w:rsidRDefault="00A003ED">
            <w:pPr>
              <w:spacing w:after="120"/>
              <w:jc w:val="both"/>
              <w:rPr>
                <w:rFonts w:ascii="Tahoma" w:hAnsi="Tahoma" w:cs="Tahoma"/>
                <w:noProof/>
                <w:sz w:val="20"/>
                <w:szCs w:val="20"/>
              </w:rPr>
            </w:pPr>
            <w:r>
              <w:rPr>
                <w:rFonts w:ascii="Tahoma" w:hAnsi="Tahoma"/>
                <w:noProof/>
                <w:sz w:val="20"/>
              </w:rPr>
              <w:t xml:space="preserve">Une action à l’échelon de l’Union facilite également la coopération avec les pays tiers, </w:t>
            </w:r>
            <w:r>
              <w:rPr>
                <w:rFonts w:ascii="Tahoma" w:hAnsi="Tahoma"/>
                <w:noProof/>
                <w:sz w:val="20"/>
              </w:rPr>
              <w:t>et en particulier avec les États-Unis. Cet aspect est important, étant donné que la nécessité d’accéder aux preuves électroniques au niveau international dépasse souvent les frontières de l’Union.</w:t>
            </w:r>
          </w:p>
        </w:tc>
      </w:tr>
      <w:tr w:rsidR="00424A36">
        <w:tc>
          <w:tcPr>
            <w:tcW w:w="10188" w:type="dxa"/>
            <w:tcBorders>
              <w:bottom w:val="single" w:sz="4" w:space="0" w:color="auto"/>
            </w:tcBorders>
            <w:shd w:val="clear" w:color="auto" w:fill="CCCCCC"/>
          </w:tcPr>
          <w:p w:rsidR="00424A36" w:rsidRDefault="00A003ED">
            <w:pPr>
              <w:spacing w:before="60" w:after="60"/>
              <w:rPr>
                <w:rFonts w:ascii="Tahoma" w:hAnsi="Tahoma" w:cs="Tahoma"/>
                <w:b/>
                <w:noProof/>
                <w:sz w:val="20"/>
                <w:szCs w:val="20"/>
              </w:rPr>
            </w:pPr>
            <w:r>
              <w:rPr>
                <w:rFonts w:ascii="Tahoma" w:hAnsi="Tahoma"/>
                <w:b/>
                <w:noProof/>
                <w:sz w:val="20"/>
              </w:rPr>
              <w:t>B. Les solutions</w:t>
            </w:r>
          </w:p>
        </w:tc>
      </w:tr>
      <w:tr w:rsidR="00424A36">
        <w:tc>
          <w:tcPr>
            <w:tcW w:w="10188" w:type="dxa"/>
            <w:tcBorders>
              <w:bottom w:val="single" w:sz="4" w:space="0" w:color="auto"/>
            </w:tcBorders>
            <w:shd w:val="clear" w:color="auto" w:fill="E6E6E6"/>
          </w:tcPr>
          <w:p w:rsidR="00424A36" w:rsidRDefault="00A003ED">
            <w:pPr>
              <w:pStyle w:val="Default"/>
              <w:jc w:val="both"/>
              <w:rPr>
                <w:rFonts w:ascii="Tahoma" w:hAnsi="Tahoma" w:cs="Tahoma"/>
                <w:noProof/>
                <w:sz w:val="20"/>
                <w:szCs w:val="20"/>
              </w:rPr>
            </w:pPr>
            <w:r>
              <w:rPr>
                <w:rFonts w:ascii="Tahoma" w:hAnsi="Tahoma"/>
                <w:b/>
                <w:noProof/>
                <w:sz w:val="20"/>
              </w:rPr>
              <w:t xml:space="preserve">Quelles sont les différentes options pour atteindre les objectifs? Y a-t-il une option privilégiée? Dans la négative, pourquoi pas? </w:t>
            </w:r>
          </w:p>
        </w:tc>
      </w:tr>
      <w:tr w:rsidR="00424A36">
        <w:trPr>
          <w:trHeight w:val="1817"/>
        </w:trPr>
        <w:tc>
          <w:tcPr>
            <w:tcW w:w="10188" w:type="dxa"/>
            <w:tcBorders>
              <w:bottom w:val="single" w:sz="4" w:space="0" w:color="auto"/>
            </w:tcBorders>
            <w:shd w:val="clear" w:color="auto" w:fill="auto"/>
          </w:tcPr>
          <w:p w:rsidR="00424A36" w:rsidRDefault="00A003ED">
            <w:pPr>
              <w:ind w:left="1134" w:hanging="1134"/>
              <w:rPr>
                <w:rFonts w:ascii="Tahoma" w:hAnsi="Tahoma" w:cs="Tahoma"/>
                <w:noProof/>
                <w:sz w:val="20"/>
                <w:szCs w:val="20"/>
              </w:rPr>
            </w:pPr>
            <w:bookmarkStart w:id="2" w:name="_Toc485620419"/>
            <w:r>
              <w:rPr>
                <w:rFonts w:ascii="Tahoma" w:hAnsi="Tahoma"/>
                <w:b/>
                <w:noProof/>
                <w:sz w:val="20"/>
              </w:rPr>
              <w:t>Option A</w:t>
            </w:r>
            <w:r>
              <w:rPr>
                <w:rFonts w:ascii="Tahoma" w:hAnsi="Tahoma"/>
                <w:noProof/>
                <w:sz w:val="20"/>
              </w:rPr>
              <w:t xml:space="preserve">: action </w:t>
            </w:r>
            <w:r>
              <w:rPr>
                <w:rFonts w:ascii="Tahoma" w:hAnsi="Tahoma"/>
                <w:b/>
                <w:noProof/>
                <w:sz w:val="20"/>
              </w:rPr>
              <w:t>non législative</w:t>
            </w:r>
            <w:bookmarkEnd w:id="2"/>
            <w:r>
              <w:rPr>
                <w:rFonts w:ascii="Tahoma" w:hAnsi="Tahoma"/>
                <w:noProof/>
                <w:sz w:val="20"/>
              </w:rPr>
              <w:t xml:space="preserve"> (c’est-à-dire des mesures pratiques destinées à améliorer la coopération judiciaire entre</w:t>
            </w:r>
            <w:r>
              <w:rPr>
                <w:rFonts w:ascii="Tahoma" w:hAnsi="Tahoma"/>
                <w:noProof/>
                <w:sz w:val="20"/>
              </w:rPr>
              <w:t xml:space="preserve"> les autorités    </w:t>
            </w:r>
          </w:p>
          <w:p w:rsidR="00424A36" w:rsidRDefault="00A003ED">
            <w:pPr>
              <w:ind w:left="1134" w:hanging="1134"/>
              <w:rPr>
                <w:rFonts w:ascii="Tahoma" w:hAnsi="Tahoma" w:cs="Tahoma"/>
                <w:i/>
                <w:noProof/>
                <w:sz w:val="20"/>
                <w:szCs w:val="20"/>
              </w:rPr>
            </w:pPr>
            <w:r>
              <w:rPr>
                <w:rFonts w:ascii="Tahoma" w:hAnsi="Tahoma"/>
                <w:noProof/>
                <w:sz w:val="20"/>
              </w:rPr>
              <w:t xml:space="preserve">                publiques et à renforcer la coopération directe entre les autorités publiques et les fournisseurs de services)</w:t>
            </w:r>
          </w:p>
          <w:p w:rsidR="00424A36" w:rsidRDefault="00A003ED">
            <w:pPr>
              <w:pStyle w:val="Heading3"/>
              <w:numPr>
                <w:ilvl w:val="0"/>
                <w:numId w:val="0"/>
              </w:numPr>
              <w:spacing w:before="0" w:after="0" w:line="276" w:lineRule="auto"/>
              <w:ind w:left="851" w:hanging="851"/>
              <w:contextualSpacing/>
              <w:jc w:val="left"/>
              <w:outlineLvl w:val="2"/>
              <w:rPr>
                <w:rFonts w:ascii="Tahoma" w:hAnsi="Tahoma" w:cs="Tahoma"/>
                <w:i w:val="0"/>
                <w:noProof/>
                <w:sz w:val="20"/>
                <w:szCs w:val="20"/>
              </w:rPr>
            </w:pPr>
            <w:bookmarkStart w:id="3" w:name="_Toc485620420"/>
            <w:r>
              <w:rPr>
                <w:rFonts w:ascii="Tahoma" w:hAnsi="Tahoma"/>
                <w:b/>
                <w:i w:val="0"/>
                <w:noProof/>
                <w:sz w:val="20"/>
              </w:rPr>
              <w:t>Option B:</w:t>
            </w:r>
            <w:r>
              <w:rPr>
                <w:rFonts w:ascii="Tahoma" w:hAnsi="Tahoma"/>
                <w:i w:val="0"/>
                <w:noProof/>
                <w:sz w:val="20"/>
              </w:rPr>
              <w:t xml:space="preserve"> option A + </w:t>
            </w:r>
            <w:r>
              <w:rPr>
                <w:rFonts w:ascii="Tahoma" w:hAnsi="Tahoma"/>
                <w:b/>
                <w:i w:val="0"/>
                <w:noProof/>
                <w:sz w:val="20"/>
              </w:rPr>
              <w:t>accords internationaux</w:t>
            </w:r>
            <w:bookmarkEnd w:id="3"/>
          </w:p>
          <w:p w:rsidR="00424A36" w:rsidRDefault="00A003ED">
            <w:pPr>
              <w:pStyle w:val="Heading3"/>
              <w:numPr>
                <w:ilvl w:val="0"/>
                <w:numId w:val="0"/>
              </w:numPr>
              <w:ind w:left="1170" w:hanging="1170"/>
              <w:contextualSpacing/>
              <w:jc w:val="left"/>
              <w:outlineLvl w:val="2"/>
              <w:rPr>
                <w:rFonts w:ascii="Tahoma" w:hAnsi="Tahoma" w:cs="Tahoma"/>
                <w:i w:val="0"/>
                <w:noProof/>
                <w:sz w:val="20"/>
                <w:szCs w:val="20"/>
              </w:rPr>
            </w:pPr>
            <w:bookmarkStart w:id="4" w:name="_Toc485620421"/>
            <w:r>
              <w:rPr>
                <w:rFonts w:ascii="Tahoma" w:hAnsi="Tahoma"/>
                <w:b/>
                <w:i w:val="0"/>
                <w:noProof/>
                <w:sz w:val="20"/>
              </w:rPr>
              <w:t>Option C:</w:t>
            </w:r>
            <w:r>
              <w:rPr>
                <w:rFonts w:ascii="Tahoma" w:hAnsi="Tahoma"/>
                <w:i w:val="0"/>
                <w:noProof/>
                <w:sz w:val="20"/>
              </w:rPr>
              <w:t xml:space="preserve"> option B + </w:t>
            </w:r>
            <w:bookmarkEnd w:id="4"/>
            <w:r>
              <w:rPr>
                <w:rFonts w:ascii="Tahoma" w:hAnsi="Tahoma"/>
                <w:b/>
                <w:i w:val="0"/>
                <w:noProof/>
                <w:sz w:val="20"/>
              </w:rPr>
              <w:t>acte législatif</w:t>
            </w:r>
            <w:r>
              <w:rPr>
                <w:rFonts w:ascii="Tahoma" w:hAnsi="Tahoma"/>
                <w:i w:val="0"/>
                <w:noProof/>
                <w:sz w:val="20"/>
              </w:rPr>
              <w:t xml:space="preserve"> concernant la coopération directe (</w:t>
            </w:r>
            <w:r>
              <w:rPr>
                <w:rFonts w:ascii="Tahoma" w:hAnsi="Tahoma"/>
                <w:b/>
                <w:i w:val="0"/>
                <w:noProof/>
                <w:sz w:val="20"/>
              </w:rPr>
              <w:t>injonction européenne de production + accès aux bases de données</w:t>
            </w:r>
            <w:r>
              <w:rPr>
                <w:rFonts w:ascii="Tahoma" w:hAnsi="Tahoma"/>
                <w:i w:val="0"/>
                <w:noProof/>
                <w:sz w:val="20"/>
              </w:rPr>
              <w:t>)</w:t>
            </w:r>
          </w:p>
          <w:p w:rsidR="00424A36" w:rsidRDefault="00A003ED">
            <w:pPr>
              <w:pStyle w:val="Heading3"/>
              <w:numPr>
                <w:ilvl w:val="0"/>
                <w:numId w:val="0"/>
              </w:numPr>
              <w:spacing w:before="0" w:after="0" w:line="276" w:lineRule="auto"/>
              <w:ind w:left="851" w:hanging="851"/>
              <w:contextualSpacing/>
              <w:jc w:val="left"/>
              <w:outlineLvl w:val="2"/>
              <w:rPr>
                <w:rFonts w:ascii="Tahoma" w:hAnsi="Tahoma" w:cs="Tahoma"/>
                <w:b/>
                <w:i w:val="0"/>
                <w:noProof/>
                <w:sz w:val="20"/>
                <w:szCs w:val="20"/>
              </w:rPr>
            </w:pPr>
            <w:r>
              <w:rPr>
                <w:rFonts w:ascii="Tahoma" w:hAnsi="Tahoma"/>
                <w:b/>
                <w:i w:val="0"/>
                <w:noProof/>
                <w:sz w:val="20"/>
              </w:rPr>
              <w:t xml:space="preserve">Option D: </w:t>
            </w:r>
            <w:r>
              <w:rPr>
                <w:rFonts w:ascii="Tahoma" w:hAnsi="Tahoma"/>
                <w:i w:val="0"/>
                <w:noProof/>
                <w:sz w:val="20"/>
              </w:rPr>
              <w:t xml:space="preserve">option C + acte législatif concernant l’accès direct </w:t>
            </w:r>
          </w:p>
          <w:p w:rsidR="00424A36" w:rsidRDefault="00A003ED">
            <w:pPr>
              <w:pStyle w:val="Heading3"/>
              <w:numPr>
                <w:ilvl w:val="0"/>
                <w:numId w:val="0"/>
              </w:numPr>
              <w:spacing w:before="0" w:after="0" w:line="276" w:lineRule="auto"/>
              <w:ind w:left="851" w:hanging="851"/>
              <w:contextualSpacing/>
              <w:jc w:val="left"/>
              <w:outlineLvl w:val="2"/>
              <w:rPr>
                <w:rFonts w:ascii="Tahoma" w:hAnsi="Tahoma" w:cs="Tahoma"/>
                <w:noProof/>
                <w:sz w:val="20"/>
                <w:szCs w:val="20"/>
              </w:rPr>
            </w:pPr>
            <w:r>
              <w:rPr>
                <w:rFonts w:ascii="Tahoma" w:hAnsi="Tahoma"/>
                <w:b/>
                <w:i w:val="0"/>
                <w:noProof/>
                <w:sz w:val="20"/>
              </w:rPr>
              <w:t>L’option  D est l’option privilégiée</w:t>
            </w:r>
            <w:r>
              <w:rPr>
                <w:rFonts w:ascii="Tahoma" w:hAnsi="Tahoma"/>
                <w:i w:val="0"/>
                <w:noProof/>
                <w:sz w:val="20"/>
              </w:rPr>
              <w:t xml:space="preserve">, tant du point de vue qualitatif que de celui des </w:t>
            </w:r>
            <w:r>
              <w:rPr>
                <w:rFonts w:ascii="Tahoma" w:hAnsi="Tahoma"/>
                <w:i w:val="0"/>
                <w:noProof/>
                <w:sz w:val="20"/>
              </w:rPr>
              <w:t>coûts et avantages.</w:t>
            </w:r>
          </w:p>
        </w:tc>
      </w:tr>
      <w:tr w:rsidR="00424A36">
        <w:tc>
          <w:tcPr>
            <w:tcW w:w="10188" w:type="dxa"/>
            <w:shd w:val="clear" w:color="auto" w:fill="E6E6E6"/>
          </w:tcPr>
          <w:p w:rsidR="00424A36" w:rsidRDefault="00A003ED">
            <w:pPr>
              <w:pStyle w:val="Default"/>
              <w:spacing w:before="20" w:after="20"/>
              <w:jc w:val="both"/>
              <w:rPr>
                <w:rFonts w:ascii="Tahoma" w:hAnsi="Tahoma" w:cs="Tahoma"/>
                <w:b/>
                <w:bCs/>
                <w:noProof/>
                <w:sz w:val="20"/>
                <w:szCs w:val="20"/>
              </w:rPr>
            </w:pPr>
            <w:r>
              <w:rPr>
                <w:rFonts w:ascii="Tahoma" w:hAnsi="Tahoma"/>
                <w:b/>
                <w:noProof/>
                <w:sz w:val="20"/>
              </w:rPr>
              <w:t xml:space="preserve">Quelle est la position des différentes parties prenantes concernées? Qui soutient quelle option? </w:t>
            </w:r>
          </w:p>
        </w:tc>
      </w:tr>
      <w:tr w:rsidR="00424A36">
        <w:trPr>
          <w:trHeight w:val="1432"/>
        </w:trPr>
        <w:tc>
          <w:tcPr>
            <w:tcW w:w="10188" w:type="dxa"/>
            <w:shd w:val="clear" w:color="auto" w:fill="auto"/>
          </w:tcPr>
          <w:p w:rsidR="00424A36" w:rsidRDefault="00A003ED">
            <w:pPr>
              <w:spacing w:before="60"/>
              <w:jc w:val="both"/>
              <w:rPr>
                <w:rFonts w:ascii="Tahoma" w:hAnsi="Tahoma" w:cs="Tahoma"/>
                <w:noProof/>
                <w:sz w:val="20"/>
                <w:szCs w:val="20"/>
              </w:rPr>
            </w:pPr>
            <w:r>
              <w:rPr>
                <w:rFonts w:ascii="Tahoma" w:hAnsi="Tahoma"/>
                <w:noProof/>
                <w:sz w:val="20"/>
              </w:rPr>
              <w:lastRenderedPageBreak/>
              <w:t>Des consultations approfondies des parties prenantes ont été menées sur une période de plus de 18 mois. Les autorités publiques de l’Uni</w:t>
            </w:r>
            <w:r>
              <w:rPr>
                <w:rFonts w:ascii="Tahoma" w:hAnsi="Tahoma"/>
                <w:noProof/>
                <w:sz w:val="20"/>
              </w:rPr>
              <w:t>on ont souligné les problèmes essentiels suivants: la longueur du traitement des demandes, l’absence de coopération fiable avec les fournisseurs de services, le manque de transparence et, pour les mesures d’enquête, l’insécurité juridique relative à la com</w:t>
            </w:r>
            <w:r>
              <w:rPr>
                <w:rFonts w:ascii="Tahoma" w:hAnsi="Tahoma"/>
                <w:noProof/>
                <w:sz w:val="20"/>
              </w:rPr>
              <w:t xml:space="preserve">pétence. </w:t>
            </w:r>
          </w:p>
          <w:p w:rsidR="00424A36" w:rsidRDefault="00A003ED">
            <w:pPr>
              <w:rPr>
                <w:noProof/>
              </w:rPr>
            </w:pPr>
            <w:r>
              <w:rPr>
                <w:rFonts w:ascii="Tahoma" w:hAnsi="Tahoma"/>
                <w:noProof/>
                <w:sz w:val="20"/>
              </w:rPr>
              <w:t>Les fournisseurs de services et certaines organisations de la société civile ont indiqué que la sécurité juridique était essentielle pour permettre une coopération directe avec les autorités publiques et que les conflits de lois devaient être évi</w:t>
            </w:r>
            <w:r>
              <w:rPr>
                <w:rFonts w:ascii="Tahoma" w:hAnsi="Tahoma"/>
                <w:noProof/>
                <w:sz w:val="20"/>
              </w:rPr>
              <w:t>tés.</w:t>
            </w:r>
          </w:p>
          <w:p w:rsidR="00424A36" w:rsidRDefault="00A003ED">
            <w:pPr>
              <w:spacing w:after="60"/>
              <w:jc w:val="both"/>
              <w:rPr>
                <w:rFonts w:ascii="Tahoma" w:hAnsi="Tahoma" w:cs="Tahoma"/>
                <w:noProof/>
                <w:sz w:val="20"/>
                <w:szCs w:val="20"/>
              </w:rPr>
            </w:pPr>
            <w:r>
              <w:rPr>
                <w:rFonts w:ascii="Tahoma" w:hAnsi="Tahoma"/>
                <w:noProof/>
                <w:sz w:val="20"/>
              </w:rPr>
              <w:t>Certaines organisations de la société civile ont exprimé leur opposition à un acte législatif au niveau de l’Union en matière de coopération directe, préférant une amélioration des procédures d’entraide judiciaire.</w:t>
            </w:r>
          </w:p>
        </w:tc>
      </w:tr>
      <w:tr w:rsidR="00424A36">
        <w:tc>
          <w:tcPr>
            <w:tcW w:w="10188" w:type="dxa"/>
            <w:tcBorders>
              <w:bottom w:val="single" w:sz="4" w:space="0" w:color="auto"/>
            </w:tcBorders>
            <w:shd w:val="clear" w:color="auto" w:fill="CCCCCC"/>
          </w:tcPr>
          <w:p w:rsidR="00424A36" w:rsidRDefault="00A003ED">
            <w:pPr>
              <w:spacing w:before="60" w:after="60"/>
              <w:rPr>
                <w:rFonts w:ascii="Tahoma" w:hAnsi="Tahoma" w:cs="Tahoma"/>
                <w:b/>
                <w:noProof/>
                <w:sz w:val="20"/>
                <w:szCs w:val="20"/>
              </w:rPr>
            </w:pPr>
            <w:r>
              <w:rPr>
                <w:rFonts w:ascii="Tahoma" w:hAnsi="Tahoma"/>
                <w:b/>
                <w:noProof/>
                <w:sz w:val="20"/>
              </w:rPr>
              <w:t xml:space="preserve">C. Incidence de l’option </w:t>
            </w:r>
            <w:r>
              <w:rPr>
                <w:rFonts w:ascii="Tahoma" w:hAnsi="Tahoma"/>
                <w:b/>
                <w:noProof/>
                <w:sz w:val="20"/>
              </w:rPr>
              <w:t>privilégiée</w:t>
            </w:r>
          </w:p>
        </w:tc>
      </w:tr>
      <w:tr w:rsidR="00424A36">
        <w:tc>
          <w:tcPr>
            <w:tcW w:w="10188" w:type="dxa"/>
            <w:tcBorders>
              <w:bottom w:val="single" w:sz="4" w:space="0" w:color="auto"/>
            </w:tcBorders>
            <w:shd w:val="clear" w:color="auto" w:fill="E6E6E6"/>
          </w:tcPr>
          <w:p w:rsidR="00424A36" w:rsidRDefault="00A003ED">
            <w:pPr>
              <w:pStyle w:val="Default"/>
              <w:jc w:val="both"/>
              <w:rPr>
                <w:rFonts w:ascii="Tahoma" w:hAnsi="Tahoma" w:cs="Tahoma"/>
                <w:noProof/>
                <w:color w:val="auto"/>
                <w:sz w:val="20"/>
                <w:szCs w:val="20"/>
              </w:rPr>
            </w:pPr>
            <w:r>
              <w:rPr>
                <w:rFonts w:ascii="Tahoma" w:hAnsi="Tahoma"/>
                <w:b/>
                <w:noProof/>
                <w:color w:val="auto"/>
                <w:sz w:val="20"/>
              </w:rPr>
              <w:t xml:space="preserve">Quels sont les avantages de l’option privilégiée? (le cas échéant, en dehors des principaux avantages) </w:t>
            </w:r>
          </w:p>
        </w:tc>
      </w:tr>
      <w:tr w:rsidR="00424A36">
        <w:trPr>
          <w:trHeight w:val="1214"/>
        </w:trPr>
        <w:tc>
          <w:tcPr>
            <w:tcW w:w="10188" w:type="dxa"/>
            <w:tcBorders>
              <w:bottom w:val="single" w:sz="4" w:space="0" w:color="auto"/>
            </w:tcBorders>
            <w:shd w:val="clear" w:color="auto" w:fill="auto"/>
          </w:tcPr>
          <w:p w:rsidR="00424A36" w:rsidRDefault="00A003ED">
            <w:pPr>
              <w:spacing w:before="60" w:after="60"/>
              <w:jc w:val="both"/>
              <w:rPr>
                <w:rFonts w:ascii="Tahoma" w:hAnsi="Tahoma" w:cs="Tahoma"/>
                <w:noProof/>
                <w:sz w:val="20"/>
                <w:szCs w:val="20"/>
              </w:rPr>
            </w:pPr>
            <w:r>
              <w:rPr>
                <w:rFonts w:ascii="Tahoma" w:hAnsi="Tahoma"/>
                <w:noProof/>
                <w:sz w:val="20"/>
              </w:rPr>
              <w:t xml:space="preserve">L’initiative devrait accroître l’efficacité et l’efficience des enquêtes et des poursuites, renforcer la transparence et l'obligation de </w:t>
            </w:r>
            <w:r>
              <w:rPr>
                <w:rFonts w:ascii="Tahoma" w:hAnsi="Tahoma"/>
                <w:noProof/>
                <w:sz w:val="20"/>
              </w:rPr>
              <w:t>rendre des comptes, assurer le respect des droits fondamentaux et renforcer la confiance à l’égard du marché unique numérique en améliorant la sécurité et en réduisant le sentiment d’impunité des délits commis sur des dispositifs en réseau ou par l’intermé</w:t>
            </w:r>
            <w:r>
              <w:rPr>
                <w:rFonts w:ascii="Tahoma" w:hAnsi="Tahoma"/>
                <w:noProof/>
                <w:sz w:val="20"/>
              </w:rPr>
              <w:t>diaire de tels dispositifs.</w:t>
            </w:r>
          </w:p>
        </w:tc>
      </w:tr>
      <w:tr w:rsidR="00424A36">
        <w:tc>
          <w:tcPr>
            <w:tcW w:w="10188" w:type="dxa"/>
            <w:tcBorders>
              <w:bottom w:val="single" w:sz="4" w:space="0" w:color="auto"/>
            </w:tcBorders>
            <w:shd w:val="clear" w:color="auto" w:fill="E6E6E6"/>
          </w:tcPr>
          <w:p w:rsidR="00424A36" w:rsidRDefault="00A003ED">
            <w:pPr>
              <w:pStyle w:val="Default"/>
              <w:jc w:val="both"/>
              <w:rPr>
                <w:rFonts w:ascii="Tahoma" w:hAnsi="Tahoma" w:cs="Tahoma"/>
                <w:noProof/>
                <w:sz w:val="20"/>
                <w:szCs w:val="20"/>
              </w:rPr>
            </w:pPr>
            <w:r>
              <w:rPr>
                <w:rFonts w:ascii="Tahoma" w:hAnsi="Tahoma"/>
                <w:b/>
                <w:noProof/>
                <w:sz w:val="20"/>
              </w:rPr>
              <w:t xml:space="preserve">Quels sont les coûts de l’option privilégiée? (le cas échéant, en dehors des principaux coûts) </w:t>
            </w:r>
          </w:p>
        </w:tc>
      </w:tr>
      <w:tr w:rsidR="00424A36">
        <w:trPr>
          <w:trHeight w:val="1575"/>
        </w:trPr>
        <w:tc>
          <w:tcPr>
            <w:tcW w:w="10188" w:type="dxa"/>
            <w:tcBorders>
              <w:bottom w:val="single" w:sz="4" w:space="0" w:color="auto"/>
            </w:tcBorders>
            <w:shd w:val="clear" w:color="auto" w:fill="auto"/>
          </w:tcPr>
          <w:p w:rsidR="00424A36" w:rsidRDefault="00A003ED">
            <w:pPr>
              <w:spacing w:before="60"/>
              <w:jc w:val="both"/>
              <w:rPr>
                <w:rFonts w:ascii="Tahoma" w:hAnsi="Tahoma" w:cs="Tahoma"/>
                <w:noProof/>
                <w:sz w:val="20"/>
                <w:szCs w:val="20"/>
              </w:rPr>
            </w:pPr>
            <w:r>
              <w:rPr>
                <w:rFonts w:ascii="Tahoma" w:hAnsi="Tahoma"/>
                <w:noProof/>
                <w:sz w:val="20"/>
              </w:rPr>
              <w:t xml:space="preserve">Les coûts sont de nature </w:t>
            </w:r>
            <w:r>
              <w:rPr>
                <w:rFonts w:ascii="Tahoma" w:hAnsi="Tahoma"/>
                <w:b/>
                <w:noProof/>
                <w:sz w:val="20"/>
              </w:rPr>
              <w:t>administrative</w:t>
            </w:r>
            <w:r>
              <w:rPr>
                <w:rFonts w:ascii="Tahoma" w:hAnsi="Tahoma"/>
                <w:noProof/>
                <w:sz w:val="20"/>
              </w:rPr>
              <w:t xml:space="preserve">, découlant de la </w:t>
            </w:r>
            <w:r>
              <w:rPr>
                <w:rFonts w:ascii="Tahoma" w:hAnsi="Tahoma"/>
                <w:b/>
                <w:noProof/>
                <w:sz w:val="20"/>
              </w:rPr>
              <w:t>transposition et de l’application</w:t>
            </w:r>
            <w:r>
              <w:rPr>
                <w:rFonts w:ascii="Tahoma" w:hAnsi="Tahoma"/>
                <w:noProof/>
                <w:sz w:val="20"/>
              </w:rPr>
              <w:t xml:space="preserve"> de l’option privilégiée par les pays de l’Union et de la </w:t>
            </w:r>
            <w:r>
              <w:rPr>
                <w:rFonts w:ascii="Tahoma" w:hAnsi="Tahoma"/>
                <w:b/>
                <w:noProof/>
                <w:sz w:val="20"/>
              </w:rPr>
              <w:t>conformité</w:t>
            </w:r>
            <w:r>
              <w:rPr>
                <w:rFonts w:ascii="Tahoma" w:hAnsi="Tahoma"/>
                <w:noProof/>
                <w:sz w:val="20"/>
              </w:rPr>
              <w:t xml:space="preserve"> par les fournisseurs de services:</w:t>
            </w:r>
          </w:p>
          <w:p w:rsidR="00424A36" w:rsidRDefault="00A003ED">
            <w:pPr>
              <w:pStyle w:val="ListParagraph"/>
              <w:numPr>
                <w:ilvl w:val="0"/>
                <w:numId w:val="9"/>
              </w:numPr>
              <w:jc w:val="both"/>
              <w:rPr>
                <w:rFonts w:ascii="Tahoma" w:hAnsi="Tahoma" w:cs="Tahoma"/>
                <w:noProof/>
                <w:sz w:val="20"/>
                <w:szCs w:val="20"/>
              </w:rPr>
            </w:pPr>
            <w:r>
              <w:rPr>
                <w:rFonts w:ascii="Tahoma" w:hAnsi="Tahoma"/>
                <w:noProof/>
                <w:sz w:val="20"/>
              </w:rPr>
              <w:t>les</w:t>
            </w:r>
            <w:r>
              <w:rPr>
                <w:rFonts w:ascii="Tahoma" w:hAnsi="Tahoma"/>
                <w:b/>
                <w:noProof/>
                <w:sz w:val="20"/>
              </w:rPr>
              <w:t xml:space="preserve"> coûts ponctuels</w:t>
            </w:r>
            <w:r>
              <w:rPr>
                <w:rFonts w:ascii="Tahoma" w:hAnsi="Tahoma"/>
                <w:noProof/>
                <w:sz w:val="20"/>
              </w:rPr>
              <w:t xml:space="preserve"> sont estimés à </w:t>
            </w:r>
            <w:r>
              <w:rPr>
                <w:rFonts w:ascii="Tahoma" w:hAnsi="Tahoma"/>
                <w:b/>
                <w:noProof/>
                <w:sz w:val="20"/>
              </w:rPr>
              <w:t>3,3 millions d’EUR</w:t>
            </w:r>
            <w:r>
              <w:rPr>
                <w:rFonts w:ascii="Tahoma" w:hAnsi="Tahoma"/>
                <w:noProof/>
                <w:sz w:val="20"/>
              </w:rPr>
              <w:t xml:space="preserve"> pour les pays de l’Union et à </w:t>
            </w:r>
            <w:r>
              <w:rPr>
                <w:rFonts w:ascii="Tahoma" w:hAnsi="Tahoma"/>
                <w:b/>
                <w:noProof/>
                <w:sz w:val="20"/>
              </w:rPr>
              <w:t>1,7 million d’EUR</w:t>
            </w:r>
            <w:r>
              <w:rPr>
                <w:rFonts w:ascii="Tahoma" w:hAnsi="Tahoma"/>
                <w:noProof/>
                <w:sz w:val="20"/>
              </w:rPr>
              <w:t xml:space="preserve"> pour les fournisseurs de services;</w:t>
            </w:r>
          </w:p>
          <w:p w:rsidR="00424A36" w:rsidRDefault="00A003ED">
            <w:pPr>
              <w:pStyle w:val="ListParagraph"/>
              <w:numPr>
                <w:ilvl w:val="0"/>
                <w:numId w:val="9"/>
              </w:numPr>
              <w:spacing w:after="120"/>
              <w:ind w:left="714" w:hanging="357"/>
              <w:jc w:val="both"/>
              <w:rPr>
                <w:rFonts w:ascii="Tahoma" w:hAnsi="Tahoma" w:cs="Tahoma"/>
                <w:i/>
                <w:noProof/>
                <w:sz w:val="20"/>
                <w:szCs w:val="20"/>
              </w:rPr>
            </w:pPr>
            <w:r>
              <w:rPr>
                <w:rFonts w:ascii="Tahoma" w:hAnsi="Tahoma"/>
                <w:noProof/>
                <w:sz w:val="20"/>
              </w:rPr>
              <w:t>l’option privilé</w:t>
            </w:r>
            <w:r>
              <w:rPr>
                <w:rFonts w:ascii="Tahoma" w:hAnsi="Tahoma"/>
                <w:noProof/>
                <w:sz w:val="20"/>
              </w:rPr>
              <w:t xml:space="preserve">giée n’entraîne pas de coûts récurrents. Au contraire, elle permettra des économies annuelles récurrentes estimées à plus de </w:t>
            </w:r>
            <w:r>
              <w:rPr>
                <w:rFonts w:ascii="Tahoma" w:hAnsi="Tahoma"/>
                <w:b/>
                <w:noProof/>
                <w:sz w:val="20"/>
              </w:rPr>
              <w:t xml:space="preserve">7,1 millions d’euros </w:t>
            </w:r>
            <w:r>
              <w:rPr>
                <w:rFonts w:ascii="Tahoma" w:hAnsi="Tahoma"/>
                <w:noProof/>
                <w:sz w:val="20"/>
              </w:rPr>
              <w:t xml:space="preserve">pour les États membres et à plus de </w:t>
            </w:r>
            <w:r>
              <w:rPr>
                <w:rFonts w:ascii="Tahoma" w:hAnsi="Tahoma"/>
                <w:b/>
                <w:noProof/>
                <w:sz w:val="20"/>
              </w:rPr>
              <w:t xml:space="preserve">4,3 millions d’euros </w:t>
            </w:r>
            <w:r>
              <w:rPr>
                <w:rFonts w:ascii="Tahoma" w:hAnsi="Tahoma"/>
                <w:noProof/>
                <w:sz w:val="20"/>
              </w:rPr>
              <w:t>pour les fournisseurs de services.</w:t>
            </w:r>
          </w:p>
        </w:tc>
      </w:tr>
      <w:tr w:rsidR="00424A36">
        <w:tc>
          <w:tcPr>
            <w:tcW w:w="10188" w:type="dxa"/>
            <w:tcBorders>
              <w:bottom w:val="single" w:sz="4" w:space="0" w:color="auto"/>
            </w:tcBorders>
            <w:shd w:val="clear" w:color="auto" w:fill="E6E6E6"/>
          </w:tcPr>
          <w:p w:rsidR="00424A36" w:rsidRDefault="00A003ED">
            <w:pPr>
              <w:pStyle w:val="Default"/>
              <w:keepNext/>
              <w:jc w:val="both"/>
              <w:rPr>
                <w:rFonts w:ascii="Tahoma" w:hAnsi="Tahoma" w:cs="Tahoma"/>
                <w:noProof/>
                <w:sz w:val="20"/>
                <w:szCs w:val="20"/>
              </w:rPr>
            </w:pPr>
            <w:r>
              <w:rPr>
                <w:rFonts w:ascii="Tahoma" w:hAnsi="Tahoma"/>
                <w:b/>
                <w:noProof/>
                <w:sz w:val="20"/>
              </w:rPr>
              <w:t xml:space="preserve">Quelles sont les incidences sur les PME et la compétitivité? </w:t>
            </w:r>
          </w:p>
        </w:tc>
      </w:tr>
      <w:tr w:rsidR="00424A36">
        <w:trPr>
          <w:trHeight w:val="727"/>
        </w:trPr>
        <w:tc>
          <w:tcPr>
            <w:tcW w:w="10188" w:type="dxa"/>
            <w:tcBorders>
              <w:bottom w:val="single" w:sz="4" w:space="0" w:color="auto"/>
            </w:tcBorders>
            <w:shd w:val="clear" w:color="auto" w:fill="auto"/>
          </w:tcPr>
          <w:p w:rsidR="00424A36" w:rsidRDefault="00A003ED">
            <w:pPr>
              <w:spacing w:before="60" w:after="60"/>
              <w:jc w:val="both"/>
              <w:rPr>
                <w:rFonts w:ascii="Tahoma" w:hAnsi="Tahoma" w:cs="Tahoma"/>
                <w:noProof/>
                <w:sz w:val="20"/>
                <w:szCs w:val="20"/>
              </w:rPr>
            </w:pPr>
            <w:r>
              <w:rPr>
                <w:rFonts w:ascii="Tahoma" w:hAnsi="Tahoma"/>
                <w:noProof/>
                <w:sz w:val="20"/>
              </w:rPr>
              <w:t xml:space="preserve">La </w:t>
            </w:r>
            <w:r>
              <w:rPr>
                <w:rFonts w:ascii="Tahoma" w:hAnsi="Tahoma"/>
                <w:b/>
                <w:noProof/>
                <w:sz w:val="20"/>
              </w:rPr>
              <w:t>sécurité juridique</w:t>
            </w:r>
            <w:r>
              <w:rPr>
                <w:rFonts w:ascii="Tahoma" w:hAnsi="Tahoma"/>
                <w:noProof/>
                <w:sz w:val="20"/>
              </w:rPr>
              <w:t xml:space="preserve"> et la </w:t>
            </w:r>
            <w:r>
              <w:rPr>
                <w:rFonts w:ascii="Tahoma" w:hAnsi="Tahoma"/>
                <w:b/>
                <w:noProof/>
                <w:sz w:val="20"/>
              </w:rPr>
              <w:t>normalisation</w:t>
            </w:r>
            <w:r>
              <w:rPr>
                <w:rFonts w:ascii="Tahoma" w:hAnsi="Tahoma"/>
                <w:noProof/>
                <w:sz w:val="20"/>
              </w:rPr>
              <w:t xml:space="preserve"> des procédures, qui allégeront la charge administrative et favoriseront la compétitivité, devraient avoir une incidence positive sur les PME. </w:t>
            </w:r>
          </w:p>
        </w:tc>
      </w:tr>
      <w:tr w:rsidR="00424A36">
        <w:tc>
          <w:tcPr>
            <w:tcW w:w="10188" w:type="dxa"/>
            <w:tcBorders>
              <w:bottom w:val="single" w:sz="4" w:space="0" w:color="auto"/>
            </w:tcBorders>
            <w:shd w:val="clear" w:color="auto" w:fill="E6E6E6"/>
          </w:tcPr>
          <w:p w:rsidR="00424A36" w:rsidRDefault="00A003ED">
            <w:pPr>
              <w:pStyle w:val="Default"/>
              <w:jc w:val="both"/>
              <w:rPr>
                <w:rFonts w:ascii="Tahoma" w:hAnsi="Tahoma" w:cs="Tahoma"/>
                <w:noProof/>
                <w:sz w:val="20"/>
                <w:szCs w:val="20"/>
              </w:rPr>
            </w:pPr>
            <w:r>
              <w:rPr>
                <w:rFonts w:ascii="Tahoma" w:hAnsi="Tahoma"/>
                <w:b/>
                <w:noProof/>
                <w:sz w:val="20"/>
              </w:rPr>
              <w:t>Y aura-</w:t>
            </w:r>
            <w:r>
              <w:rPr>
                <w:rFonts w:ascii="Tahoma" w:hAnsi="Tahoma"/>
                <w:b/>
                <w:noProof/>
                <w:sz w:val="20"/>
              </w:rPr>
              <w:t xml:space="preserve">t-il une incidence notable sur les budgets nationaux et les administrations nationales? </w:t>
            </w:r>
          </w:p>
        </w:tc>
      </w:tr>
      <w:tr w:rsidR="00424A36">
        <w:trPr>
          <w:trHeight w:val="1587"/>
        </w:trPr>
        <w:tc>
          <w:tcPr>
            <w:tcW w:w="10188" w:type="dxa"/>
            <w:shd w:val="clear" w:color="auto" w:fill="auto"/>
          </w:tcPr>
          <w:p w:rsidR="00424A36" w:rsidRDefault="00A003ED">
            <w:pPr>
              <w:spacing w:before="60" w:after="60"/>
              <w:jc w:val="both"/>
              <w:rPr>
                <w:rFonts w:ascii="Tahoma" w:hAnsi="Tahoma" w:cs="Tahoma"/>
                <w:noProof/>
                <w:sz w:val="20"/>
                <w:szCs w:val="20"/>
              </w:rPr>
            </w:pPr>
            <w:r>
              <w:rPr>
                <w:rFonts w:ascii="Tahoma" w:hAnsi="Tahoma"/>
                <w:noProof/>
                <w:sz w:val="20"/>
              </w:rPr>
              <w:t xml:space="preserve">L’option privilégiée devrait entraîner des coûts de mise en œuvre initiaux, qui seraient compensés à long terme par des </w:t>
            </w:r>
            <w:r>
              <w:rPr>
                <w:rFonts w:ascii="Tahoma" w:hAnsi="Tahoma"/>
                <w:b/>
                <w:noProof/>
                <w:sz w:val="20"/>
              </w:rPr>
              <w:t>économies</w:t>
            </w:r>
            <w:r>
              <w:rPr>
                <w:rFonts w:ascii="Tahoma" w:hAnsi="Tahoma"/>
                <w:noProof/>
                <w:sz w:val="20"/>
              </w:rPr>
              <w:t xml:space="preserve"> sur les coûts récurrents. Les autori</w:t>
            </w:r>
            <w:r>
              <w:rPr>
                <w:rFonts w:ascii="Tahoma" w:hAnsi="Tahoma"/>
                <w:noProof/>
                <w:sz w:val="20"/>
              </w:rPr>
              <w:t xml:space="preserve">tés nationales devraient s’adapter aux nouvelles procédures et suivre des formations. Toutefois, à long terme, elles devraient bénéficier de </w:t>
            </w:r>
            <w:r>
              <w:rPr>
                <w:rFonts w:ascii="Tahoma" w:hAnsi="Tahoma"/>
                <w:b/>
                <w:noProof/>
                <w:sz w:val="20"/>
              </w:rPr>
              <w:t>la rationalisation et de la centralisation</w:t>
            </w:r>
            <w:r>
              <w:rPr>
                <w:rFonts w:ascii="Tahoma" w:hAnsi="Tahoma"/>
                <w:noProof/>
                <w:sz w:val="20"/>
              </w:rPr>
              <w:t>, des formations supplémentaires et de la clarification du cadre juridiqu</w:t>
            </w:r>
            <w:r>
              <w:rPr>
                <w:rFonts w:ascii="Tahoma" w:hAnsi="Tahoma"/>
                <w:noProof/>
                <w:sz w:val="20"/>
              </w:rPr>
              <w:t xml:space="preserve">e régissant l’accès aux données, ce qui devrait entraîner des gains d’efficience. De même, étant donné que l’option privilégiée diminuerait la pression exercée sur les canaux de coopération judiciaire, on devrait assister à une chute du nombre de demandes </w:t>
            </w:r>
            <w:r>
              <w:rPr>
                <w:rFonts w:ascii="Tahoma" w:hAnsi="Tahoma"/>
                <w:noProof/>
                <w:sz w:val="20"/>
              </w:rPr>
              <w:t>à traiter par les pays.</w:t>
            </w:r>
          </w:p>
        </w:tc>
      </w:tr>
      <w:tr w:rsidR="00424A36">
        <w:tc>
          <w:tcPr>
            <w:tcW w:w="10188" w:type="dxa"/>
            <w:tcBorders>
              <w:bottom w:val="single" w:sz="4" w:space="0" w:color="auto"/>
            </w:tcBorders>
            <w:shd w:val="clear" w:color="auto" w:fill="E6E6E6"/>
          </w:tcPr>
          <w:p w:rsidR="00424A36" w:rsidRDefault="00A003ED">
            <w:pPr>
              <w:pStyle w:val="Default"/>
              <w:jc w:val="both"/>
              <w:rPr>
                <w:rFonts w:ascii="Tahoma" w:hAnsi="Tahoma" w:cs="Tahoma"/>
                <w:noProof/>
                <w:sz w:val="20"/>
                <w:szCs w:val="20"/>
              </w:rPr>
            </w:pPr>
            <w:r>
              <w:rPr>
                <w:rFonts w:ascii="Tahoma" w:hAnsi="Tahoma"/>
                <w:b/>
                <w:noProof/>
                <w:sz w:val="20"/>
              </w:rPr>
              <w:t xml:space="preserve">Y aura-t-il d’autres incidences notables? </w:t>
            </w:r>
          </w:p>
        </w:tc>
      </w:tr>
      <w:tr w:rsidR="00424A36">
        <w:trPr>
          <w:trHeight w:val="2722"/>
        </w:trPr>
        <w:tc>
          <w:tcPr>
            <w:tcW w:w="10188" w:type="dxa"/>
            <w:tcBorders>
              <w:bottom w:val="single" w:sz="4" w:space="0" w:color="auto"/>
            </w:tcBorders>
            <w:shd w:val="clear" w:color="auto" w:fill="auto"/>
          </w:tcPr>
          <w:p w:rsidR="00424A36" w:rsidRDefault="00A003ED">
            <w:pPr>
              <w:spacing w:before="60"/>
              <w:jc w:val="both"/>
              <w:rPr>
                <w:rFonts w:ascii="Tahoma" w:hAnsi="Tahoma" w:cs="Tahoma"/>
                <w:noProof/>
                <w:sz w:val="20"/>
                <w:szCs w:val="20"/>
              </w:rPr>
            </w:pPr>
            <w:r>
              <w:rPr>
                <w:rFonts w:ascii="Tahoma" w:hAnsi="Tahoma"/>
                <w:noProof/>
                <w:sz w:val="20"/>
              </w:rPr>
              <w:t>Les fournisseurs de services devraient s’adapter à un nouveau cadre législatif en introduisant de nouvelles procédures, en formant leur personnel et, éventuellement, en désignant un représentant légal. La mise en œuvre de mesures pratiques, bien que facult</w:t>
            </w:r>
            <w:r>
              <w:rPr>
                <w:rFonts w:ascii="Tahoma" w:hAnsi="Tahoma"/>
                <w:noProof/>
                <w:sz w:val="20"/>
              </w:rPr>
              <w:t xml:space="preserve">ative, générerait certains </w:t>
            </w:r>
            <w:r>
              <w:rPr>
                <w:rFonts w:ascii="Tahoma" w:hAnsi="Tahoma"/>
                <w:b/>
                <w:noProof/>
                <w:sz w:val="20"/>
              </w:rPr>
              <w:t>coûts</w:t>
            </w:r>
            <w:r>
              <w:rPr>
                <w:rFonts w:ascii="Tahoma" w:hAnsi="Tahoma"/>
                <w:noProof/>
                <w:sz w:val="20"/>
              </w:rPr>
              <w:t>. Les fournisseurs de services pourraient être confrontés à un nombre accru de demandes, ce qui devrait augmenter les coûts de conformité. En revanche, un cadre harmonisé pourrait réduire la charge pesant sur les fournisseur</w:t>
            </w:r>
            <w:r>
              <w:rPr>
                <w:rFonts w:ascii="Tahoma" w:hAnsi="Tahoma"/>
                <w:noProof/>
                <w:sz w:val="20"/>
              </w:rPr>
              <w:t>s qui répondent actuellement à des demandes de données non relatives au contenu et doivent les évaluer au regard de la législation de chaque État membre.</w:t>
            </w:r>
          </w:p>
          <w:p w:rsidR="00424A36" w:rsidRDefault="00A003ED">
            <w:pPr>
              <w:jc w:val="both"/>
              <w:rPr>
                <w:rFonts w:ascii="Tahoma" w:hAnsi="Tahoma" w:cs="Tahoma"/>
                <w:noProof/>
                <w:sz w:val="20"/>
                <w:szCs w:val="20"/>
              </w:rPr>
            </w:pPr>
            <w:r>
              <w:rPr>
                <w:rFonts w:ascii="Tahoma" w:hAnsi="Tahoma"/>
                <w:noProof/>
                <w:sz w:val="20"/>
              </w:rPr>
              <w:t>L’efficacité renforcée des enquêtes impliquant un accès transfrontière aux preuves électroniques aurai</w:t>
            </w:r>
            <w:r>
              <w:rPr>
                <w:rFonts w:ascii="Tahoma" w:hAnsi="Tahoma"/>
                <w:noProof/>
                <w:sz w:val="20"/>
              </w:rPr>
              <w:t xml:space="preserve">t des </w:t>
            </w:r>
            <w:r>
              <w:rPr>
                <w:rFonts w:ascii="Tahoma" w:hAnsi="Tahoma"/>
                <w:b/>
                <w:noProof/>
                <w:sz w:val="20"/>
              </w:rPr>
              <w:t>incidences sociales</w:t>
            </w:r>
            <w:r>
              <w:rPr>
                <w:rFonts w:ascii="Tahoma" w:hAnsi="Tahoma"/>
                <w:noProof/>
                <w:sz w:val="20"/>
              </w:rPr>
              <w:t xml:space="preserve"> positives, y compris une possible réduction de la criminalité par un accroissement de l'effet dissuasif.</w:t>
            </w:r>
          </w:p>
          <w:p w:rsidR="00424A36" w:rsidRDefault="00A003ED">
            <w:pPr>
              <w:jc w:val="both"/>
              <w:rPr>
                <w:rFonts w:ascii="Tahoma" w:hAnsi="Tahoma" w:cs="Tahoma"/>
                <w:noProof/>
                <w:sz w:val="20"/>
                <w:szCs w:val="20"/>
              </w:rPr>
            </w:pPr>
            <w:r>
              <w:rPr>
                <w:rFonts w:ascii="Tahoma" w:hAnsi="Tahoma"/>
                <w:noProof/>
                <w:sz w:val="20"/>
              </w:rPr>
              <w:t xml:space="preserve">L’option privilégiée prévoit suffisamment de </w:t>
            </w:r>
            <w:r>
              <w:rPr>
                <w:rFonts w:ascii="Tahoma" w:hAnsi="Tahoma"/>
                <w:b/>
                <w:noProof/>
                <w:sz w:val="20"/>
              </w:rPr>
              <w:t>garde-fous</w:t>
            </w:r>
            <w:r>
              <w:rPr>
                <w:rFonts w:ascii="Tahoma" w:hAnsi="Tahoma"/>
                <w:noProof/>
                <w:sz w:val="20"/>
              </w:rPr>
              <w:t xml:space="preserve"> pour garantir la pleine comptabilité des mesures qu’elle comporte avec les </w:t>
            </w:r>
            <w:r>
              <w:rPr>
                <w:rFonts w:ascii="Tahoma" w:hAnsi="Tahoma"/>
                <w:b/>
                <w:noProof/>
                <w:sz w:val="20"/>
              </w:rPr>
              <w:t>droits fondamentaux</w:t>
            </w:r>
            <w:r>
              <w:rPr>
                <w:rFonts w:ascii="Tahoma" w:hAnsi="Tahoma"/>
                <w:noProof/>
                <w:sz w:val="20"/>
              </w:rPr>
              <w:t>.</w:t>
            </w:r>
          </w:p>
          <w:p w:rsidR="00424A36" w:rsidRDefault="00A003ED">
            <w:pPr>
              <w:spacing w:after="60"/>
              <w:jc w:val="both"/>
              <w:rPr>
                <w:rFonts w:ascii="Tahoma" w:hAnsi="Tahoma" w:cs="Tahoma"/>
                <w:noProof/>
                <w:sz w:val="20"/>
                <w:szCs w:val="20"/>
              </w:rPr>
            </w:pPr>
            <w:r>
              <w:rPr>
                <w:rFonts w:ascii="Tahoma" w:hAnsi="Tahoma"/>
                <w:noProof/>
                <w:sz w:val="20"/>
              </w:rPr>
              <w:t xml:space="preserve">Aucune </w:t>
            </w:r>
            <w:r>
              <w:rPr>
                <w:rFonts w:ascii="Tahoma" w:hAnsi="Tahoma"/>
                <w:b/>
                <w:noProof/>
                <w:sz w:val="20"/>
              </w:rPr>
              <w:t>incidence</w:t>
            </w:r>
            <w:r>
              <w:rPr>
                <w:rFonts w:ascii="Tahoma" w:hAnsi="Tahoma"/>
                <w:noProof/>
                <w:sz w:val="20"/>
              </w:rPr>
              <w:t xml:space="preserve"> significative </w:t>
            </w:r>
            <w:r>
              <w:rPr>
                <w:rFonts w:ascii="Tahoma" w:hAnsi="Tahoma"/>
                <w:b/>
                <w:noProof/>
                <w:sz w:val="20"/>
              </w:rPr>
              <w:t>sur l’environnement</w:t>
            </w:r>
            <w:r>
              <w:rPr>
                <w:rFonts w:ascii="Tahoma" w:hAnsi="Tahoma"/>
                <w:noProof/>
                <w:sz w:val="20"/>
              </w:rPr>
              <w:t xml:space="preserve"> n’a été recensée.</w:t>
            </w:r>
          </w:p>
        </w:tc>
      </w:tr>
      <w:tr w:rsidR="00424A36">
        <w:tc>
          <w:tcPr>
            <w:tcW w:w="10188" w:type="dxa"/>
            <w:tcBorders>
              <w:bottom w:val="single" w:sz="4" w:space="0" w:color="auto"/>
            </w:tcBorders>
            <w:shd w:val="clear" w:color="auto" w:fill="E6E6E6"/>
          </w:tcPr>
          <w:p w:rsidR="00424A36" w:rsidRDefault="00A003ED">
            <w:pPr>
              <w:pStyle w:val="Default"/>
              <w:jc w:val="both"/>
              <w:rPr>
                <w:rFonts w:ascii="Tahoma" w:hAnsi="Tahoma" w:cs="Tahoma"/>
                <w:noProof/>
                <w:sz w:val="20"/>
                <w:szCs w:val="20"/>
              </w:rPr>
            </w:pPr>
            <w:r>
              <w:rPr>
                <w:rFonts w:ascii="Tahoma" w:hAnsi="Tahoma"/>
                <w:b/>
                <w:noProof/>
                <w:sz w:val="20"/>
              </w:rPr>
              <w:t xml:space="preserve">Proportionnalité? </w:t>
            </w:r>
          </w:p>
        </w:tc>
      </w:tr>
      <w:tr w:rsidR="00424A36">
        <w:trPr>
          <w:trHeight w:val="2112"/>
        </w:trPr>
        <w:tc>
          <w:tcPr>
            <w:tcW w:w="10188" w:type="dxa"/>
            <w:shd w:val="clear" w:color="auto" w:fill="auto"/>
          </w:tcPr>
          <w:p w:rsidR="00424A36" w:rsidRDefault="00A003ED">
            <w:pPr>
              <w:spacing w:before="60"/>
              <w:jc w:val="both"/>
              <w:rPr>
                <w:rFonts w:ascii="Tahoma" w:hAnsi="Tahoma" w:cs="Tahoma"/>
                <w:noProof/>
                <w:sz w:val="20"/>
                <w:szCs w:val="20"/>
              </w:rPr>
            </w:pPr>
            <w:r>
              <w:rPr>
                <w:rFonts w:ascii="Tahoma" w:hAnsi="Tahoma"/>
                <w:noProof/>
                <w:sz w:val="20"/>
              </w:rPr>
              <w:lastRenderedPageBreak/>
              <w:t xml:space="preserve">L’option privilégiée introduirait des règles et procédures destinées à améliorer l’accès transfrontière aux preuves électroniques pour les autorités judiciaires nationales, moyennant des garde-fous explicites fondés sur la nécessité et la </w:t>
            </w:r>
            <w:r>
              <w:rPr>
                <w:rFonts w:ascii="Tahoma" w:hAnsi="Tahoma"/>
                <w:b/>
                <w:noProof/>
                <w:sz w:val="20"/>
              </w:rPr>
              <w:t>proportionnalité.</w:t>
            </w:r>
            <w:r>
              <w:rPr>
                <w:rFonts w:ascii="Tahoma" w:hAnsi="Tahoma"/>
                <w:b/>
                <w:noProof/>
                <w:sz w:val="20"/>
              </w:rPr>
              <w:t xml:space="preserve"> </w:t>
            </w:r>
            <w:r>
              <w:rPr>
                <w:rFonts w:ascii="Tahoma" w:hAnsi="Tahoma" w:cs="Tahoma"/>
                <w:b/>
                <w:noProof/>
                <w:sz w:val="20"/>
                <w:szCs w:val="20"/>
              </w:rPr>
              <w:br/>
            </w:r>
          </w:p>
          <w:p w:rsidR="00424A36" w:rsidRDefault="00A003ED">
            <w:pPr>
              <w:jc w:val="both"/>
              <w:rPr>
                <w:rFonts w:ascii="Tahoma" w:hAnsi="Tahoma" w:cs="Tahoma"/>
                <w:noProof/>
                <w:sz w:val="20"/>
                <w:szCs w:val="20"/>
              </w:rPr>
            </w:pPr>
            <w:r>
              <w:rPr>
                <w:rFonts w:ascii="Tahoma" w:hAnsi="Tahoma"/>
                <w:noProof/>
                <w:sz w:val="20"/>
              </w:rPr>
              <w:t xml:space="preserve">Elle n’imposerait pas d’obligations disproportionnées au secteur privé (dont les PME) ni aux particuliers. Elle introduirait plutôt un ensemble de mesures qui devraient apporter des </w:t>
            </w:r>
            <w:r>
              <w:rPr>
                <w:rFonts w:ascii="Tahoma" w:hAnsi="Tahoma"/>
                <w:b/>
                <w:noProof/>
                <w:sz w:val="20"/>
              </w:rPr>
              <w:t>avantages</w:t>
            </w:r>
            <w:r>
              <w:rPr>
                <w:rFonts w:ascii="Tahoma" w:hAnsi="Tahoma"/>
                <w:noProof/>
                <w:sz w:val="20"/>
              </w:rPr>
              <w:t xml:space="preserve"> matériels et immatériels considérables.</w:t>
            </w:r>
            <w:r>
              <w:rPr>
                <w:rFonts w:ascii="Tahoma" w:hAnsi="Tahoma" w:cs="Tahoma"/>
                <w:b/>
                <w:noProof/>
                <w:sz w:val="20"/>
                <w:szCs w:val="20"/>
              </w:rPr>
              <w:br/>
            </w:r>
          </w:p>
          <w:p w:rsidR="00424A36" w:rsidRDefault="00A003ED">
            <w:pPr>
              <w:jc w:val="both"/>
              <w:rPr>
                <w:rFonts w:ascii="Tahoma" w:hAnsi="Tahoma" w:cs="Tahoma"/>
                <w:i/>
                <w:noProof/>
                <w:sz w:val="20"/>
                <w:szCs w:val="20"/>
              </w:rPr>
            </w:pPr>
            <w:r>
              <w:rPr>
                <w:rFonts w:ascii="Tahoma" w:hAnsi="Tahoma"/>
                <w:noProof/>
                <w:sz w:val="20"/>
              </w:rPr>
              <w:t>L’option privilégiée</w:t>
            </w:r>
            <w:r>
              <w:rPr>
                <w:rFonts w:ascii="Tahoma" w:hAnsi="Tahoma"/>
                <w:noProof/>
                <w:sz w:val="20"/>
              </w:rPr>
              <w:t xml:space="preserve"> ne va pas au-delà de ce qui est nécessaire pour résoudre le problème initial et </w:t>
            </w:r>
            <w:r>
              <w:rPr>
                <w:rFonts w:ascii="Tahoma" w:hAnsi="Tahoma"/>
                <w:b/>
                <w:noProof/>
                <w:sz w:val="20"/>
              </w:rPr>
              <w:t>atteindre les objectifs définis</w:t>
            </w:r>
            <w:r>
              <w:rPr>
                <w:rFonts w:ascii="Tahoma" w:hAnsi="Tahoma"/>
                <w:noProof/>
                <w:sz w:val="20"/>
              </w:rPr>
              <w:t xml:space="preserve"> de l’initiative de l’Union.</w:t>
            </w:r>
          </w:p>
        </w:tc>
      </w:tr>
      <w:tr w:rsidR="00424A36">
        <w:tc>
          <w:tcPr>
            <w:tcW w:w="10188" w:type="dxa"/>
            <w:tcBorders>
              <w:bottom w:val="single" w:sz="4" w:space="0" w:color="auto"/>
            </w:tcBorders>
            <w:shd w:val="clear" w:color="auto" w:fill="C0C0C0"/>
          </w:tcPr>
          <w:p w:rsidR="00424A36" w:rsidRDefault="00A003ED">
            <w:pPr>
              <w:spacing w:before="60" w:after="60"/>
              <w:rPr>
                <w:rFonts w:ascii="Tahoma" w:hAnsi="Tahoma" w:cs="Tahoma"/>
                <w:b/>
                <w:noProof/>
                <w:sz w:val="20"/>
                <w:szCs w:val="20"/>
              </w:rPr>
            </w:pPr>
            <w:r>
              <w:rPr>
                <w:rFonts w:ascii="Tahoma" w:hAnsi="Tahoma"/>
                <w:b/>
                <w:noProof/>
                <w:sz w:val="20"/>
              </w:rPr>
              <w:t>D. Suivi</w:t>
            </w:r>
          </w:p>
        </w:tc>
      </w:tr>
      <w:tr w:rsidR="00424A36">
        <w:tc>
          <w:tcPr>
            <w:tcW w:w="10188" w:type="dxa"/>
            <w:tcBorders>
              <w:bottom w:val="single" w:sz="4" w:space="0" w:color="auto"/>
            </w:tcBorders>
            <w:shd w:val="clear" w:color="auto" w:fill="E6E6E6"/>
          </w:tcPr>
          <w:p w:rsidR="00424A36" w:rsidRDefault="00A003ED">
            <w:pPr>
              <w:pStyle w:val="Default"/>
              <w:jc w:val="both"/>
              <w:rPr>
                <w:rFonts w:ascii="Tahoma" w:hAnsi="Tahoma" w:cs="Tahoma"/>
                <w:noProof/>
                <w:sz w:val="20"/>
                <w:szCs w:val="20"/>
              </w:rPr>
            </w:pPr>
            <w:r>
              <w:rPr>
                <w:rFonts w:ascii="Tahoma" w:hAnsi="Tahoma"/>
                <w:b/>
                <w:noProof/>
                <w:sz w:val="20"/>
              </w:rPr>
              <w:t xml:space="preserve">Quand la législation sera-t-elle réexaminée? </w:t>
            </w:r>
          </w:p>
        </w:tc>
      </w:tr>
      <w:tr w:rsidR="00424A36">
        <w:trPr>
          <w:trHeight w:val="1129"/>
        </w:trPr>
        <w:tc>
          <w:tcPr>
            <w:tcW w:w="10188" w:type="dxa"/>
            <w:tcBorders>
              <w:bottom w:val="single" w:sz="4" w:space="0" w:color="auto"/>
            </w:tcBorders>
            <w:shd w:val="clear" w:color="auto" w:fill="auto"/>
          </w:tcPr>
          <w:p w:rsidR="00424A36" w:rsidRDefault="00A003ED">
            <w:pPr>
              <w:spacing w:before="60"/>
              <w:jc w:val="both"/>
              <w:rPr>
                <w:rFonts w:ascii="Tahoma" w:hAnsi="Tahoma" w:cs="Tahoma"/>
                <w:noProof/>
                <w:color w:val="FF0000"/>
                <w:sz w:val="20"/>
                <w:szCs w:val="20"/>
              </w:rPr>
            </w:pPr>
            <w:r>
              <w:rPr>
                <w:rFonts w:ascii="Tahoma" w:hAnsi="Tahoma"/>
                <w:noProof/>
                <w:sz w:val="20"/>
              </w:rPr>
              <w:t xml:space="preserve">La Commission devrait réexaminer la mise en œuvre de l’initiative pour évaluer si les objectifs stratégiques ont été atteints. Cette </w:t>
            </w:r>
            <w:r>
              <w:rPr>
                <w:rFonts w:ascii="Tahoma" w:hAnsi="Tahoma"/>
                <w:b/>
                <w:noProof/>
                <w:sz w:val="20"/>
              </w:rPr>
              <w:t>évaluation</w:t>
            </w:r>
            <w:r>
              <w:rPr>
                <w:rFonts w:ascii="Tahoma" w:hAnsi="Tahoma"/>
                <w:noProof/>
                <w:sz w:val="20"/>
              </w:rPr>
              <w:t xml:space="preserve"> devrait avoir lieu </w:t>
            </w:r>
            <w:r>
              <w:rPr>
                <w:rFonts w:ascii="Tahoma" w:hAnsi="Tahoma"/>
                <w:b/>
                <w:noProof/>
                <w:sz w:val="20"/>
              </w:rPr>
              <w:t>5 ans</w:t>
            </w:r>
            <w:r>
              <w:rPr>
                <w:rFonts w:ascii="Tahoma" w:hAnsi="Tahoma"/>
                <w:noProof/>
                <w:sz w:val="20"/>
              </w:rPr>
              <w:t xml:space="preserve"> après la date limite de mise en œuvre de l’acte législatif, de façon à ce que suffisamm</w:t>
            </w:r>
            <w:r>
              <w:rPr>
                <w:rFonts w:ascii="Tahoma" w:hAnsi="Tahoma"/>
                <w:noProof/>
                <w:sz w:val="20"/>
              </w:rPr>
              <w:t>ent de temps puisse s’écouler pour une évaluation significative de la législation et des pratiques dans l’ensemble des États membres participants.</w:t>
            </w:r>
          </w:p>
        </w:tc>
      </w:tr>
    </w:tbl>
    <w:p w:rsidR="00424A36" w:rsidRDefault="00424A36">
      <w:pPr>
        <w:rPr>
          <w:rFonts w:ascii="Tahoma" w:hAnsi="Tahoma" w:cs="Tahoma"/>
          <w:noProof/>
          <w:sz w:val="20"/>
          <w:szCs w:val="20"/>
        </w:rPr>
      </w:pPr>
    </w:p>
    <w:sectPr w:rsidR="00424A36">
      <w:headerReference w:type="even" r:id="rId19"/>
      <w:headerReference w:type="default" r:id="rId20"/>
      <w:footerReference w:type="even" r:id="rId21"/>
      <w:footerReference w:type="default" r:id="rId22"/>
      <w:headerReference w:type="first" r:id="rId23"/>
      <w:footerReference w:type="first" r:id="rId24"/>
      <w:pgSz w:w="11906" w:h="16838" w:code="9"/>
      <w:pgMar w:top="1276" w:right="567" w:bottom="993" w:left="1134" w:header="284" w:footer="25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36" w:rsidRDefault="00A003ED">
      <w:r>
        <w:separator/>
      </w:r>
    </w:p>
  </w:endnote>
  <w:endnote w:type="continuationSeparator" w:id="0">
    <w:p w:rsidR="00424A36" w:rsidRDefault="00A003ED">
      <w:r>
        <w:continuationSeparator/>
      </w:r>
    </w:p>
  </w:endnote>
  <w:endnote w:type="continuationNotice" w:id="1">
    <w:p w:rsidR="00424A36" w:rsidRDefault="00424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ED" w:rsidRPr="00A003ED" w:rsidRDefault="00A003ED" w:rsidP="00A00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ED" w:rsidRPr="00A003ED" w:rsidRDefault="00A003ED" w:rsidP="00A003ED">
    <w:pPr>
      <w:pStyle w:val="FooterCoverPage"/>
      <w:rPr>
        <w:rFonts w:ascii="Arial" w:hAnsi="Arial" w:cs="Arial"/>
        <w:b/>
        <w:sz w:val="48"/>
      </w:rPr>
    </w:pPr>
    <w:r w:rsidRPr="00A003ED">
      <w:rPr>
        <w:rFonts w:ascii="Arial" w:hAnsi="Arial" w:cs="Arial"/>
        <w:b/>
        <w:sz w:val="48"/>
      </w:rPr>
      <w:t>FR</w:t>
    </w:r>
    <w:r w:rsidRPr="00A003ED">
      <w:rPr>
        <w:rFonts w:ascii="Arial" w:hAnsi="Arial" w:cs="Arial"/>
        <w:b/>
        <w:sz w:val="48"/>
      </w:rPr>
      <w:tab/>
    </w:r>
    <w:r w:rsidRPr="00A003ED">
      <w:rPr>
        <w:rFonts w:ascii="Arial" w:hAnsi="Arial" w:cs="Arial"/>
        <w:b/>
        <w:sz w:val="48"/>
      </w:rPr>
      <w:tab/>
    </w:r>
    <w:r w:rsidRPr="00A003ED">
      <w:tab/>
    </w:r>
    <w:r w:rsidRPr="00A003E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ED" w:rsidRPr="00A003ED" w:rsidRDefault="00A003ED" w:rsidP="00A003E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36" w:rsidRDefault="00424A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7112"/>
      <w:docPartObj>
        <w:docPartGallery w:val="Page Numbers (Bottom of Page)"/>
        <w:docPartUnique/>
      </w:docPartObj>
    </w:sdtPr>
    <w:sdtEndPr>
      <w:rPr>
        <w:noProof/>
      </w:rPr>
    </w:sdtEndPr>
    <w:sdtContent>
      <w:p w:rsidR="00424A36" w:rsidRDefault="00A003E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36" w:rsidRDefault="00A003ED">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36" w:rsidRDefault="00A003ED">
      <w:r>
        <w:separator/>
      </w:r>
    </w:p>
  </w:footnote>
  <w:footnote w:type="continuationSeparator" w:id="0">
    <w:p w:rsidR="00424A36" w:rsidRDefault="00A003ED">
      <w:r>
        <w:continuationSeparator/>
      </w:r>
    </w:p>
  </w:footnote>
  <w:footnote w:type="continuationNotice" w:id="1">
    <w:p w:rsidR="00424A36" w:rsidRDefault="00424A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ED" w:rsidRPr="00A003ED" w:rsidRDefault="00A003ED" w:rsidP="00A003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ED" w:rsidRPr="00A003ED" w:rsidRDefault="00A003ED" w:rsidP="00A003E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ED" w:rsidRPr="00A003ED" w:rsidRDefault="00A003ED" w:rsidP="00A003E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36" w:rsidRDefault="00424A3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36" w:rsidRDefault="00424A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36" w:rsidRDefault="00424A3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15C2"/>
    <w:multiLevelType w:val="hybridMultilevel"/>
    <w:tmpl w:val="96EE8E42"/>
    <w:lvl w:ilvl="0" w:tplc="FD5A1C26">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C79F9"/>
    <w:multiLevelType w:val="hybridMultilevel"/>
    <w:tmpl w:val="56C685BE"/>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9C39EA"/>
    <w:multiLevelType w:val="hybridMultilevel"/>
    <w:tmpl w:val="A3F2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AF5080"/>
    <w:multiLevelType w:val="hybridMultilevel"/>
    <w:tmpl w:val="78DAB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C177A"/>
    <w:multiLevelType w:val="hybridMultilevel"/>
    <w:tmpl w:val="0862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E37F61"/>
    <w:multiLevelType w:val="hybridMultilevel"/>
    <w:tmpl w:val="FE68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DA4E75"/>
    <w:multiLevelType w:val="hybridMultilevel"/>
    <w:tmpl w:val="6DE0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771725"/>
    <w:multiLevelType w:val="hybridMultilevel"/>
    <w:tmpl w:val="114A8280"/>
    <w:lvl w:ilvl="0" w:tplc="C90456E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A12FA4"/>
    <w:multiLevelType w:val="multilevel"/>
    <w:tmpl w:val="5F407C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b w:val="0"/>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C902B09"/>
    <w:multiLevelType w:val="hybridMultilevel"/>
    <w:tmpl w:val="68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96516B"/>
    <w:multiLevelType w:val="hybridMultilevel"/>
    <w:tmpl w:val="5BDA153C"/>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9"/>
  </w:num>
  <w:num w:numId="5">
    <w:abstractNumId w:val="10"/>
  </w:num>
  <w:num w:numId="6">
    <w:abstractNumId w:val="1"/>
  </w:num>
  <w:num w:numId="7">
    <w:abstractNumId w:val="3"/>
  </w:num>
  <w:num w:numId="8">
    <w:abstractNumId w:val="0"/>
  </w:num>
  <w:num w:numId="9">
    <w:abstractNumId w:val="2"/>
  </w:num>
  <w:num w:numId="10">
    <w:abstractNumId w:val="8"/>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743B3594-084B-487E-B1D4-00EAE0EAB99C"/>
    <w:docVar w:name="LW_COVERPAGE_TYPE" w:val="1"/>
    <w:docVar w:name="LW_CROSSREFERENCE" w:val="{COM(2018) 225 final}_x000d__x000a_{SWD(2018) 118 final}_x000a_{COM(2018) 226 final}"/>
    <w:docVar w:name="LW_DocType" w:val="NORMAL"/>
    <w:docVar w:name="LW_EMISSION" w:val="17.4.2018"/>
    <w:docVar w:name="LW_EMISSION_ISODATE" w:val="2018-04-17"/>
    <w:docVar w:name="LW_EMISSION_LOCATION" w:val="BRX"/>
    <w:docVar w:name="LW_EMISSION_PREFIX" w:val="Strasbourg,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relatif aux injonctions européennes de production et de conservation de preuves électroniques en matière pénale_x000b_et_x000b_Proposition de directive du Parlement européen et du Conseil établissant des règles harmonisées concernant la désignation de représentants légaux aux fins de la collecte de preuves en matière pénale_x000b_"/>
  </w:docVars>
  <w:rsids>
    <w:rsidRoot w:val="00424A36"/>
    <w:rsid w:val="00424A36"/>
    <w:rsid w:val="00A00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34A0-25D7-4AA9-BE70-8DFE35B7CAB1}">
  <ds:schemaRefs>
    <ds:schemaRef ds:uri="http://schemas.microsoft.com/office/infopath/2007/PartnerControls"/>
    <ds:schemaRef ds:uri="http://schemas.microsoft.com/sharepoint/v3/field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e545963d-d22e-4b1c-8d50-a68973f4b290"/>
    <ds:schemaRef ds:uri="http://www.w3.org/XML/1998/namespace"/>
  </ds:schemaRefs>
</ds:datastoreItem>
</file>

<file path=customXml/itemProps2.xml><?xml version="1.0" encoding="utf-8"?>
<ds:datastoreItem xmlns:ds="http://schemas.openxmlformats.org/officeDocument/2006/customXml" ds:itemID="{F5E58C63-F68B-48AD-852F-A68E99729DB9}">
  <ds:schemaRefs>
    <ds:schemaRef ds:uri="http://schemas.microsoft.com/sharepoint/v3/contenttype/forms"/>
  </ds:schemaRefs>
</ds:datastoreItem>
</file>

<file path=customXml/itemProps3.xml><?xml version="1.0" encoding="utf-8"?>
<ds:datastoreItem xmlns:ds="http://schemas.openxmlformats.org/officeDocument/2006/customXml" ds:itemID="{3FCCA36B-0B4D-426E-9FCE-23D21109B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98469-168B-4BF5-8B53-A78B3B96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1332</Words>
  <Characters>7963</Characters>
  <Application>Microsoft Office Word</Application>
  <DocSecurity>0</DocSecurity>
  <Lines>118</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23</cp:revision>
  <cp:lastPrinted>2017-08-31T12:20:00Z</cp:lastPrinted>
  <dcterms:created xsi:type="dcterms:W3CDTF">2018-04-10T07:35:00Z</dcterms:created>
  <dcterms:modified xsi:type="dcterms:W3CDTF">2018-05-24T13:01:00Z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0x010100258AA79CEB83498886A3A0868112325000B05BFFFB036732419014A7F8A6877929</vt:lpwstr>
  </property>
</Properties>
</file>