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78" w:rsidRDefault="005D1193" w:rsidP="005D119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7D19734-7A38-4632-A158-3BF6DC0330A6" style="width:450.45pt;height:445.25pt">
            <v:imagedata r:id="rId12" o:title=""/>
          </v:shape>
        </w:pict>
      </w:r>
    </w:p>
    <w:bookmarkEnd w:id="0"/>
    <w:p w:rsidR="00A13178" w:rsidRDefault="00A13178">
      <w:pPr>
        <w:rPr>
          <w:noProof/>
        </w:rPr>
        <w:sectPr w:rsidR="00A13178" w:rsidSect="005D1193">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rsidR="00A13178">
        <w:tc>
          <w:tcPr>
            <w:tcW w:w="10188" w:type="dxa"/>
            <w:tcBorders>
              <w:bottom w:val="single" w:sz="4" w:space="0" w:color="auto"/>
            </w:tcBorders>
            <w:shd w:val="clear" w:color="auto" w:fill="CCCCCC"/>
          </w:tcPr>
          <w:p w:rsidR="00A13178" w:rsidRDefault="005D1193">
            <w:pPr>
              <w:tabs>
                <w:tab w:val="left" w:pos="2309"/>
              </w:tabs>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Обобщение</w:t>
            </w:r>
          </w:p>
        </w:tc>
      </w:tr>
      <w:tr w:rsidR="00A13178">
        <w:trPr>
          <w:trHeight w:val="574"/>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A13178" w:rsidRDefault="005D1193">
            <w:pPr>
              <w:spacing w:before="20"/>
              <w:jc w:val="center"/>
              <w:rPr>
                <w:rFonts w:ascii="Tahoma" w:hAnsi="Tahoma" w:cs="Tahoma"/>
                <w:b/>
                <w:noProof/>
                <w:sz w:val="20"/>
              </w:rPr>
            </w:pPr>
            <w:r>
              <w:rPr>
                <w:rFonts w:ascii="Tahoma" w:hAnsi="Tahoma"/>
                <w:b/>
                <w:noProof/>
                <w:color w:val="FFFFFF" w:themeColor="background1"/>
                <w:sz w:val="20"/>
              </w:rPr>
              <w:t xml:space="preserve">Оценка на въздействието за предложение </w:t>
            </w:r>
            <w:r>
              <w:rPr>
                <w:rFonts w:ascii="Tahoma" w:hAnsi="Tahoma" w:cs="Tahoma"/>
                <w:b/>
                <w:noProof/>
                <w:color w:val="FFFFFF" w:themeColor="background1"/>
                <w:sz w:val="20"/>
              </w:rPr>
              <w:br/>
            </w:r>
            <w:r>
              <w:rPr>
                <w:rFonts w:ascii="Tahoma" w:hAnsi="Tahoma"/>
                <w:b/>
                <w:noProof/>
                <w:color w:val="FFFFFF" w:themeColor="background1"/>
                <w:sz w:val="20"/>
              </w:rPr>
              <w:t xml:space="preserve">относно подобряване на трансграничния достъп до електронни доказателства по наказателноправни </w:t>
            </w:r>
            <w:r>
              <w:rPr>
                <w:rFonts w:ascii="Tahoma" w:hAnsi="Tahoma"/>
                <w:b/>
                <w:noProof/>
                <w:color w:val="FFFFFF" w:themeColor="background1"/>
                <w:sz w:val="20"/>
              </w:rPr>
              <w:t>въпроси</w:t>
            </w:r>
          </w:p>
        </w:tc>
      </w:tr>
      <w:tr w:rsidR="00A13178">
        <w:tc>
          <w:tcPr>
            <w:tcW w:w="10188" w:type="dxa"/>
            <w:tcBorders>
              <w:bottom w:val="single" w:sz="4" w:space="0" w:color="auto"/>
            </w:tcBorders>
            <w:shd w:val="clear" w:color="auto" w:fill="CCCCCC"/>
          </w:tcPr>
          <w:p w:rsidR="00A13178" w:rsidRDefault="005D1193">
            <w:pPr>
              <w:tabs>
                <w:tab w:val="left" w:pos="2309"/>
              </w:tabs>
              <w:spacing w:before="60" w:after="60"/>
              <w:rPr>
                <w:rFonts w:ascii="Tahoma" w:hAnsi="Tahoma" w:cs="Tahoma"/>
                <w:b/>
                <w:noProof/>
                <w:sz w:val="20"/>
                <w:szCs w:val="20"/>
              </w:rPr>
            </w:pPr>
            <w:r>
              <w:rPr>
                <w:rFonts w:ascii="Tahoma" w:hAnsi="Tahoma"/>
                <w:b/>
                <w:noProof/>
                <w:sz w:val="20"/>
              </w:rPr>
              <w:t>A. Необходимост от действия</w:t>
            </w:r>
            <w:r>
              <w:rPr>
                <w:noProof/>
              </w:rPr>
              <w:tab/>
            </w:r>
          </w:p>
        </w:tc>
      </w:tr>
      <w:tr w:rsidR="00A13178">
        <w:tc>
          <w:tcPr>
            <w:tcW w:w="10188" w:type="dxa"/>
            <w:tcBorders>
              <w:bottom w:val="single" w:sz="4" w:space="0" w:color="auto"/>
            </w:tcBorders>
            <w:shd w:val="clear" w:color="auto" w:fill="E0E0E0"/>
          </w:tcPr>
          <w:p w:rsidR="00A13178" w:rsidRDefault="005D1193">
            <w:pPr>
              <w:pStyle w:val="Default"/>
              <w:spacing w:before="20" w:after="20"/>
              <w:jc w:val="both"/>
              <w:rPr>
                <w:rFonts w:ascii="Tahoma" w:hAnsi="Tahoma" w:cs="Tahoma"/>
                <w:noProof/>
                <w:sz w:val="20"/>
                <w:szCs w:val="20"/>
              </w:rPr>
            </w:pPr>
            <w:r>
              <w:rPr>
                <w:rFonts w:ascii="Tahoma" w:hAnsi="Tahoma"/>
                <w:b/>
                <w:noProof/>
                <w:sz w:val="20"/>
              </w:rPr>
              <w:t xml:space="preserve">В какво се изразява проблемът и защо той е проблем на равнището на ЕС? </w:t>
            </w:r>
          </w:p>
        </w:tc>
      </w:tr>
      <w:tr w:rsidR="00A13178">
        <w:trPr>
          <w:trHeight w:val="3340"/>
        </w:trPr>
        <w:tc>
          <w:tcPr>
            <w:tcW w:w="10188" w:type="dxa"/>
            <w:tcBorders>
              <w:bottom w:val="single" w:sz="4" w:space="0" w:color="auto"/>
            </w:tcBorders>
            <w:shd w:val="clear" w:color="auto" w:fill="auto"/>
          </w:tcPr>
          <w:p w:rsidR="00A13178" w:rsidRDefault="005D1193">
            <w:pPr>
              <w:spacing w:before="60"/>
              <w:jc w:val="both"/>
              <w:rPr>
                <w:rFonts w:ascii="Tahoma" w:hAnsi="Tahoma" w:cs="Tahoma"/>
                <w:b/>
                <w:noProof/>
                <w:sz w:val="20"/>
                <w:szCs w:val="20"/>
              </w:rPr>
            </w:pPr>
            <w:r>
              <w:rPr>
                <w:rFonts w:ascii="Tahoma" w:hAnsi="Tahoma"/>
                <w:b/>
                <w:noProof/>
                <w:sz w:val="20"/>
              </w:rPr>
              <w:t>Трудностите</w:t>
            </w:r>
            <w:r>
              <w:rPr>
                <w:rFonts w:ascii="Tahoma" w:hAnsi="Tahoma"/>
                <w:noProof/>
                <w:sz w:val="20"/>
              </w:rPr>
              <w:t xml:space="preserve">, които се срещат при </w:t>
            </w:r>
            <w:r>
              <w:rPr>
                <w:rFonts w:ascii="Tahoma" w:hAnsi="Tahoma"/>
                <w:b/>
                <w:noProof/>
                <w:sz w:val="20"/>
              </w:rPr>
              <w:t>трансграничния достъп до електронни доказателства</w:t>
            </w:r>
            <w:r>
              <w:rPr>
                <w:rFonts w:ascii="Tahoma" w:hAnsi="Tahoma"/>
                <w:noProof/>
                <w:sz w:val="20"/>
              </w:rPr>
              <w:t xml:space="preserve">, понастоящем възпрепятстват ефективното разследване и </w:t>
            </w:r>
            <w:r>
              <w:rPr>
                <w:rFonts w:ascii="Tahoma" w:hAnsi="Tahoma"/>
                <w:noProof/>
                <w:sz w:val="20"/>
              </w:rPr>
              <w:t>наказателно преследване на престъпленията в ЕС. Налице е липса на ефективност в съдебното сътрудничество между публичните органи, прякото сътрудничество между публичните органи и доставчиците на услуги и прекия достъп на публичните органи до електронни док</w:t>
            </w:r>
            <w:r>
              <w:rPr>
                <w:rFonts w:ascii="Tahoma" w:hAnsi="Tahoma"/>
                <w:noProof/>
                <w:sz w:val="20"/>
              </w:rPr>
              <w:t>азателства.</w:t>
            </w:r>
            <w:r>
              <w:rPr>
                <w:rFonts w:ascii="Tahoma" w:hAnsi="Tahoma"/>
                <w:b/>
                <w:noProof/>
                <w:sz w:val="20"/>
              </w:rPr>
              <w:t xml:space="preserve"> </w:t>
            </w:r>
            <w:r>
              <w:rPr>
                <w:rFonts w:ascii="Tahoma" w:hAnsi="Tahoma"/>
                <w:noProof/>
                <w:sz w:val="20"/>
              </w:rPr>
              <w:t>В резултат на това спират разследвания, престъпления остават ненаказани, жертвите са по-малко защитени, а гражданите на ЕС се чувстват по-малко в безопасност.</w:t>
            </w:r>
          </w:p>
          <w:p w:rsidR="00A13178" w:rsidRDefault="005D1193">
            <w:pPr>
              <w:spacing w:before="120" w:line="276" w:lineRule="auto"/>
              <w:jc w:val="both"/>
              <w:rPr>
                <w:rFonts w:ascii="Tahoma" w:hAnsi="Tahoma" w:cs="Tahoma"/>
                <w:noProof/>
                <w:sz w:val="20"/>
                <w:szCs w:val="20"/>
              </w:rPr>
            </w:pPr>
            <w:r>
              <w:rPr>
                <w:rFonts w:ascii="Tahoma" w:hAnsi="Tahoma"/>
                <w:noProof/>
                <w:sz w:val="20"/>
              </w:rPr>
              <w:t>В оценката на въздействието се посочват три проблема:</w:t>
            </w:r>
          </w:p>
          <w:p w:rsidR="00A13178" w:rsidRDefault="005D1193">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 xml:space="preserve">В рамките на съществуващите процедури за </w:t>
            </w:r>
            <w:r>
              <w:rPr>
                <w:rFonts w:ascii="Tahoma" w:hAnsi="Tahoma"/>
                <w:b/>
                <w:noProof/>
                <w:sz w:val="20"/>
              </w:rPr>
              <w:t>съдебно сътрудничество</w:t>
            </w:r>
            <w:r>
              <w:rPr>
                <w:rFonts w:ascii="Tahoma" w:hAnsi="Tahoma"/>
                <w:noProof/>
                <w:sz w:val="20"/>
              </w:rPr>
              <w:t xml:space="preserve"> отнема </w:t>
            </w:r>
            <w:r>
              <w:rPr>
                <w:rFonts w:ascii="Tahoma" w:hAnsi="Tahoma"/>
                <w:b/>
                <w:noProof/>
                <w:sz w:val="20"/>
              </w:rPr>
              <w:t>твърде много време</w:t>
            </w:r>
            <w:r>
              <w:rPr>
                <w:rFonts w:ascii="Tahoma" w:hAnsi="Tahoma"/>
                <w:noProof/>
                <w:sz w:val="20"/>
              </w:rPr>
              <w:t xml:space="preserve"> да се осигури трансграничен достъп до електронни доказателства, което прави разследванията и наказателните преследвания по-малко ефективни.</w:t>
            </w:r>
          </w:p>
          <w:p w:rsidR="00A13178" w:rsidRDefault="005D1193">
            <w:pPr>
              <w:pStyle w:val="ListParagraph"/>
              <w:numPr>
                <w:ilvl w:val="0"/>
                <w:numId w:val="2"/>
              </w:numPr>
              <w:spacing w:after="200" w:line="276" w:lineRule="auto"/>
              <w:jc w:val="both"/>
              <w:rPr>
                <w:rFonts w:ascii="Tahoma" w:hAnsi="Tahoma" w:cs="Tahoma"/>
                <w:noProof/>
                <w:sz w:val="20"/>
                <w:szCs w:val="20"/>
              </w:rPr>
            </w:pPr>
            <w:r>
              <w:rPr>
                <w:rFonts w:ascii="Tahoma" w:hAnsi="Tahoma"/>
                <w:noProof/>
                <w:sz w:val="20"/>
              </w:rPr>
              <w:t xml:space="preserve">Неефективността на </w:t>
            </w:r>
            <w:r>
              <w:rPr>
                <w:rFonts w:ascii="Tahoma" w:hAnsi="Tahoma"/>
                <w:b/>
                <w:noProof/>
                <w:sz w:val="20"/>
              </w:rPr>
              <w:t>публичн</w:t>
            </w:r>
            <w:r>
              <w:rPr>
                <w:rFonts w:ascii="Tahoma" w:hAnsi="Tahoma"/>
                <w:b/>
                <w:noProof/>
                <w:sz w:val="20"/>
              </w:rPr>
              <w:t>о-частното сътрудничество</w:t>
            </w:r>
            <w:r>
              <w:rPr>
                <w:rFonts w:ascii="Tahoma" w:hAnsi="Tahoma"/>
                <w:noProof/>
                <w:sz w:val="20"/>
              </w:rPr>
              <w:t xml:space="preserve"> между доставчиците на услуги и публичните органи пречи на ефективното разследвания и наказателни преследвания.</w:t>
            </w:r>
          </w:p>
          <w:p w:rsidR="00A13178" w:rsidRDefault="005D1193">
            <w:pPr>
              <w:pStyle w:val="ListParagraph"/>
              <w:numPr>
                <w:ilvl w:val="0"/>
                <w:numId w:val="2"/>
              </w:numPr>
              <w:spacing w:line="276" w:lineRule="auto"/>
              <w:jc w:val="both"/>
              <w:rPr>
                <w:rFonts w:ascii="Tahoma" w:hAnsi="Tahoma" w:cs="Tahoma"/>
                <w:noProof/>
                <w:sz w:val="20"/>
                <w:szCs w:val="20"/>
              </w:rPr>
            </w:pPr>
            <w:r>
              <w:rPr>
                <w:rFonts w:ascii="Tahoma" w:hAnsi="Tahoma"/>
                <w:noProof/>
                <w:sz w:val="20"/>
              </w:rPr>
              <w:t xml:space="preserve">Проблемите при определянето на </w:t>
            </w:r>
            <w:r>
              <w:rPr>
                <w:rFonts w:ascii="Tahoma" w:hAnsi="Tahoma"/>
                <w:b/>
                <w:noProof/>
                <w:sz w:val="20"/>
              </w:rPr>
              <w:t>компетентността</w:t>
            </w:r>
            <w:r>
              <w:rPr>
                <w:rFonts w:ascii="Tahoma" w:hAnsi="Tahoma"/>
                <w:noProof/>
                <w:sz w:val="20"/>
              </w:rPr>
              <w:t xml:space="preserve"> могат да възпрепятстват ефективните трансгранични разследвания и наказат</w:t>
            </w:r>
            <w:r>
              <w:rPr>
                <w:rFonts w:ascii="Tahoma" w:hAnsi="Tahoma"/>
                <w:noProof/>
                <w:sz w:val="20"/>
              </w:rPr>
              <w:t xml:space="preserve">елни преследвания. </w:t>
            </w:r>
          </w:p>
        </w:tc>
      </w:tr>
      <w:tr w:rsidR="00A13178">
        <w:tc>
          <w:tcPr>
            <w:tcW w:w="10188" w:type="dxa"/>
            <w:tcBorders>
              <w:bottom w:val="single" w:sz="4" w:space="0" w:color="auto"/>
            </w:tcBorders>
            <w:shd w:val="clear" w:color="auto" w:fill="E6E6E6"/>
          </w:tcPr>
          <w:p w:rsidR="00A13178" w:rsidRDefault="005D1193">
            <w:pPr>
              <w:pStyle w:val="Default"/>
              <w:spacing w:before="20" w:after="20"/>
              <w:jc w:val="both"/>
              <w:rPr>
                <w:rFonts w:ascii="Tahoma" w:hAnsi="Tahoma" w:cs="Tahoma"/>
                <w:noProof/>
                <w:sz w:val="20"/>
                <w:szCs w:val="20"/>
              </w:rPr>
            </w:pPr>
            <w:r>
              <w:rPr>
                <w:rFonts w:ascii="Tahoma" w:hAnsi="Tahoma"/>
                <w:b/>
                <w:noProof/>
                <w:sz w:val="20"/>
              </w:rPr>
              <w:t xml:space="preserve">Какво трябва да се направи? </w:t>
            </w:r>
          </w:p>
        </w:tc>
      </w:tr>
      <w:tr w:rsidR="00A13178">
        <w:trPr>
          <w:trHeight w:val="2142"/>
        </w:trPr>
        <w:tc>
          <w:tcPr>
            <w:tcW w:w="10188" w:type="dxa"/>
            <w:tcBorders>
              <w:bottom w:val="single" w:sz="4" w:space="0" w:color="auto"/>
            </w:tcBorders>
            <w:shd w:val="clear" w:color="auto" w:fill="auto"/>
          </w:tcPr>
          <w:p w:rsidR="00A13178" w:rsidRDefault="005D1193">
            <w:pPr>
              <w:spacing w:before="60" w:after="60"/>
              <w:jc w:val="both"/>
              <w:rPr>
                <w:rFonts w:ascii="Tahoma" w:hAnsi="Tahoma" w:cs="Tahoma"/>
                <w:noProof/>
                <w:sz w:val="20"/>
                <w:szCs w:val="20"/>
              </w:rPr>
            </w:pPr>
            <w:r>
              <w:rPr>
                <w:rFonts w:ascii="Tahoma" w:hAnsi="Tahoma"/>
                <w:b/>
                <w:noProof/>
                <w:sz w:val="20"/>
              </w:rPr>
              <w:t>Общата</w:t>
            </w:r>
            <w:r>
              <w:rPr>
                <w:rFonts w:ascii="Tahoma" w:hAnsi="Tahoma"/>
                <w:noProof/>
                <w:sz w:val="20"/>
              </w:rPr>
              <w:t xml:space="preserve"> цел е да се гарантира ефективното разследване и наказателно преследване на престъпления в ЕС чрез подобряване на трансграничния достъп до електронни доказателства чрез засилено съдебно сътрудничество по наказателноправни въпроси и сближаване на правилата </w:t>
            </w:r>
            <w:r>
              <w:rPr>
                <w:rFonts w:ascii="Tahoma" w:hAnsi="Tahoma"/>
                <w:noProof/>
                <w:sz w:val="20"/>
              </w:rPr>
              <w:t>и процедурите.</w:t>
            </w:r>
          </w:p>
          <w:p w:rsidR="00A13178" w:rsidRDefault="005D1193">
            <w:pPr>
              <w:spacing w:line="276" w:lineRule="auto"/>
              <w:jc w:val="both"/>
              <w:rPr>
                <w:rFonts w:ascii="Tahoma" w:hAnsi="Tahoma" w:cs="Tahoma"/>
                <w:noProof/>
                <w:sz w:val="20"/>
                <w:szCs w:val="20"/>
              </w:rPr>
            </w:pPr>
            <w:r>
              <w:rPr>
                <w:rFonts w:ascii="Tahoma" w:hAnsi="Tahoma"/>
                <w:noProof/>
                <w:sz w:val="20"/>
              </w:rPr>
              <w:t xml:space="preserve">Определени са три </w:t>
            </w:r>
            <w:r>
              <w:rPr>
                <w:rFonts w:ascii="Tahoma" w:hAnsi="Tahoma"/>
                <w:b/>
                <w:noProof/>
                <w:sz w:val="20"/>
              </w:rPr>
              <w:t>конкретни</w:t>
            </w:r>
            <w:r>
              <w:rPr>
                <w:rFonts w:ascii="Tahoma" w:hAnsi="Tahoma"/>
                <w:noProof/>
                <w:sz w:val="20"/>
              </w:rPr>
              <w:t xml:space="preserve"> цели: </w:t>
            </w:r>
          </w:p>
          <w:p w:rsidR="00A13178" w:rsidRDefault="005D1193">
            <w:pPr>
              <w:pStyle w:val="ListParagraph"/>
              <w:numPr>
                <w:ilvl w:val="0"/>
                <w:numId w:val="1"/>
              </w:numPr>
              <w:spacing w:line="276" w:lineRule="auto"/>
              <w:contextualSpacing w:val="0"/>
              <w:jc w:val="both"/>
              <w:rPr>
                <w:rFonts w:ascii="Tahoma" w:hAnsi="Tahoma" w:cs="Tahoma"/>
                <w:noProof/>
                <w:sz w:val="20"/>
                <w:szCs w:val="20"/>
              </w:rPr>
            </w:pPr>
            <w:r>
              <w:rPr>
                <w:rFonts w:ascii="Tahoma" w:hAnsi="Tahoma"/>
                <w:b/>
                <w:noProof/>
                <w:sz w:val="20"/>
              </w:rPr>
              <w:t>Да се намалят закъсненията</w:t>
            </w:r>
            <w:r>
              <w:rPr>
                <w:noProof/>
              </w:rPr>
              <w:t xml:space="preserve"> </w:t>
            </w:r>
            <w:r>
              <w:rPr>
                <w:rFonts w:ascii="Tahoma" w:hAnsi="Tahoma"/>
                <w:noProof/>
                <w:sz w:val="20"/>
              </w:rPr>
              <w:t>при трансграничния достъп до електронни доказателства;</w:t>
            </w:r>
          </w:p>
          <w:p w:rsidR="00A13178" w:rsidRDefault="005D1193">
            <w:pPr>
              <w:pStyle w:val="ListParagraph"/>
              <w:numPr>
                <w:ilvl w:val="0"/>
                <w:numId w:val="1"/>
              </w:numPr>
              <w:spacing w:line="276" w:lineRule="auto"/>
              <w:contextualSpacing w:val="0"/>
              <w:jc w:val="both"/>
              <w:rPr>
                <w:rFonts w:ascii="Tahoma" w:hAnsi="Tahoma" w:cs="Tahoma"/>
                <w:noProof/>
                <w:sz w:val="20"/>
                <w:szCs w:val="20"/>
              </w:rPr>
            </w:pPr>
            <w:r>
              <w:rPr>
                <w:rFonts w:ascii="Tahoma" w:hAnsi="Tahoma"/>
                <w:b/>
                <w:noProof/>
                <w:sz w:val="20"/>
              </w:rPr>
              <w:t>Да се осигури</w:t>
            </w:r>
            <w:r>
              <w:rPr>
                <w:noProof/>
              </w:rPr>
              <w:t xml:space="preserve"> </w:t>
            </w:r>
            <w:r>
              <w:rPr>
                <w:rFonts w:ascii="Tahoma" w:hAnsi="Tahoma"/>
                <w:noProof/>
                <w:sz w:val="20"/>
              </w:rPr>
              <w:t xml:space="preserve">трансграничен </w:t>
            </w:r>
            <w:r>
              <w:rPr>
                <w:rFonts w:ascii="Tahoma" w:hAnsi="Tahoma"/>
                <w:b/>
                <w:noProof/>
                <w:sz w:val="20"/>
              </w:rPr>
              <w:t>достъп</w:t>
            </w:r>
            <w:r>
              <w:rPr>
                <w:rFonts w:ascii="Tahoma" w:hAnsi="Tahoma"/>
                <w:noProof/>
                <w:sz w:val="20"/>
              </w:rPr>
              <w:t xml:space="preserve"> до електронни доказателства, където</w:t>
            </w:r>
            <w:r>
              <w:rPr>
                <w:rFonts w:ascii="Tahoma" w:hAnsi="Tahoma"/>
                <w:b/>
                <w:noProof/>
                <w:sz w:val="20"/>
              </w:rPr>
              <w:t xml:space="preserve"> понастоящем той липсва;</w:t>
            </w:r>
          </w:p>
          <w:p w:rsidR="00A13178" w:rsidRDefault="005D1193">
            <w:pPr>
              <w:pStyle w:val="ListParagraph"/>
              <w:numPr>
                <w:ilvl w:val="0"/>
                <w:numId w:val="1"/>
              </w:numPr>
              <w:spacing w:after="120" w:line="276" w:lineRule="auto"/>
              <w:ind w:left="714" w:hanging="357"/>
              <w:contextualSpacing w:val="0"/>
              <w:jc w:val="both"/>
              <w:rPr>
                <w:rFonts w:ascii="Tahoma" w:hAnsi="Tahoma" w:cs="Tahoma"/>
                <w:b/>
                <w:noProof/>
                <w:sz w:val="20"/>
                <w:szCs w:val="20"/>
              </w:rPr>
            </w:pPr>
            <w:r>
              <w:rPr>
                <w:rFonts w:ascii="Tahoma" w:hAnsi="Tahoma"/>
                <w:noProof/>
                <w:sz w:val="20"/>
              </w:rPr>
              <w:t xml:space="preserve">Да се подобри </w:t>
            </w:r>
            <w:r>
              <w:rPr>
                <w:rFonts w:ascii="Tahoma" w:hAnsi="Tahoma"/>
                <w:b/>
                <w:noProof/>
                <w:sz w:val="20"/>
              </w:rPr>
              <w:t>правната сигурн</w:t>
            </w:r>
            <w:r>
              <w:rPr>
                <w:rFonts w:ascii="Tahoma" w:hAnsi="Tahoma"/>
                <w:b/>
                <w:noProof/>
                <w:sz w:val="20"/>
              </w:rPr>
              <w:t>ост, защитата на основните права, прозрачността</w:t>
            </w:r>
            <w:r>
              <w:rPr>
                <w:rFonts w:ascii="Tahoma" w:hAnsi="Tahoma"/>
                <w:noProof/>
                <w:sz w:val="20"/>
              </w:rPr>
              <w:t xml:space="preserve"> и </w:t>
            </w:r>
            <w:r>
              <w:rPr>
                <w:rFonts w:ascii="Tahoma" w:hAnsi="Tahoma"/>
                <w:b/>
                <w:noProof/>
                <w:sz w:val="20"/>
              </w:rPr>
              <w:t>отчетността.</w:t>
            </w:r>
          </w:p>
        </w:tc>
      </w:tr>
      <w:tr w:rsidR="00A13178">
        <w:tc>
          <w:tcPr>
            <w:tcW w:w="10188" w:type="dxa"/>
            <w:tcBorders>
              <w:bottom w:val="single" w:sz="4" w:space="0" w:color="auto"/>
            </w:tcBorders>
            <w:shd w:val="clear" w:color="auto" w:fill="E6E6E6"/>
          </w:tcPr>
          <w:p w:rsidR="00A13178" w:rsidRDefault="005D1193">
            <w:pPr>
              <w:pStyle w:val="Default"/>
              <w:spacing w:before="20" w:after="20"/>
              <w:jc w:val="both"/>
              <w:rPr>
                <w:rFonts w:ascii="Tahoma" w:hAnsi="Tahoma" w:cs="Tahoma"/>
                <w:noProof/>
                <w:sz w:val="20"/>
                <w:szCs w:val="20"/>
              </w:rPr>
            </w:pPr>
            <w:r>
              <w:rPr>
                <w:rFonts w:ascii="Tahoma" w:hAnsi="Tahoma"/>
                <w:b/>
                <w:noProof/>
                <w:sz w:val="20"/>
              </w:rPr>
              <w:t xml:space="preserve">Каква е добавената стойност от действия на равнището на ЕС (субсидиарност)? </w:t>
            </w:r>
          </w:p>
        </w:tc>
      </w:tr>
      <w:tr w:rsidR="00A13178">
        <w:trPr>
          <w:trHeight w:val="1750"/>
        </w:trPr>
        <w:tc>
          <w:tcPr>
            <w:tcW w:w="10188" w:type="dxa"/>
            <w:tcBorders>
              <w:bottom w:val="single" w:sz="4" w:space="0" w:color="auto"/>
            </w:tcBorders>
            <w:shd w:val="clear" w:color="auto" w:fill="auto"/>
          </w:tcPr>
          <w:p w:rsidR="00A13178" w:rsidRDefault="005D1193">
            <w:pPr>
              <w:spacing w:before="60"/>
              <w:jc w:val="both"/>
              <w:rPr>
                <w:rFonts w:ascii="Tahoma" w:hAnsi="Tahoma" w:cs="Tahoma"/>
                <w:noProof/>
                <w:sz w:val="20"/>
                <w:szCs w:val="20"/>
              </w:rPr>
            </w:pPr>
            <w:r>
              <w:rPr>
                <w:rFonts w:ascii="Tahoma" w:hAnsi="Tahoma"/>
                <w:noProof/>
                <w:sz w:val="20"/>
              </w:rPr>
              <w:t xml:space="preserve">Тъй като тази инициатива включва </w:t>
            </w:r>
            <w:r>
              <w:rPr>
                <w:rFonts w:ascii="Tahoma" w:hAnsi="Tahoma"/>
                <w:b/>
                <w:noProof/>
                <w:sz w:val="20"/>
              </w:rPr>
              <w:t xml:space="preserve">трансгранични </w:t>
            </w:r>
            <w:r>
              <w:rPr>
                <w:rFonts w:ascii="Tahoma" w:hAnsi="Tahoma"/>
                <w:noProof/>
                <w:sz w:val="20"/>
              </w:rPr>
              <w:t>въпроси, засегнатите проблеми не могат да бъдат разрешени от отделни държави членки на ЕС. Освен това, предвид разнообразието на правните подходи, броя засегнати области на политиката (сигурност, наказателно право, основни права, включително защита на данн</w:t>
            </w:r>
            <w:r>
              <w:rPr>
                <w:rFonts w:ascii="Tahoma" w:hAnsi="Tahoma"/>
                <w:noProof/>
                <w:sz w:val="20"/>
              </w:rPr>
              <w:t xml:space="preserve">ите, икономически въпроси) и широкия кръг заинтересовани страни, ЕС е най-подходящото равнище за разрешаване на установените проблеми. </w:t>
            </w:r>
          </w:p>
          <w:p w:rsidR="00A13178" w:rsidRDefault="005D1193">
            <w:pPr>
              <w:spacing w:after="120"/>
              <w:jc w:val="both"/>
              <w:rPr>
                <w:rFonts w:ascii="Tahoma" w:hAnsi="Tahoma" w:cs="Tahoma"/>
                <w:noProof/>
                <w:sz w:val="20"/>
                <w:szCs w:val="20"/>
              </w:rPr>
            </w:pPr>
            <w:r>
              <w:rPr>
                <w:rFonts w:ascii="Tahoma" w:hAnsi="Tahoma"/>
                <w:noProof/>
                <w:sz w:val="20"/>
              </w:rPr>
              <w:t>Действията на равнището на Съюза също така улесняват сътрудничеството с трети държави, особено със САЩ; това е важно, тъ</w:t>
            </w:r>
            <w:r>
              <w:rPr>
                <w:rFonts w:ascii="Tahoma" w:hAnsi="Tahoma"/>
                <w:noProof/>
                <w:sz w:val="20"/>
              </w:rPr>
              <w:t>й като необходимостта за получаване на трансграничен достъп до електронни доказателства често излиза извън границите на ЕС.</w:t>
            </w:r>
          </w:p>
        </w:tc>
      </w:tr>
      <w:tr w:rsidR="00A13178">
        <w:tc>
          <w:tcPr>
            <w:tcW w:w="10188" w:type="dxa"/>
            <w:tcBorders>
              <w:bottom w:val="single" w:sz="4" w:space="0" w:color="auto"/>
            </w:tcBorders>
            <w:shd w:val="clear" w:color="auto" w:fill="CCCCCC"/>
          </w:tcPr>
          <w:p w:rsidR="00A13178" w:rsidRDefault="005D1193">
            <w:pPr>
              <w:spacing w:before="60" w:after="60"/>
              <w:rPr>
                <w:rFonts w:ascii="Tahoma" w:hAnsi="Tahoma" w:cs="Tahoma"/>
                <w:b/>
                <w:noProof/>
                <w:sz w:val="20"/>
                <w:szCs w:val="20"/>
              </w:rPr>
            </w:pPr>
            <w:r>
              <w:rPr>
                <w:rFonts w:ascii="Tahoma" w:hAnsi="Tahoma"/>
                <w:b/>
                <w:noProof/>
                <w:sz w:val="20"/>
              </w:rPr>
              <w:t>Б. Решения</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t xml:space="preserve">Какви са различните варианти за постигане на целите? Има ли предпочитан вариант? Ако не, защо? </w:t>
            </w:r>
          </w:p>
        </w:tc>
      </w:tr>
      <w:tr w:rsidR="00A13178">
        <w:trPr>
          <w:trHeight w:val="1817"/>
        </w:trPr>
        <w:tc>
          <w:tcPr>
            <w:tcW w:w="10188" w:type="dxa"/>
            <w:tcBorders>
              <w:bottom w:val="single" w:sz="4" w:space="0" w:color="auto"/>
            </w:tcBorders>
            <w:shd w:val="clear" w:color="auto" w:fill="auto"/>
          </w:tcPr>
          <w:p w:rsidR="00A13178" w:rsidRDefault="005D1193">
            <w:pPr>
              <w:ind w:left="1134" w:hanging="1134"/>
              <w:rPr>
                <w:rFonts w:ascii="Tahoma" w:hAnsi="Tahoma" w:cs="Tahoma"/>
                <w:noProof/>
                <w:sz w:val="20"/>
                <w:szCs w:val="20"/>
              </w:rPr>
            </w:pPr>
            <w:bookmarkStart w:id="2" w:name="_Toc485620419"/>
            <w:r>
              <w:rPr>
                <w:rFonts w:ascii="Tahoma" w:hAnsi="Tahoma"/>
                <w:b/>
                <w:noProof/>
                <w:sz w:val="20"/>
              </w:rPr>
              <w:t>Вариант A</w:t>
            </w:r>
            <w:r>
              <w:rPr>
                <w:rFonts w:ascii="Tahoma" w:hAnsi="Tahoma"/>
                <w:noProof/>
                <w:sz w:val="20"/>
              </w:rPr>
              <w:t xml:space="preserve">: </w:t>
            </w:r>
            <w:r>
              <w:rPr>
                <w:rFonts w:ascii="Tahoma" w:hAnsi="Tahoma"/>
                <w:b/>
                <w:noProof/>
                <w:sz w:val="20"/>
              </w:rPr>
              <w:t>незаконодателно</w:t>
            </w:r>
            <w:r>
              <w:rPr>
                <w:rFonts w:ascii="Tahoma" w:hAnsi="Tahoma"/>
                <w:noProof/>
                <w:sz w:val="20"/>
              </w:rPr>
              <w:t xml:space="preserve"> действие</w:t>
            </w:r>
            <w:bookmarkEnd w:id="2"/>
            <w:r>
              <w:rPr>
                <w:rFonts w:ascii="Tahoma" w:hAnsi="Tahoma"/>
                <w:noProof/>
                <w:sz w:val="20"/>
              </w:rPr>
              <w:t xml:space="preserve"> (т.е. практически мерки за подобряване на съдебното сътрудничество сред публичните    </w:t>
            </w:r>
          </w:p>
          <w:p w:rsidR="00A13178" w:rsidRDefault="005D1193">
            <w:pPr>
              <w:ind w:left="1134" w:hanging="1134"/>
              <w:rPr>
                <w:rFonts w:ascii="Tahoma" w:hAnsi="Tahoma" w:cs="Tahoma"/>
                <w:i/>
                <w:noProof/>
                <w:sz w:val="20"/>
                <w:szCs w:val="20"/>
              </w:rPr>
            </w:pPr>
            <w:r>
              <w:rPr>
                <w:rFonts w:ascii="Tahoma" w:hAnsi="Tahoma"/>
                <w:noProof/>
                <w:sz w:val="20"/>
              </w:rPr>
              <w:t xml:space="preserve">                органи и за засилване прякото сътрудничество между публичните органи и доставчиците на услуги)</w:t>
            </w:r>
          </w:p>
          <w:p w:rsidR="00A13178" w:rsidRDefault="005D1193">
            <w:pPr>
              <w:pStyle w:val="Heading3"/>
              <w:numPr>
                <w:ilvl w:val="0"/>
                <w:numId w:val="0"/>
              </w:numPr>
              <w:spacing w:before="0" w:after="0" w:line="276" w:lineRule="auto"/>
              <w:ind w:left="851" w:hanging="851"/>
              <w:contextualSpacing/>
              <w:jc w:val="left"/>
              <w:outlineLvl w:val="2"/>
              <w:rPr>
                <w:rFonts w:ascii="Tahoma" w:hAnsi="Tahoma" w:cs="Tahoma"/>
                <w:i w:val="0"/>
                <w:noProof/>
                <w:sz w:val="20"/>
                <w:szCs w:val="20"/>
              </w:rPr>
            </w:pPr>
            <w:bookmarkStart w:id="3" w:name="_Toc485620420"/>
            <w:r>
              <w:rPr>
                <w:rFonts w:ascii="Tahoma" w:hAnsi="Tahoma"/>
                <w:b/>
                <w:i w:val="0"/>
                <w:noProof/>
                <w:sz w:val="20"/>
              </w:rPr>
              <w:t>Вариант Б:</w:t>
            </w:r>
            <w:r>
              <w:rPr>
                <w:rFonts w:ascii="Tahoma" w:hAnsi="Tahoma"/>
                <w:i w:val="0"/>
                <w:noProof/>
                <w:sz w:val="20"/>
              </w:rPr>
              <w:t xml:space="preserve"> вариант А + </w:t>
            </w:r>
            <w:r>
              <w:rPr>
                <w:rFonts w:ascii="Tahoma" w:hAnsi="Tahoma"/>
                <w:b/>
                <w:i w:val="0"/>
                <w:noProof/>
                <w:sz w:val="20"/>
              </w:rPr>
              <w:t>международни споразумения</w:t>
            </w:r>
            <w:bookmarkEnd w:id="3"/>
          </w:p>
          <w:p w:rsidR="00A13178" w:rsidRDefault="005D1193">
            <w:pPr>
              <w:pStyle w:val="Heading3"/>
              <w:numPr>
                <w:ilvl w:val="0"/>
                <w:numId w:val="0"/>
              </w:numPr>
              <w:ind w:left="1170" w:hanging="1170"/>
              <w:contextualSpacing/>
              <w:jc w:val="left"/>
              <w:outlineLvl w:val="2"/>
              <w:rPr>
                <w:rFonts w:ascii="Tahoma" w:hAnsi="Tahoma" w:cs="Tahoma"/>
                <w:i w:val="0"/>
                <w:noProof/>
                <w:sz w:val="20"/>
                <w:szCs w:val="20"/>
              </w:rPr>
            </w:pPr>
            <w:bookmarkStart w:id="4" w:name="_Toc485620421"/>
            <w:r>
              <w:rPr>
                <w:rFonts w:ascii="Tahoma" w:hAnsi="Tahoma"/>
                <w:b/>
                <w:i w:val="0"/>
                <w:noProof/>
                <w:sz w:val="20"/>
              </w:rPr>
              <w:t>Вариант В:</w:t>
            </w:r>
            <w:r>
              <w:rPr>
                <w:rFonts w:ascii="Tahoma" w:hAnsi="Tahoma"/>
                <w:i w:val="0"/>
                <w:noProof/>
                <w:sz w:val="20"/>
              </w:rPr>
              <w:t xml:space="preserve"> вариант Б + </w:t>
            </w:r>
            <w:bookmarkEnd w:id="4"/>
            <w:r>
              <w:rPr>
                <w:rFonts w:ascii="Tahoma" w:hAnsi="Tahoma"/>
                <w:b/>
                <w:i w:val="0"/>
                <w:noProof/>
                <w:sz w:val="20"/>
              </w:rPr>
              <w:t>законодателство</w:t>
            </w:r>
            <w:r>
              <w:rPr>
                <w:rFonts w:ascii="Tahoma" w:hAnsi="Tahoma"/>
                <w:i w:val="0"/>
                <w:noProof/>
                <w:sz w:val="20"/>
              </w:rPr>
              <w:t xml:space="preserve"> за пряко сътрудничество (</w:t>
            </w:r>
            <w:r>
              <w:rPr>
                <w:rFonts w:ascii="Tahoma" w:hAnsi="Tahoma"/>
                <w:b/>
                <w:i w:val="0"/>
                <w:noProof/>
                <w:sz w:val="20"/>
              </w:rPr>
              <w:t>европейска заповед за предоставяне заповед + достъп до бази данни</w:t>
            </w:r>
            <w:r>
              <w:rPr>
                <w:rFonts w:ascii="Tahoma" w:hAnsi="Tahoma"/>
                <w:i w:val="0"/>
                <w:noProof/>
                <w:sz w:val="20"/>
              </w:rPr>
              <w:t>)</w:t>
            </w:r>
          </w:p>
          <w:p w:rsidR="00A13178" w:rsidRDefault="005D1193">
            <w:pPr>
              <w:pStyle w:val="Heading3"/>
              <w:numPr>
                <w:ilvl w:val="0"/>
                <w:numId w:val="0"/>
              </w:numPr>
              <w:spacing w:before="0" w:after="0" w:line="276" w:lineRule="auto"/>
              <w:ind w:left="851" w:hanging="851"/>
              <w:contextualSpacing/>
              <w:jc w:val="left"/>
              <w:outlineLvl w:val="2"/>
              <w:rPr>
                <w:rFonts w:ascii="Tahoma" w:hAnsi="Tahoma" w:cs="Tahoma"/>
                <w:b/>
                <w:i w:val="0"/>
                <w:noProof/>
                <w:sz w:val="20"/>
                <w:szCs w:val="20"/>
              </w:rPr>
            </w:pPr>
            <w:r>
              <w:rPr>
                <w:rFonts w:ascii="Tahoma" w:hAnsi="Tahoma"/>
                <w:b/>
                <w:i w:val="0"/>
                <w:noProof/>
                <w:sz w:val="20"/>
              </w:rPr>
              <w:t xml:space="preserve">Вариант Г: </w:t>
            </w:r>
            <w:r>
              <w:rPr>
                <w:rFonts w:ascii="Tahoma" w:hAnsi="Tahoma"/>
                <w:i w:val="0"/>
                <w:noProof/>
                <w:sz w:val="20"/>
              </w:rPr>
              <w:t xml:space="preserve">вариант В + законодателството за пряк достъп  </w:t>
            </w:r>
          </w:p>
          <w:p w:rsidR="00A13178" w:rsidRDefault="005D1193">
            <w:pPr>
              <w:pStyle w:val="Heading3"/>
              <w:numPr>
                <w:ilvl w:val="0"/>
                <w:numId w:val="0"/>
              </w:numPr>
              <w:spacing w:before="0" w:after="0" w:line="276" w:lineRule="auto"/>
              <w:ind w:left="851" w:hanging="851"/>
              <w:contextualSpacing/>
              <w:jc w:val="left"/>
              <w:outlineLvl w:val="2"/>
              <w:rPr>
                <w:rFonts w:ascii="Tahoma" w:hAnsi="Tahoma" w:cs="Tahoma"/>
                <w:noProof/>
                <w:sz w:val="20"/>
                <w:szCs w:val="20"/>
              </w:rPr>
            </w:pPr>
            <w:r>
              <w:rPr>
                <w:rFonts w:ascii="Tahoma" w:hAnsi="Tahoma"/>
                <w:b/>
                <w:i w:val="0"/>
                <w:noProof/>
                <w:sz w:val="20"/>
              </w:rPr>
              <w:t>Вариант Г е предпочитаният вариант</w:t>
            </w:r>
            <w:r>
              <w:rPr>
                <w:noProof/>
              </w:rPr>
              <w:t>,</w:t>
            </w:r>
            <w:r>
              <w:rPr>
                <w:rFonts w:ascii="Tahoma" w:hAnsi="Tahoma"/>
                <w:i w:val="0"/>
                <w:noProof/>
                <w:sz w:val="20"/>
              </w:rPr>
              <w:t xml:space="preserve">както </w:t>
            </w:r>
            <w:r>
              <w:rPr>
                <w:rFonts w:ascii="Tahoma" w:hAnsi="Tahoma"/>
                <w:i w:val="0"/>
                <w:noProof/>
                <w:sz w:val="20"/>
              </w:rPr>
              <w:t>в качествено отношение, така и след анализ на разходите и ползите.</w:t>
            </w:r>
          </w:p>
        </w:tc>
      </w:tr>
      <w:tr w:rsidR="00A13178">
        <w:tc>
          <w:tcPr>
            <w:tcW w:w="10188" w:type="dxa"/>
            <w:shd w:val="clear" w:color="auto" w:fill="E6E6E6"/>
          </w:tcPr>
          <w:p w:rsidR="00A13178" w:rsidRDefault="005D1193">
            <w:pPr>
              <w:pStyle w:val="Default"/>
              <w:spacing w:before="20" w:after="20"/>
              <w:jc w:val="both"/>
              <w:rPr>
                <w:rFonts w:ascii="Tahoma" w:hAnsi="Tahoma" w:cs="Tahoma"/>
                <w:b/>
                <w:bCs/>
                <w:noProof/>
                <w:sz w:val="20"/>
                <w:szCs w:val="20"/>
              </w:rPr>
            </w:pPr>
            <w:r>
              <w:rPr>
                <w:rFonts w:ascii="Tahoma" w:hAnsi="Tahoma"/>
                <w:b/>
                <w:noProof/>
                <w:sz w:val="20"/>
              </w:rPr>
              <w:lastRenderedPageBreak/>
              <w:t xml:space="preserve">Какви са становищата на различните заинтересовани лица? Кой подкрепя отделните варианти? </w:t>
            </w:r>
          </w:p>
        </w:tc>
      </w:tr>
      <w:tr w:rsidR="00A13178">
        <w:trPr>
          <w:trHeight w:val="1432"/>
        </w:trPr>
        <w:tc>
          <w:tcPr>
            <w:tcW w:w="10188" w:type="dxa"/>
            <w:shd w:val="clear" w:color="auto" w:fill="auto"/>
          </w:tcPr>
          <w:p w:rsidR="00A13178" w:rsidRDefault="005D1193">
            <w:pPr>
              <w:spacing w:before="60"/>
              <w:jc w:val="both"/>
              <w:rPr>
                <w:rFonts w:ascii="Tahoma" w:hAnsi="Tahoma" w:cs="Tahoma"/>
                <w:noProof/>
                <w:sz w:val="20"/>
                <w:szCs w:val="20"/>
              </w:rPr>
            </w:pPr>
            <w:r>
              <w:rPr>
                <w:rFonts w:ascii="Tahoma" w:hAnsi="Tahoma"/>
                <w:noProof/>
                <w:sz w:val="20"/>
              </w:rPr>
              <w:t>Със заинтересованите страни бяха проведени обстойни консултации в продължение на повече от 18 мес</w:t>
            </w:r>
            <w:r>
              <w:rPr>
                <w:rFonts w:ascii="Tahoma" w:hAnsi="Tahoma"/>
                <w:noProof/>
                <w:sz w:val="20"/>
              </w:rPr>
              <w:t>еца. Публичните органи в държавите от ЕС се откроиха следните основни въпроси: дългия период от време, необходимо за обработка на искането, липсата на надеждно сътрудничеството с доставчиците на услуги, липсата на прозрачност, а за процесуално-следствените</w:t>
            </w:r>
            <w:r>
              <w:rPr>
                <w:rFonts w:ascii="Tahoma" w:hAnsi="Tahoma"/>
                <w:noProof/>
                <w:sz w:val="20"/>
              </w:rPr>
              <w:t xml:space="preserve"> действия — правната несигурност относно компетентността. </w:t>
            </w:r>
          </w:p>
          <w:p w:rsidR="00A13178" w:rsidRDefault="005D1193">
            <w:pPr>
              <w:rPr>
                <w:noProof/>
              </w:rPr>
            </w:pPr>
            <w:r>
              <w:rPr>
                <w:rFonts w:ascii="Tahoma" w:hAnsi="Tahoma"/>
                <w:noProof/>
                <w:sz w:val="20"/>
              </w:rPr>
              <w:t xml:space="preserve">Доставчиците на услуги и някои организации на гражданското общество заявиха, че правната сигурност е от съществено значение, за да се даде възможност за пряко сътрудничество с публичните органи, и </w:t>
            </w:r>
            <w:r>
              <w:rPr>
                <w:rFonts w:ascii="Tahoma" w:hAnsi="Tahoma"/>
                <w:noProof/>
                <w:sz w:val="20"/>
              </w:rPr>
              <w:t>че стълкновенията на закони трябва да се избягват.</w:t>
            </w:r>
          </w:p>
          <w:p w:rsidR="00A13178" w:rsidRDefault="005D1193">
            <w:pPr>
              <w:spacing w:after="60"/>
              <w:jc w:val="both"/>
              <w:rPr>
                <w:rFonts w:ascii="Tahoma" w:hAnsi="Tahoma" w:cs="Tahoma"/>
                <w:noProof/>
                <w:sz w:val="20"/>
                <w:szCs w:val="20"/>
              </w:rPr>
            </w:pPr>
            <w:r>
              <w:rPr>
                <w:rFonts w:ascii="Tahoma" w:hAnsi="Tahoma"/>
                <w:noProof/>
                <w:sz w:val="20"/>
              </w:rPr>
              <w:t>Някои организации на гражданското общество се обявиха против законодателство на равнище ЕС за пряко сътрудничество; вместо това те изразиха предпочитание за подобряване на процедурите за правна взаимопомощ</w:t>
            </w:r>
            <w:r>
              <w:rPr>
                <w:rFonts w:ascii="Tahoma" w:hAnsi="Tahoma"/>
                <w:noProof/>
                <w:sz w:val="20"/>
              </w:rPr>
              <w:t>.</w:t>
            </w:r>
          </w:p>
        </w:tc>
      </w:tr>
      <w:tr w:rsidR="00A13178">
        <w:tc>
          <w:tcPr>
            <w:tcW w:w="10188" w:type="dxa"/>
            <w:tcBorders>
              <w:bottom w:val="single" w:sz="4" w:space="0" w:color="auto"/>
            </w:tcBorders>
            <w:shd w:val="clear" w:color="auto" w:fill="CCCCCC"/>
          </w:tcPr>
          <w:p w:rsidR="00A13178" w:rsidRDefault="005D1193">
            <w:pPr>
              <w:spacing w:before="60" w:after="60"/>
              <w:rPr>
                <w:rFonts w:ascii="Tahoma" w:hAnsi="Tahoma" w:cs="Tahoma"/>
                <w:b/>
                <w:noProof/>
                <w:sz w:val="20"/>
                <w:szCs w:val="20"/>
              </w:rPr>
            </w:pPr>
            <w:r>
              <w:rPr>
                <w:rFonts w:ascii="Tahoma" w:hAnsi="Tahoma"/>
                <w:b/>
                <w:noProof/>
                <w:sz w:val="20"/>
              </w:rPr>
              <w:t>В. Въздействие на предпочетения вариант</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color w:val="auto"/>
                <w:sz w:val="20"/>
                <w:szCs w:val="20"/>
              </w:rPr>
            </w:pPr>
            <w:r>
              <w:rPr>
                <w:rFonts w:ascii="Tahoma" w:hAnsi="Tahoma"/>
                <w:b/>
                <w:noProof/>
                <w:color w:val="auto"/>
                <w:sz w:val="20"/>
              </w:rPr>
              <w:t xml:space="preserve">Какви са предимствата на предпочитания вариант (ако има такива, освен основните предимства)? </w:t>
            </w:r>
          </w:p>
        </w:tc>
      </w:tr>
      <w:tr w:rsidR="00A13178">
        <w:trPr>
          <w:trHeight w:val="1214"/>
        </w:trPr>
        <w:tc>
          <w:tcPr>
            <w:tcW w:w="10188" w:type="dxa"/>
            <w:tcBorders>
              <w:bottom w:val="single" w:sz="4" w:space="0" w:color="auto"/>
            </w:tcBorders>
            <w:shd w:val="clear" w:color="auto" w:fill="auto"/>
          </w:tcPr>
          <w:p w:rsidR="00A13178" w:rsidRDefault="005D1193">
            <w:pPr>
              <w:spacing w:before="60" w:after="60"/>
              <w:jc w:val="both"/>
              <w:rPr>
                <w:rFonts w:ascii="Tahoma" w:hAnsi="Tahoma" w:cs="Tahoma"/>
                <w:noProof/>
                <w:sz w:val="20"/>
                <w:szCs w:val="20"/>
              </w:rPr>
            </w:pPr>
            <w:r>
              <w:rPr>
                <w:rFonts w:ascii="Tahoma" w:hAnsi="Tahoma"/>
                <w:noProof/>
                <w:sz w:val="20"/>
              </w:rPr>
              <w:t xml:space="preserve">Очаква се инициативата да направи разследванията и наказателните преследвания по-ефективни и ефикасни, да подобри </w:t>
            </w:r>
            <w:r>
              <w:rPr>
                <w:rFonts w:ascii="Tahoma" w:hAnsi="Tahoma"/>
                <w:noProof/>
                <w:sz w:val="20"/>
              </w:rPr>
              <w:t xml:space="preserve">прозрачността и отчетността, да гарантира зачитането на основните права, както и да насърчи доверието в цифровия единен пазар чрез подобряване на сигурността и намаляване на усещането за безнаказаност за престъпления, извършени на или посредством свързани </w:t>
            </w:r>
            <w:r>
              <w:rPr>
                <w:rFonts w:ascii="Tahoma" w:hAnsi="Tahoma"/>
                <w:noProof/>
                <w:sz w:val="20"/>
              </w:rPr>
              <w:t>в мрежа устройства.</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t xml:space="preserve">Какви са разходите, свързани с предпочитания вариант (ако има такива, освен основните предимства)? </w:t>
            </w:r>
          </w:p>
        </w:tc>
      </w:tr>
      <w:tr w:rsidR="00A13178">
        <w:trPr>
          <w:trHeight w:val="1575"/>
        </w:trPr>
        <w:tc>
          <w:tcPr>
            <w:tcW w:w="10188" w:type="dxa"/>
            <w:tcBorders>
              <w:bottom w:val="single" w:sz="4" w:space="0" w:color="auto"/>
            </w:tcBorders>
            <w:shd w:val="clear" w:color="auto" w:fill="auto"/>
          </w:tcPr>
          <w:p w:rsidR="00A13178" w:rsidRDefault="005D1193">
            <w:pPr>
              <w:spacing w:before="60"/>
              <w:jc w:val="both"/>
              <w:rPr>
                <w:rFonts w:ascii="Tahoma" w:hAnsi="Tahoma" w:cs="Tahoma"/>
                <w:noProof/>
                <w:sz w:val="20"/>
                <w:szCs w:val="20"/>
              </w:rPr>
            </w:pPr>
            <w:r>
              <w:rPr>
                <w:rFonts w:ascii="Tahoma" w:hAnsi="Tahoma"/>
                <w:noProof/>
                <w:sz w:val="20"/>
              </w:rPr>
              <w:t xml:space="preserve">Разходите са </w:t>
            </w:r>
            <w:r>
              <w:rPr>
                <w:rFonts w:ascii="Tahoma" w:hAnsi="Tahoma"/>
                <w:b/>
                <w:noProof/>
                <w:sz w:val="20"/>
              </w:rPr>
              <w:t>административни</w:t>
            </w:r>
            <w:r>
              <w:rPr>
                <w:rFonts w:ascii="Tahoma" w:hAnsi="Tahoma"/>
                <w:noProof/>
                <w:sz w:val="20"/>
              </w:rPr>
              <w:t xml:space="preserve">, произтичащи от </w:t>
            </w:r>
            <w:r>
              <w:rPr>
                <w:rFonts w:ascii="Tahoma" w:hAnsi="Tahoma"/>
                <w:b/>
                <w:noProof/>
                <w:sz w:val="20"/>
              </w:rPr>
              <w:t>транспонирането и прилагането</w:t>
            </w:r>
            <w:r>
              <w:rPr>
                <w:rFonts w:ascii="Tahoma" w:hAnsi="Tahoma"/>
                <w:noProof/>
                <w:sz w:val="20"/>
              </w:rPr>
              <w:t xml:space="preserve"> на предпочитания вариант от държавите на ЕС, както и </w:t>
            </w:r>
            <w:r>
              <w:rPr>
                <w:rFonts w:ascii="Tahoma" w:hAnsi="Tahoma"/>
                <w:b/>
                <w:noProof/>
                <w:sz w:val="20"/>
              </w:rPr>
              <w:t>спазването</w:t>
            </w:r>
            <w:r>
              <w:rPr>
                <w:rFonts w:ascii="Tahoma" w:hAnsi="Tahoma"/>
                <w:noProof/>
                <w:sz w:val="20"/>
              </w:rPr>
              <w:t xml:space="preserve"> от страна на доставчиците на услуги:</w:t>
            </w:r>
          </w:p>
          <w:p w:rsidR="00A13178" w:rsidRDefault="005D1193">
            <w:pPr>
              <w:pStyle w:val="ListParagraph"/>
              <w:numPr>
                <w:ilvl w:val="0"/>
                <w:numId w:val="9"/>
              </w:numPr>
              <w:jc w:val="both"/>
              <w:rPr>
                <w:rFonts w:ascii="Tahoma" w:hAnsi="Tahoma" w:cs="Tahoma"/>
                <w:noProof/>
                <w:sz w:val="20"/>
                <w:szCs w:val="20"/>
              </w:rPr>
            </w:pPr>
            <w:r>
              <w:rPr>
                <w:rFonts w:ascii="Tahoma" w:hAnsi="Tahoma"/>
                <w:b/>
                <w:noProof/>
                <w:sz w:val="20"/>
              </w:rPr>
              <w:t>Еднократните разходи</w:t>
            </w:r>
            <w:r>
              <w:rPr>
                <w:rFonts w:ascii="Tahoma" w:hAnsi="Tahoma"/>
                <w:noProof/>
                <w:sz w:val="20"/>
              </w:rPr>
              <w:t xml:space="preserve"> се оценяват на </w:t>
            </w:r>
            <w:r>
              <w:rPr>
                <w:rFonts w:ascii="Tahoma" w:hAnsi="Tahoma"/>
                <w:b/>
                <w:noProof/>
                <w:sz w:val="20"/>
              </w:rPr>
              <w:t>3,3 милиона евро</w:t>
            </w:r>
            <w:r>
              <w:rPr>
                <w:rFonts w:ascii="Tahoma" w:hAnsi="Tahoma"/>
                <w:noProof/>
                <w:sz w:val="20"/>
              </w:rPr>
              <w:t xml:space="preserve"> за държавите от ЕС и </w:t>
            </w:r>
            <w:r>
              <w:rPr>
                <w:rFonts w:ascii="Tahoma" w:hAnsi="Tahoma"/>
                <w:b/>
                <w:noProof/>
                <w:sz w:val="20"/>
              </w:rPr>
              <w:t>1,7 милиона евро</w:t>
            </w:r>
            <w:r>
              <w:rPr>
                <w:rFonts w:ascii="Tahoma" w:hAnsi="Tahoma"/>
                <w:noProof/>
                <w:sz w:val="20"/>
              </w:rPr>
              <w:t xml:space="preserve"> за доставчиците на услуги.</w:t>
            </w:r>
          </w:p>
          <w:p w:rsidR="00A13178" w:rsidRDefault="005D1193">
            <w:pPr>
              <w:pStyle w:val="ListParagraph"/>
              <w:numPr>
                <w:ilvl w:val="0"/>
                <w:numId w:val="9"/>
              </w:numPr>
              <w:spacing w:after="120"/>
              <w:ind w:left="714" w:hanging="357"/>
              <w:jc w:val="both"/>
              <w:rPr>
                <w:rFonts w:ascii="Tahoma" w:hAnsi="Tahoma" w:cs="Tahoma"/>
                <w:i/>
                <w:noProof/>
                <w:sz w:val="20"/>
                <w:szCs w:val="20"/>
              </w:rPr>
            </w:pPr>
            <w:r>
              <w:rPr>
                <w:rFonts w:ascii="Tahoma" w:hAnsi="Tahoma"/>
                <w:noProof/>
                <w:sz w:val="20"/>
              </w:rPr>
              <w:t xml:space="preserve">Предпочитаният вариант няма да въвежда никакви периодично повтарящи се разходи. Напротив, </w:t>
            </w:r>
            <w:r>
              <w:rPr>
                <w:rFonts w:ascii="Tahoma" w:hAnsi="Tahoma"/>
                <w:noProof/>
                <w:sz w:val="20"/>
              </w:rPr>
              <w:t xml:space="preserve">той ще генерира периодично повтарящи се икономии, които се оценяват на над </w:t>
            </w:r>
            <w:r>
              <w:rPr>
                <w:rFonts w:ascii="Tahoma" w:hAnsi="Tahoma"/>
                <w:b/>
                <w:noProof/>
                <w:sz w:val="20"/>
              </w:rPr>
              <w:t xml:space="preserve">7,1 милиона евро </w:t>
            </w:r>
            <w:r>
              <w:rPr>
                <w:rFonts w:ascii="Tahoma" w:hAnsi="Tahoma"/>
                <w:noProof/>
                <w:sz w:val="20"/>
              </w:rPr>
              <w:t xml:space="preserve">годишно за държавите членки и над </w:t>
            </w:r>
            <w:r>
              <w:rPr>
                <w:rFonts w:ascii="Tahoma" w:hAnsi="Tahoma"/>
                <w:b/>
                <w:noProof/>
                <w:sz w:val="20"/>
              </w:rPr>
              <w:t>4,3 милиона евро</w:t>
            </w:r>
            <w:r>
              <w:rPr>
                <w:rFonts w:ascii="Tahoma" w:hAnsi="Tahoma"/>
                <w:noProof/>
                <w:sz w:val="20"/>
              </w:rPr>
              <w:t xml:space="preserve"> годишно за доставчиците на услуги.</w:t>
            </w:r>
          </w:p>
        </w:tc>
      </w:tr>
      <w:tr w:rsidR="00A13178">
        <w:tc>
          <w:tcPr>
            <w:tcW w:w="10188" w:type="dxa"/>
            <w:tcBorders>
              <w:bottom w:val="single" w:sz="4" w:space="0" w:color="auto"/>
            </w:tcBorders>
            <w:shd w:val="clear" w:color="auto" w:fill="E6E6E6"/>
          </w:tcPr>
          <w:p w:rsidR="00A13178" w:rsidRDefault="005D1193">
            <w:pPr>
              <w:pStyle w:val="Default"/>
              <w:keepNext/>
              <w:jc w:val="both"/>
              <w:rPr>
                <w:rFonts w:ascii="Tahoma" w:hAnsi="Tahoma" w:cs="Tahoma"/>
                <w:noProof/>
                <w:sz w:val="20"/>
                <w:szCs w:val="20"/>
              </w:rPr>
            </w:pPr>
            <w:r>
              <w:rPr>
                <w:rFonts w:ascii="Tahoma" w:hAnsi="Tahoma"/>
                <w:b/>
                <w:noProof/>
                <w:sz w:val="20"/>
              </w:rPr>
              <w:t xml:space="preserve">Какво е въздействието върху МСП и конкурентоспособността? </w:t>
            </w:r>
          </w:p>
        </w:tc>
      </w:tr>
      <w:tr w:rsidR="00A13178">
        <w:trPr>
          <w:trHeight w:val="727"/>
        </w:trPr>
        <w:tc>
          <w:tcPr>
            <w:tcW w:w="10188" w:type="dxa"/>
            <w:tcBorders>
              <w:bottom w:val="single" w:sz="4" w:space="0" w:color="auto"/>
            </w:tcBorders>
            <w:shd w:val="clear" w:color="auto" w:fill="auto"/>
          </w:tcPr>
          <w:p w:rsidR="00A13178" w:rsidRDefault="005D1193">
            <w:pPr>
              <w:spacing w:before="60" w:after="60"/>
              <w:jc w:val="both"/>
              <w:rPr>
                <w:rFonts w:ascii="Tahoma" w:hAnsi="Tahoma" w:cs="Tahoma"/>
                <w:noProof/>
                <w:sz w:val="20"/>
                <w:szCs w:val="20"/>
              </w:rPr>
            </w:pPr>
            <w:r>
              <w:rPr>
                <w:rFonts w:ascii="Tahoma" w:hAnsi="Tahoma"/>
                <w:b/>
                <w:noProof/>
                <w:sz w:val="20"/>
              </w:rPr>
              <w:t xml:space="preserve">Правната </w:t>
            </w:r>
            <w:r>
              <w:rPr>
                <w:rFonts w:ascii="Tahoma" w:hAnsi="Tahoma"/>
                <w:b/>
                <w:noProof/>
                <w:sz w:val="20"/>
              </w:rPr>
              <w:t>сигурност</w:t>
            </w:r>
            <w:r>
              <w:rPr>
                <w:rFonts w:ascii="Tahoma" w:hAnsi="Tahoma"/>
                <w:noProof/>
                <w:sz w:val="20"/>
              </w:rPr>
              <w:t xml:space="preserve"> и </w:t>
            </w:r>
            <w:r>
              <w:rPr>
                <w:rFonts w:ascii="Tahoma" w:hAnsi="Tahoma"/>
                <w:b/>
                <w:noProof/>
                <w:sz w:val="20"/>
              </w:rPr>
              <w:t>хармонизирането</w:t>
            </w:r>
            <w:r>
              <w:rPr>
                <w:rFonts w:ascii="Tahoma" w:hAnsi="Tahoma"/>
                <w:noProof/>
                <w:sz w:val="20"/>
              </w:rPr>
              <w:t xml:space="preserve"> на процедурите, което би облекчило административната тежест и благоприятствало конкурентоспособността, следва да окаже положително въздействие върху МСП. </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t>Ще има ли значително въздействие върху националните бюджети и администра</w:t>
            </w:r>
            <w:r>
              <w:rPr>
                <w:rFonts w:ascii="Tahoma" w:hAnsi="Tahoma"/>
                <w:b/>
                <w:noProof/>
                <w:sz w:val="20"/>
              </w:rPr>
              <w:t xml:space="preserve">ции? </w:t>
            </w:r>
          </w:p>
        </w:tc>
      </w:tr>
      <w:tr w:rsidR="00A13178">
        <w:trPr>
          <w:trHeight w:val="1587"/>
        </w:trPr>
        <w:tc>
          <w:tcPr>
            <w:tcW w:w="10188" w:type="dxa"/>
            <w:shd w:val="clear" w:color="auto" w:fill="auto"/>
          </w:tcPr>
          <w:p w:rsidR="00A13178" w:rsidRDefault="005D1193">
            <w:pPr>
              <w:spacing w:before="60" w:after="60"/>
              <w:jc w:val="both"/>
              <w:rPr>
                <w:rFonts w:ascii="Tahoma" w:hAnsi="Tahoma" w:cs="Tahoma"/>
                <w:noProof/>
                <w:sz w:val="20"/>
                <w:szCs w:val="20"/>
              </w:rPr>
            </w:pPr>
            <w:r>
              <w:rPr>
                <w:rFonts w:ascii="Tahoma" w:hAnsi="Tahoma"/>
                <w:noProof/>
                <w:sz w:val="20"/>
              </w:rPr>
              <w:t>Предпочетеният вариант се очаква да доведе до първоначални разходи за въвеждане, което ще бъде компенсирано в дългосрочен план от</w:t>
            </w:r>
            <w:r>
              <w:rPr>
                <w:rFonts w:ascii="Tahoma" w:hAnsi="Tahoma"/>
                <w:b/>
                <w:noProof/>
                <w:sz w:val="20"/>
              </w:rPr>
              <w:t xml:space="preserve"> икономии</w:t>
            </w:r>
            <w:r>
              <w:rPr>
                <w:rFonts w:ascii="Tahoma" w:hAnsi="Tahoma"/>
                <w:noProof/>
                <w:sz w:val="20"/>
              </w:rPr>
              <w:t xml:space="preserve"> на периодично повтарящи се разходи. Националните органи ще трябва да се приспособят към новите процедури и да </w:t>
            </w:r>
            <w:r>
              <w:rPr>
                <w:rFonts w:ascii="Tahoma" w:hAnsi="Tahoma"/>
                <w:noProof/>
                <w:sz w:val="20"/>
              </w:rPr>
              <w:t xml:space="preserve">преминат през съответното обучение. След това обаче органите ще се възползват от предимствата, които </w:t>
            </w:r>
            <w:r>
              <w:rPr>
                <w:rFonts w:ascii="Tahoma" w:hAnsi="Tahoma"/>
                <w:b/>
                <w:noProof/>
                <w:sz w:val="20"/>
              </w:rPr>
              <w:t>опростяването, централизацията</w:t>
            </w:r>
            <w:r>
              <w:rPr>
                <w:rFonts w:ascii="Tahoma" w:hAnsi="Tahoma"/>
                <w:noProof/>
                <w:sz w:val="20"/>
              </w:rPr>
              <w:t xml:space="preserve"> и ясната правна рамка, уреждаща исканията за достъп до данни ще доведат, както и от подобряване на ефективността. Аналогично</w:t>
            </w:r>
            <w:r>
              <w:rPr>
                <w:rFonts w:ascii="Tahoma" w:hAnsi="Tahoma"/>
                <w:noProof/>
                <w:sz w:val="20"/>
              </w:rPr>
              <w:t>, предпочитаният вариант ще намали натиска върху каналите за съдебно сътрудничество, както и броя на исканията, които държавите трябва да обработват.</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t xml:space="preserve">Ще има ли други значителни въздействия? </w:t>
            </w:r>
          </w:p>
        </w:tc>
      </w:tr>
      <w:tr w:rsidR="00A13178">
        <w:trPr>
          <w:trHeight w:val="590"/>
        </w:trPr>
        <w:tc>
          <w:tcPr>
            <w:tcW w:w="10188" w:type="dxa"/>
            <w:tcBorders>
              <w:bottom w:val="single" w:sz="4" w:space="0" w:color="auto"/>
            </w:tcBorders>
            <w:shd w:val="clear" w:color="auto" w:fill="auto"/>
          </w:tcPr>
          <w:p w:rsidR="00A13178" w:rsidRDefault="005D1193">
            <w:pPr>
              <w:spacing w:before="60"/>
              <w:jc w:val="both"/>
              <w:rPr>
                <w:rFonts w:ascii="Tahoma" w:hAnsi="Tahoma" w:cs="Tahoma"/>
                <w:noProof/>
                <w:sz w:val="20"/>
                <w:szCs w:val="20"/>
              </w:rPr>
            </w:pPr>
            <w:r>
              <w:rPr>
                <w:rFonts w:ascii="Tahoma" w:hAnsi="Tahoma"/>
                <w:noProof/>
                <w:sz w:val="20"/>
              </w:rPr>
              <w:t xml:space="preserve">Доставчиците на услуги ще трябва да се адаптират към новата </w:t>
            </w:r>
            <w:r>
              <w:rPr>
                <w:rFonts w:ascii="Tahoma" w:hAnsi="Tahoma"/>
                <w:noProof/>
                <w:sz w:val="20"/>
              </w:rPr>
              <w:t>законодателна уредба чрез въвеждането на нови процедури, обучаване на персонала си, както и вероятно чрез определянето на юридически представител. Прилагането на практическите мерки, макар и да не е задължително, би довело до определени</w:t>
            </w:r>
            <w:r>
              <w:rPr>
                <w:rFonts w:ascii="Tahoma" w:hAnsi="Tahoma"/>
                <w:b/>
                <w:noProof/>
                <w:sz w:val="20"/>
              </w:rPr>
              <w:t xml:space="preserve"> разходи</w:t>
            </w:r>
            <w:r>
              <w:rPr>
                <w:rFonts w:ascii="Tahoma" w:hAnsi="Tahoma"/>
                <w:noProof/>
                <w:sz w:val="20"/>
              </w:rPr>
              <w:t>. Доставчици</w:t>
            </w:r>
            <w:r>
              <w:rPr>
                <w:rFonts w:ascii="Tahoma" w:hAnsi="Tahoma"/>
                <w:noProof/>
                <w:sz w:val="20"/>
              </w:rPr>
              <w:t>те на услуги сигурно ще получават по-голям брой искания, което ще доведе до повишаване на разходите за спазване на изискванията. От друга страна, една хармонизирана рамка би намалила тежестта за доставчиците, които понастоящем отговарят на искания за данни</w:t>
            </w:r>
            <w:r>
              <w:rPr>
                <w:rFonts w:ascii="Tahoma" w:hAnsi="Tahoma"/>
                <w:noProof/>
                <w:sz w:val="20"/>
              </w:rPr>
              <w:t>, несвързани със съдържанието, тъй като тези искания трябва да бъдат оценени в рамките на различните правни уредби на всички държави членки.</w:t>
            </w:r>
          </w:p>
          <w:p w:rsidR="00A13178" w:rsidRDefault="005D1193">
            <w:pPr>
              <w:jc w:val="both"/>
              <w:rPr>
                <w:rFonts w:ascii="Tahoma" w:hAnsi="Tahoma" w:cs="Tahoma"/>
                <w:noProof/>
                <w:sz w:val="20"/>
                <w:szCs w:val="20"/>
              </w:rPr>
            </w:pPr>
            <w:r>
              <w:rPr>
                <w:rFonts w:ascii="Tahoma" w:hAnsi="Tahoma"/>
                <w:noProof/>
                <w:sz w:val="20"/>
              </w:rPr>
              <w:t xml:space="preserve">По-ефективните разследвания, включващи трансграничен достъп до електронни доказателства, ще имат положително </w:t>
            </w:r>
            <w:r>
              <w:rPr>
                <w:rFonts w:ascii="Tahoma" w:hAnsi="Tahoma"/>
                <w:b/>
                <w:noProof/>
                <w:sz w:val="20"/>
              </w:rPr>
              <w:t>социал</w:t>
            </w:r>
            <w:r>
              <w:rPr>
                <w:rFonts w:ascii="Tahoma" w:hAnsi="Tahoma"/>
                <w:b/>
                <w:noProof/>
                <w:sz w:val="20"/>
              </w:rPr>
              <w:t>но въздействие</w:t>
            </w:r>
            <w:r>
              <w:rPr>
                <w:rFonts w:ascii="Tahoma" w:hAnsi="Tahoma"/>
                <w:noProof/>
                <w:sz w:val="20"/>
              </w:rPr>
              <w:t>, включително евентуално намаление на престъпността чрез засилване на възпиращия ефект.</w:t>
            </w:r>
          </w:p>
          <w:p w:rsidR="00A13178" w:rsidRDefault="005D1193">
            <w:pPr>
              <w:jc w:val="both"/>
              <w:rPr>
                <w:rFonts w:ascii="Tahoma" w:hAnsi="Tahoma" w:cs="Tahoma"/>
                <w:noProof/>
                <w:sz w:val="20"/>
                <w:szCs w:val="20"/>
              </w:rPr>
            </w:pPr>
            <w:r>
              <w:rPr>
                <w:rFonts w:ascii="Tahoma" w:hAnsi="Tahoma"/>
                <w:noProof/>
                <w:sz w:val="20"/>
              </w:rPr>
              <w:t xml:space="preserve">Предпочетеният вариант съдържа достатъчно </w:t>
            </w:r>
            <w:r>
              <w:rPr>
                <w:rFonts w:ascii="Tahoma" w:hAnsi="Tahoma"/>
                <w:b/>
                <w:noProof/>
                <w:sz w:val="20"/>
              </w:rPr>
              <w:t>предпазни мерки</w:t>
            </w:r>
            <w:r>
              <w:rPr>
                <w:rFonts w:ascii="Tahoma" w:hAnsi="Tahoma"/>
                <w:noProof/>
                <w:sz w:val="20"/>
              </w:rPr>
              <w:t xml:space="preserve">, за да се гарантира, че мерките, които </w:t>
            </w:r>
            <w:r>
              <w:rPr>
                <w:rFonts w:ascii="Tahoma" w:hAnsi="Tahoma"/>
                <w:noProof/>
                <w:sz w:val="20"/>
              </w:rPr>
              <w:lastRenderedPageBreak/>
              <w:t xml:space="preserve">той включва, са напълно съвместими с </w:t>
            </w:r>
            <w:r>
              <w:rPr>
                <w:rFonts w:ascii="Tahoma" w:hAnsi="Tahoma"/>
                <w:b/>
                <w:noProof/>
                <w:sz w:val="20"/>
              </w:rPr>
              <w:t>основните права</w:t>
            </w:r>
            <w:r>
              <w:rPr>
                <w:rFonts w:ascii="Tahoma" w:hAnsi="Tahoma"/>
                <w:noProof/>
                <w:sz w:val="20"/>
              </w:rPr>
              <w:t>.</w:t>
            </w:r>
          </w:p>
          <w:p w:rsidR="00A13178" w:rsidRDefault="005D1193">
            <w:pPr>
              <w:spacing w:after="60"/>
              <w:jc w:val="both"/>
              <w:rPr>
                <w:rFonts w:ascii="Tahoma" w:hAnsi="Tahoma" w:cs="Tahoma"/>
                <w:noProof/>
                <w:sz w:val="20"/>
                <w:szCs w:val="20"/>
              </w:rPr>
            </w:pPr>
            <w:r>
              <w:rPr>
                <w:rFonts w:ascii="Tahoma" w:hAnsi="Tahoma"/>
                <w:noProof/>
                <w:sz w:val="20"/>
              </w:rPr>
              <w:t xml:space="preserve">Не беше установено значително </w:t>
            </w:r>
            <w:r>
              <w:rPr>
                <w:rFonts w:ascii="Tahoma" w:hAnsi="Tahoma"/>
                <w:b/>
                <w:noProof/>
                <w:sz w:val="20"/>
              </w:rPr>
              <w:t>въздействие върху околната среда</w:t>
            </w:r>
            <w:r>
              <w:rPr>
                <w:rFonts w:ascii="Tahoma" w:hAnsi="Tahoma"/>
                <w:noProof/>
                <w:sz w:val="20"/>
              </w:rPr>
              <w:t>.</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lastRenderedPageBreak/>
              <w:t xml:space="preserve">Пропорционалност? </w:t>
            </w:r>
          </w:p>
        </w:tc>
      </w:tr>
      <w:tr w:rsidR="00A13178">
        <w:trPr>
          <w:trHeight w:val="2112"/>
        </w:trPr>
        <w:tc>
          <w:tcPr>
            <w:tcW w:w="10188" w:type="dxa"/>
            <w:shd w:val="clear" w:color="auto" w:fill="auto"/>
          </w:tcPr>
          <w:p w:rsidR="00A13178" w:rsidRDefault="005D1193">
            <w:pPr>
              <w:spacing w:before="60"/>
              <w:jc w:val="both"/>
              <w:rPr>
                <w:rFonts w:ascii="Tahoma" w:hAnsi="Tahoma" w:cs="Tahoma"/>
                <w:noProof/>
                <w:sz w:val="20"/>
                <w:szCs w:val="20"/>
              </w:rPr>
            </w:pPr>
            <w:r>
              <w:rPr>
                <w:rFonts w:ascii="Tahoma" w:hAnsi="Tahoma"/>
                <w:noProof/>
                <w:sz w:val="20"/>
              </w:rPr>
              <w:t xml:space="preserve">Предпочетеният вариант ще въведе правила и процедури за подобряване на трансграничния достъп до електронни доказателства за националните съдебни органи, с изрични гаранции, основаващи се на принципите за необходимост и </w:t>
            </w:r>
            <w:r>
              <w:rPr>
                <w:rFonts w:ascii="Tahoma" w:hAnsi="Tahoma"/>
                <w:b/>
                <w:noProof/>
                <w:sz w:val="20"/>
              </w:rPr>
              <w:t>пропорционалност.</w:t>
            </w:r>
            <w:r>
              <w:rPr>
                <w:rFonts w:ascii="Tahoma" w:hAnsi="Tahoma"/>
                <w:b/>
                <w:noProof/>
                <w:sz w:val="20"/>
              </w:rPr>
              <w:tab/>
            </w:r>
            <w:r>
              <w:rPr>
                <w:rFonts w:ascii="Tahoma" w:hAnsi="Tahoma" w:cs="Tahoma"/>
                <w:b/>
                <w:noProof/>
                <w:sz w:val="20"/>
                <w:szCs w:val="20"/>
              </w:rPr>
              <w:br/>
            </w:r>
          </w:p>
          <w:p w:rsidR="00A13178" w:rsidRDefault="005D1193">
            <w:pPr>
              <w:jc w:val="both"/>
              <w:rPr>
                <w:rFonts w:ascii="Tahoma" w:hAnsi="Tahoma" w:cs="Tahoma"/>
                <w:noProof/>
                <w:sz w:val="20"/>
                <w:szCs w:val="20"/>
              </w:rPr>
            </w:pPr>
            <w:r>
              <w:rPr>
                <w:rFonts w:ascii="Tahoma" w:hAnsi="Tahoma"/>
                <w:noProof/>
                <w:sz w:val="20"/>
              </w:rPr>
              <w:t>Той няма да налаг</w:t>
            </w:r>
            <w:r>
              <w:rPr>
                <w:rFonts w:ascii="Tahoma" w:hAnsi="Tahoma"/>
                <w:noProof/>
                <w:sz w:val="20"/>
              </w:rPr>
              <w:t xml:space="preserve">а непропорционални задължения за частния сектор (включително МСП) или физическите лица. Напротив, с него се въвежда набор от мерки, от които се очаква да доведат до големи материални и нематериални </w:t>
            </w:r>
            <w:r>
              <w:rPr>
                <w:rFonts w:ascii="Tahoma" w:hAnsi="Tahoma"/>
                <w:b/>
                <w:noProof/>
                <w:sz w:val="20"/>
              </w:rPr>
              <w:t>ползи.</w:t>
            </w:r>
            <w:r>
              <w:rPr>
                <w:rFonts w:ascii="Tahoma" w:hAnsi="Tahoma"/>
                <w:b/>
                <w:noProof/>
                <w:sz w:val="20"/>
              </w:rPr>
              <w:tab/>
            </w:r>
            <w:r>
              <w:rPr>
                <w:rFonts w:ascii="Tahoma" w:hAnsi="Tahoma" w:cs="Tahoma"/>
                <w:b/>
                <w:noProof/>
                <w:sz w:val="20"/>
                <w:szCs w:val="20"/>
              </w:rPr>
              <w:br/>
            </w:r>
          </w:p>
          <w:p w:rsidR="00A13178" w:rsidRDefault="005D1193">
            <w:pPr>
              <w:jc w:val="both"/>
              <w:rPr>
                <w:rFonts w:ascii="Tahoma" w:hAnsi="Tahoma" w:cs="Tahoma"/>
                <w:i/>
                <w:noProof/>
                <w:sz w:val="20"/>
                <w:szCs w:val="20"/>
              </w:rPr>
            </w:pPr>
            <w:r>
              <w:rPr>
                <w:rFonts w:ascii="Tahoma" w:hAnsi="Tahoma"/>
                <w:noProof/>
                <w:sz w:val="20"/>
              </w:rPr>
              <w:t xml:space="preserve">Предпочитаният вариант не надхвърля необходимото </w:t>
            </w:r>
            <w:r>
              <w:rPr>
                <w:rFonts w:ascii="Tahoma" w:hAnsi="Tahoma"/>
                <w:noProof/>
                <w:sz w:val="20"/>
              </w:rPr>
              <w:t xml:space="preserve">за решаване на първоначалния проблем и </w:t>
            </w:r>
            <w:r>
              <w:rPr>
                <w:rFonts w:ascii="Tahoma" w:hAnsi="Tahoma"/>
                <w:b/>
                <w:noProof/>
                <w:sz w:val="20"/>
              </w:rPr>
              <w:t>за да отговори на целите на инициативата на ЕС</w:t>
            </w:r>
            <w:r>
              <w:rPr>
                <w:rFonts w:ascii="Tahoma" w:hAnsi="Tahoma"/>
                <w:noProof/>
                <w:sz w:val="20"/>
              </w:rPr>
              <w:t>.</w:t>
            </w:r>
          </w:p>
        </w:tc>
      </w:tr>
      <w:tr w:rsidR="00A13178">
        <w:tc>
          <w:tcPr>
            <w:tcW w:w="10188" w:type="dxa"/>
            <w:tcBorders>
              <w:bottom w:val="single" w:sz="4" w:space="0" w:color="auto"/>
            </w:tcBorders>
            <w:shd w:val="clear" w:color="auto" w:fill="C0C0C0"/>
          </w:tcPr>
          <w:p w:rsidR="00A13178" w:rsidRDefault="005D1193">
            <w:pPr>
              <w:spacing w:before="60" w:after="60"/>
              <w:rPr>
                <w:rFonts w:ascii="Tahoma" w:hAnsi="Tahoma" w:cs="Tahoma"/>
                <w:b/>
                <w:noProof/>
                <w:sz w:val="20"/>
                <w:szCs w:val="20"/>
              </w:rPr>
            </w:pPr>
            <w:r>
              <w:rPr>
                <w:rFonts w:ascii="Tahoma" w:hAnsi="Tahoma"/>
                <w:b/>
                <w:noProof/>
                <w:sz w:val="20"/>
              </w:rPr>
              <w:t>Г. Последващи действия</w:t>
            </w:r>
          </w:p>
        </w:tc>
      </w:tr>
      <w:tr w:rsidR="00A13178">
        <w:tc>
          <w:tcPr>
            <w:tcW w:w="10188" w:type="dxa"/>
            <w:tcBorders>
              <w:bottom w:val="single" w:sz="4" w:space="0" w:color="auto"/>
            </w:tcBorders>
            <w:shd w:val="clear" w:color="auto" w:fill="E6E6E6"/>
          </w:tcPr>
          <w:p w:rsidR="00A13178" w:rsidRDefault="005D1193">
            <w:pPr>
              <w:pStyle w:val="Default"/>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rsidR="00A13178">
        <w:trPr>
          <w:trHeight w:val="1129"/>
        </w:trPr>
        <w:tc>
          <w:tcPr>
            <w:tcW w:w="10188" w:type="dxa"/>
            <w:tcBorders>
              <w:bottom w:val="single" w:sz="4" w:space="0" w:color="auto"/>
            </w:tcBorders>
            <w:shd w:val="clear" w:color="auto" w:fill="auto"/>
          </w:tcPr>
          <w:p w:rsidR="00A13178" w:rsidRDefault="005D1193">
            <w:pPr>
              <w:spacing w:before="60"/>
              <w:jc w:val="both"/>
              <w:rPr>
                <w:rFonts w:ascii="Tahoma" w:hAnsi="Tahoma" w:cs="Tahoma"/>
                <w:noProof/>
                <w:color w:val="FF0000"/>
                <w:sz w:val="20"/>
                <w:szCs w:val="20"/>
              </w:rPr>
            </w:pPr>
            <w:r>
              <w:rPr>
                <w:rFonts w:ascii="Tahoma" w:hAnsi="Tahoma"/>
                <w:noProof/>
                <w:sz w:val="20"/>
              </w:rPr>
              <w:t xml:space="preserve">Комисията следва да извърши преглед на изпълнението на инициативата, за да прецени дали са изпълнени целите на политиката. Тази </w:t>
            </w:r>
            <w:r>
              <w:rPr>
                <w:rFonts w:ascii="Tahoma" w:hAnsi="Tahoma"/>
                <w:b/>
                <w:noProof/>
                <w:sz w:val="20"/>
              </w:rPr>
              <w:t>оценка</w:t>
            </w:r>
            <w:r>
              <w:rPr>
                <w:rFonts w:ascii="Tahoma" w:hAnsi="Tahoma"/>
                <w:noProof/>
                <w:sz w:val="20"/>
              </w:rPr>
              <w:t xml:space="preserve"> ще се извърши </w:t>
            </w:r>
            <w:r>
              <w:rPr>
                <w:rFonts w:ascii="Tahoma" w:hAnsi="Tahoma"/>
                <w:b/>
                <w:noProof/>
                <w:sz w:val="20"/>
              </w:rPr>
              <w:t>5 години</w:t>
            </w:r>
            <w:r>
              <w:rPr>
                <w:rFonts w:ascii="Tahoma" w:hAnsi="Tahoma"/>
                <w:noProof/>
                <w:sz w:val="20"/>
              </w:rPr>
              <w:t xml:space="preserve"> след изтичането на крайния срок за транспониране на законодателния акт, като по този начин позволи</w:t>
            </w:r>
            <w:r>
              <w:rPr>
                <w:rFonts w:ascii="Tahoma" w:hAnsi="Tahoma"/>
                <w:noProof/>
                <w:sz w:val="20"/>
              </w:rPr>
              <w:t xml:space="preserve"> да изтече достатъчно време, за да може да се проведе смислена оценка на законодателната уредба и практика във всички участващи държави членки.</w:t>
            </w:r>
          </w:p>
        </w:tc>
      </w:tr>
    </w:tbl>
    <w:p w:rsidR="00A13178" w:rsidRDefault="00A13178">
      <w:pPr>
        <w:rPr>
          <w:rFonts w:ascii="Tahoma" w:hAnsi="Tahoma" w:cs="Tahoma"/>
          <w:noProof/>
          <w:sz w:val="20"/>
          <w:szCs w:val="20"/>
        </w:rPr>
      </w:pPr>
    </w:p>
    <w:sectPr w:rsidR="00A13178">
      <w:headerReference w:type="even" r:id="rId19"/>
      <w:headerReference w:type="default" r:id="rId20"/>
      <w:footerReference w:type="even" r:id="rId21"/>
      <w:footerReference w:type="default" r:id="rId22"/>
      <w:headerReference w:type="first" r:id="rId23"/>
      <w:footerReference w:type="first" r:id="rId24"/>
      <w:pgSz w:w="11906" w:h="16838" w:code="9"/>
      <w:pgMar w:top="1276" w:right="567" w:bottom="993"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78" w:rsidRDefault="005D1193">
      <w:r>
        <w:separator/>
      </w:r>
    </w:p>
  </w:endnote>
  <w:endnote w:type="continuationSeparator" w:id="0">
    <w:p w:rsidR="00A13178" w:rsidRDefault="005D1193">
      <w:r>
        <w:continuationSeparator/>
      </w:r>
    </w:p>
  </w:endnote>
  <w:endnote w:type="continuationNotice" w:id="1">
    <w:p w:rsidR="00A13178" w:rsidRDefault="00A1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FooterCoverPage"/>
      <w:rPr>
        <w:rFonts w:ascii="Arial" w:hAnsi="Arial" w:cs="Arial"/>
        <w:b/>
        <w:sz w:val="48"/>
      </w:rPr>
    </w:pPr>
    <w:r w:rsidRPr="005D1193">
      <w:rPr>
        <w:rFonts w:ascii="Arial" w:hAnsi="Arial" w:cs="Arial"/>
        <w:b/>
        <w:sz w:val="48"/>
      </w:rPr>
      <w:t>BG</w:t>
    </w:r>
    <w:r w:rsidRPr="005D1193">
      <w:rPr>
        <w:rFonts w:ascii="Arial" w:hAnsi="Arial" w:cs="Arial"/>
        <w:b/>
        <w:sz w:val="48"/>
      </w:rPr>
      <w:tab/>
    </w:r>
    <w:r w:rsidRPr="005D1193">
      <w:rPr>
        <w:rFonts w:ascii="Arial" w:hAnsi="Arial" w:cs="Arial"/>
        <w:b/>
        <w:sz w:val="48"/>
      </w:rPr>
      <w:tab/>
    </w:r>
    <w:r w:rsidRPr="005D1193">
      <w:tab/>
    </w:r>
    <w:r w:rsidRPr="005D1193">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8" w:rsidRDefault="00A131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rsidR="00A13178" w:rsidRDefault="005D119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8" w:rsidRDefault="005D119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78" w:rsidRDefault="005D1193">
      <w:r>
        <w:separator/>
      </w:r>
    </w:p>
  </w:footnote>
  <w:footnote w:type="continuationSeparator" w:id="0">
    <w:p w:rsidR="00A13178" w:rsidRDefault="005D1193">
      <w:r>
        <w:continuationSeparator/>
      </w:r>
    </w:p>
  </w:footnote>
  <w:footnote w:type="continuationNotice" w:id="1">
    <w:p w:rsidR="00A13178" w:rsidRDefault="00A131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93" w:rsidRPr="005D1193" w:rsidRDefault="005D1193" w:rsidP="005D119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8" w:rsidRDefault="00A131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8" w:rsidRDefault="00A131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178" w:rsidRDefault="00A131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15C2"/>
    <w:multiLevelType w:val="hybridMultilevel"/>
    <w:tmpl w:val="96EE8E42"/>
    <w:lvl w:ilvl="0" w:tplc="FD5A1C2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C39EA"/>
    <w:multiLevelType w:val="hybridMultilevel"/>
    <w:tmpl w:val="A3F2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AF5080"/>
    <w:multiLevelType w:val="hybridMultilevel"/>
    <w:tmpl w:val="78DAB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37F61"/>
    <w:multiLevelType w:val="hybridMultilevel"/>
    <w:tmpl w:val="FE68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A4E75"/>
    <w:multiLevelType w:val="hybridMultilevel"/>
    <w:tmpl w:val="6DE0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771725"/>
    <w:multiLevelType w:val="hybridMultilevel"/>
    <w:tmpl w:val="114A8280"/>
    <w:lvl w:ilvl="0" w:tplc="C90456E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9"/>
  </w:num>
  <w:num w:numId="5">
    <w:abstractNumId w:val="10"/>
  </w:num>
  <w:num w:numId="6">
    <w:abstractNumId w:val="1"/>
  </w:num>
  <w:num w:numId="7">
    <w:abstractNumId w:val="3"/>
  </w:num>
  <w:num w:numId="8">
    <w:abstractNumId w:val="0"/>
  </w:num>
  <w:num w:numId="9">
    <w:abstractNumId w:val="2"/>
  </w:num>
  <w:num w:numId="10">
    <w:abstractNumId w:val="8"/>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7D19734-7A38-4632-A158-3BF6DC0330A6"/>
    <w:docVar w:name="LW_COVERPAGE_TYPE" w:val="1"/>
    <w:docVar w:name="LW_CROSSREFERENCE" w:val="{COM(2018) 225 final}_x000d__x000a_{COM(2018) 226 final}_x000a_{SWD(2018) 118 final}"/>
    <w:docVar w:name="LW_DocType" w:val="NORMAL"/>
    <w:docVar w:name="LW_EMISSION" w:val="17.4.2018"/>
    <w:docVar w:name="LW_EMISSION_ISODATE" w:val="2018-04-17"/>
    <w:docVar w:name="LW_EMISSION_LOCATION" w:val="BRX"/>
    <w:docVar w:name="LW_EMISSION_PREFIX" w:val="\u1057?\u1090?\u1088?\u1072?\u1089?\u1073?\u1091?\u1088?\u1075?,"/>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 \u1056?\u1077?\u1075?\u1083?\u1072?\u1084?\u1077?\u1085?\u1090? \u1085?\u1072? \u1045?\u1074?\u1088?\u1086?\u1087?\u1077?\u1081?\u1089?\u1082?\u1080?\u1103? \u1087?\u1072?\u1088?\u1083?\u1072?\u1084?\u1077?\u1085?\u1090? \u1080? \u1085?\u1072? \u1057?\u1098?\u1074?\u1077?\u1090?\u1072? \u1086?\u1090?\u1085?\u1086?\u1089?\u1085?\u1086? \u1077?\u1074?\u1088?\u1086?\u1087?\u1077?\u1081?\u1089?\u1082?\u1080?\u1090?\u1077? \u1079?\u1072?\u1087?\u1086?\u1074?\u1077?\u1076?\u1080? \u1079?\u1072? \u1087?\u1088?\u1077?\u1076?\u1086?\u1089?\u1090?\u1072?\u1074?\u1103?\u1085?\u1077? \u1080? \u1079?\u1072? \u1079?\u1072?\u1087?\u1072?\u1079?\u1074?\u1072?\u1085?\u1077? \u1085?\u1072? \u1077?\u1083?\u1077?\u1082?\u1090?\u1088?\u1086?\u1085?\u1085?\u1080? \u1076?\u1086?\u1082?\u1072?\u1079?\u1072?\u1090?\u1077?\u1083?\u1089?\u1090?\u1074?\u1072? \u1087?\u1086? \u1085?\u1072?\u1082?\u1072?\u1079?\u1072?\u1090?\u1077?\u1083?\u1085?\u1086?\u1087?\u1088?\u1072?\u1074?\u1085?\u1080? \u1074?\u1098?\u1087?\u1088?\u1086?\u1089?\u1080?_x000b_\u1080?_x000b_\u1087?\u1088?\u1077?\u1076?\u1083?\u1086?\u1078?\u1077?\u1085?\u1080?\u1077? \u1079?\u1072? \u1044?\u1080?\u1088?\u1077?\u1082?\u1090?\u1080?\u1074?\u1072? \u1085?\u1072? \u1045?\u1074?\u1088?\u1086?\u1087?\u1077?\u1081?\u1089?\u1082?\u1080?\u1103? \u1087?\u1072?\u1088?\u1083?\u1072?\u1084?\u1077?\u1085?\u1090? \u1080? \u1085?\u1072? \u1057?\u1098?\u1074?\u1077?\u1090?\u1072? \u1079?\u1072? \u1091?\u1089?\u1090?\u1072?\u1085?\u1086?\u1074?\u1103?\u1074?\u1072?\u1085?\u1077? \u1085?\u1072? \u1093?\u1072?\u1088?\u1084?\u1086?\u1085?\u1080?\u1079?\u1080?\u1088?\u1072?\u1085?\u1080? \u1087?\u1088?\u1072?\u1074?\u1080?\u1083?\u1072? \u1086?\u1090?\u1085?\u1086?\u1089?\u1085?\u1086? \u1086?\u1087?\u1088?\u1077?\u1076?\u1077?\u1083?\u1103?\u1085?\u1077?\u1090?\u1086? \u1085?\u1072? \u1102?\u1088?\u1080?\u1076?\u1080?\u1095?\u1077?\u1089?\u1082?\u1080? \u1087?\u1088?\u1077?\u1076?\u1089?\u1090?\u1072?\u1074?\u1080?\u1090?\u1077?\u1083?\u1080? \u1079?\u1072? \u1094?\u1077?\u1083?\u1080?\u1090?\u1077? \u1085?\u1072? \u1089?\u1098?\u1073?\u1080?\u1088?\u1072?\u1085?\u1077?\u1090?\u1086? \u1085?\u1072? \u1076?\u1086?\u1082?\u1072?\u1079?\u1072?\u1090?\u1077?\u1083?\u1089?\u1090?\u1074?\u1072? \u1087?\u1086? \u1085?\u1072?\u1082?\u1072?\u1079?\u1072?\u1090?\u1077?\u1083?\u1085?\u1080? \u1087?\u1088?\u1086?\u1080?\u1079?\u1074?\u1086?\u1076?\u1089?\u1090?\u1074?\u1072? "/>
  </w:docVars>
  <w:rsids>
    <w:rsidRoot w:val="00A13178"/>
    <w:rsid w:val="005D1193"/>
    <w:rsid w:val="00A1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34A0-25D7-4AA9-BE70-8DFE35B7CAB1}">
  <ds:schemaRefs>
    <ds:schemaRef ds:uri="http://schemas.microsoft.com/office/2006/metadata/properties"/>
    <ds:schemaRef ds:uri="http://schemas.microsoft.com/office/infopath/2007/PartnerControls"/>
    <ds:schemaRef ds:uri="e545963d-d22e-4b1c-8d50-a68973f4b290"/>
    <ds:schemaRef ds:uri="http://schemas.microsoft.com/sharepoint/v3/fields"/>
  </ds:schemaRefs>
</ds:datastoreItem>
</file>

<file path=customXml/itemProps2.xml><?xml version="1.0" encoding="utf-8"?>
<ds:datastoreItem xmlns:ds="http://schemas.openxmlformats.org/officeDocument/2006/customXml" ds:itemID="{F5E58C63-F68B-48AD-852F-A68E99729DB9}">
  <ds:schemaRefs>
    <ds:schemaRef ds:uri="http://schemas.microsoft.com/sharepoint/v3/contenttype/forms"/>
  </ds:schemaRefs>
</ds:datastoreItem>
</file>

<file path=customXml/itemProps3.xml><?xml version="1.0" encoding="utf-8"?>
<ds:datastoreItem xmlns:ds="http://schemas.openxmlformats.org/officeDocument/2006/customXml" ds:itemID="{3FCCA36B-0B4D-426E-9FCE-23D21109B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27293-A679-4483-B235-DC34A875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1201</Words>
  <Characters>7630</Characters>
  <Application>Microsoft Office Word</Application>
  <DocSecurity>0</DocSecurity>
  <Lines>130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2017-08-31T12:20:00Z</cp:lastPrinted>
  <dcterms:created xsi:type="dcterms:W3CDTF">2018-04-10T07:35:00Z</dcterms:created>
  <dcterms:modified xsi:type="dcterms:W3CDTF">2018-05-24T12:31:00Z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0x010100258AA79CEB83498886A3A0868112325000B05BFFFB036732419014A7F8A6877929</vt:lpwstr>
  </property>
</Properties>
</file>