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B48B2BD-CEE7-4CA3-8CFB-091B02F03353" style="width:450.75pt;height:411pt">
            <v:imagedata r:id="rId11" o:title=""/>
          </v:shape>
        </w:pict>
      </w:r>
    </w:p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  <w:r>
        <w:rPr>
          <w:noProof/>
        </w:rPr>
        <w:br/>
        <w:t xml:space="preserve">РЕЧНИК </w:t>
      </w:r>
    </w:p>
    <w:p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0"/>
        </w:tabs>
        <w:outlineLvl w:val="0"/>
        <w:rPr>
          <w:rFonts w:eastAsia="Arial Unicode MS" w:cs="Arial Unicode MS"/>
          <w:bCs/>
          <w:noProof/>
          <w:color w:val="000000"/>
          <w:szCs w:val="24"/>
          <w:u w:color="000000"/>
          <w:bdr w:val="nil"/>
        </w:rPr>
      </w:pPr>
      <w:r>
        <w:rPr>
          <w:b/>
          <w:noProof/>
        </w:rPr>
        <w:t xml:space="preserve">Автоматично признаване на квалификация: </w:t>
      </w:r>
      <w:r>
        <w:rPr>
          <w:noProof/>
          <w:color w:val="000000"/>
          <w:u w:color="000000"/>
          <w:bdr w:val="nil"/>
        </w:rPr>
        <w:t xml:space="preserve">правото на притежателите на квалификация, издадена от една държава членка, да кандидатстват за достъп до програма за образование или обучение в която и да е друга държава членка, без да е необходимо да преминават през каквато и да е отделна процедура по признаване. Това право не засяга правото на висшето учебно заведение да прилага специфични критерии за прием за конкретна програма. </w:t>
      </w:r>
    </w:p>
    <w:p>
      <w:pPr>
        <w:rPr>
          <w:b/>
          <w:noProof/>
        </w:rPr>
      </w:pPr>
      <w:r>
        <w:rPr>
          <w:b/>
          <w:noProof/>
          <w:color w:val="000000"/>
          <w:u w:color="000000"/>
          <w:bdr w:val="nil"/>
        </w:rPr>
        <w:t>Автоматично признаване на резултатите от период на учене в чужбина:</w:t>
      </w:r>
      <w:r>
        <w:rPr>
          <w:noProof/>
          <w:color w:val="000000"/>
          <w:u w:color="000000"/>
          <w:bdr w:val="nil"/>
        </w:rPr>
        <w:t xml:space="preserve"> правото да бъдат признати резултатите от период на учене: на равнище висше образование — както са посочени в споразумението за обучение и потвърдени в академичната справка или съгласно резултатите от ученето от завършените в чужбина модули, както са описани в каталога на курсовете по Европейската система за трансфер и натрупване на кредити (ECTS); и на равнище средно образование — резултатите от период на учене в чужбина, осъществен в една държава членка, се признават напълно в държавата на произход, при условие че придобитите компетентности съответстват на компетентностите, определени в националните учебни програми.</w:t>
      </w:r>
    </w:p>
    <w:p>
      <w:pPr>
        <w:rPr>
          <w:noProof/>
        </w:rPr>
      </w:pPr>
      <w:r>
        <w:rPr>
          <w:b/>
          <w:noProof/>
        </w:rPr>
        <w:t>Блокова верига:</w:t>
      </w:r>
      <w:r>
        <w:rPr>
          <w:noProof/>
        </w:rPr>
        <w:t xml:space="preserve"> начин да се даде възможност информацията да бъде записвана и споделяна от дадена общност. Всеки член на общността поддържа свое собствено копие на информацията. Записите са постоянни и прозрачни и позволяват търсене. Всяка актуализация е нов „блок“, добавен към края на „веригата“.</w:t>
      </w:r>
    </w:p>
    <w:p>
      <w:pPr>
        <w:rPr>
          <w:noProof/>
        </w:rPr>
      </w:pPr>
      <w:r>
        <w:rPr>
          <w:b/>
          <w:noProof/>
        </w:rPr>
        <w:t>Приложение към удостоверение:</w:t>
      </w:r>
      <w:r>
        <w:rPr>
          <w:noProof/>
        </w:rPr>
        <w:t xml:space="preserve"> документ, в който са описани знанията и уменията, придобити от притежателите на удостоверения за професионално обучение, и в който се предоставя допълнителна към вече включената в официалното удостоверение и/или в академичната справка информация, като я прави по-лесна за разбиране, по-специално от работодателите и институциите в чужбина.</w:t>
      </w:r>
    </w:p>
    <w:p>
      <w:pPr>
        <w:rPr>
          <w:noProof/>
        </w:rPr>
      </w:pPr>
      <w:r>
        <w:rPr>
          <w:b/>
          <w:noProof/>
        </w:rPr>
        <w:t xml:space="preserve">Каталог на курсовете: </w:t>
      </w:r>
      <w:r>
        <w:rPr>
          <w:noProof/>
        </w:rPr>
        <w:t xml:space="preserve">съгласно описанието в </w:t>
      </w:r>
      <w:r>
        <w:rPr>
          <w:i/>
          <w:noProof/>
        </w:rPr>
        <w:t>Ръководството за потребителя относно ECTS (2015 г.)</w:t>
      </w:r>
      <w:r>
        <w:rPr>
          <w:noProof/>
        </w:rPr>
        <w:t xml:space="preserve"> „каталогът на курсовете включва подробна, лесна за ползване и актуална информация за учебната среда на институцията (обща информация за институцията и за нейните ресурси и услуги, както и академична информация за нейните програми и отделни образователни компоненти), която следва да бъде на разположение на студентите, преди те да започнат обучението си, както и по време на цялото им обучение, за да могат да направят правилни избори и да оползотворяват времето си по най-ефективния начин. Каталогът на курсовете следва да бъде публикуван на уебсайта на институцията, като наименованията на курсовете/предметите бъдат посочени на националния език (или на регионалния език, ако е уместно), както и на английски език, така че всички заинтересовани страни да имат лесен достъп до него. Институцията има свободата да избира формата на каталога, както и в каква последователност да бъде представена информацията. Каталогът следва да бъде публикуван достатъчно рано, за да могат бъдещите студенти да направят своите избори“.</w:t>
      </w:r>
    </w:p>
    <w:p>
      <w:pPr>
        <w:rPr>
          <w:noProof/>
        </w:rPr>
      </w:pPr>
      <w:r>
        <w:rPr>
          <w:b/>
          <w:noProof/>
        </w:rPr>
        <w:t>Компетентен орган:</w:t>
      </w:r>
      <w:r>
        <w:rPr>
          <w:noProof/>
        </w:rPr>
        <w:t xml:space="preserve"> лице или организация, които имат законово делегирани или предоставени власт, капацитет или правомощия да изпълняват определена функция.</w:t>
      </w:r>
    </w:p>
    <w:p>
      <w:pPr>
        <w:rPr>
          <w:noProof/>
        </w:rPr>
      </w:pPr>
      <w:r>
        <w:rPr>
          <w:b/>
          <w:noProof/>
        </w:rPr>
        <w:t xml:space="preserve">Оценител на квалификациите: </w:t>
      </w:r>
      <w:r>
        <w:rPr>
          <w:noProof/>
        </w:rPr>
        <w:t>лице, което взема решения относно признаването на квалификациите.</w:t>
      </w:r>
    </w:p>
    <w:p>
      <w:pPr>
        <w:rPr>
          <w:noProof/>
        </w:rPr>
      </w:pPr>
      <w:r>
        <w:rPr>
          <w:b/>
          <w:noProof/>
        </w:rPr>
        <w:t>Приложение към диплома:</w:t>
      </w:r>
      <w:r>
        <w:rPr>
          <w:noProof/>
        </w:rPr>
        <w:t xml:space="preserve"> документ, прикрепен към диплома за висше образование, който съдържа подробно описание на резултатите от ученето на притежателя ѝ, както и </w:t>
      </w:r>
      <w:r>
        <w:rPr>
          <w:noProof/>
        </w:rPr>
        <w:lastRenderedPageBreak/>
        <w:t xml:space="preserve">на естеството, нивото, контекста, съдържанието и статуса на отделните учебни компоненти. </w:t>
      </w:r>
    </w:p>
    <w:p>
      <w:pPr>
        <w:rPr>
          <w:noProof/>
        </w:rPr>
      </w:pPr>
      <w:r>
        <w:rPr>
          <w:b/>
          <w:noProof/>
        </w:rPr>
        <w:t xml:space="preserve">Европейски подход за осигуряване на качеството на съвместните програми: </w:t>
      </w:r>
      <w:r>
        <w:rPr>
          <w:noProof/>
        </w:rPr>
        <w:t>одобрен от министрите на образованието от европейското пространство за висше образование през 2015 г., неговата цел е да се подобри осигуряването на качеството на съвместните програми чрез определяне на стандарти и премахване на пречките пред тяхното признаване.</w:t>
      </w:r>
    </w:p>
    <w:p>
      <w:pPr>
        <w:rPr>
          <w:noProof/>
        </w:rPr>
      </w:pPr>
      <w:r>
        <w:rPr>
          <w:b/>
          <w:noProof/>
        </w:rPr>
        <w:t>Европейска система за кредити в професионалното образование и обучение (ECVET):</w:t>
      </w:r>
      <w:r>
        <w:rPr>
          <w:noProof/>
        </w:rPr>
        <w:t xml:space="preserve"> техническа рамка за трансфера, признаването и когато е приложимо — натрупването на резултати от ученето на отделните лица с цел постигане на квалификация. Европейската система за кредити в професионалното образование и обучение се основава на описанието на квалификациите по единици резултати от ученето, на процесите на трансфер, признаване и натрупване, както и на редица допълнителни документи, като например меморандуми за разбирателство и споразумения за обучение. </w:t>
      </w:r>
    </w:p>
    <w:p>
      <w:pPr>
        <w:rPr>
          <w:noProof/>
        </w:rPr>
      </w:pPr>
      <w:r>
        <w:rPr>
          <w:b/>
          <w:noProof/>
        </w:rPr>
        <w:t>Европейска система за трансфер и натрупване на кредити (ECTS):</w:t>
      </w:r>
      <w:r>
        <w:rPr>
          <w:noProof/>
        </w:rPr>
        <w:t xml:space="preserve"> съгласно описанието в </w:t>
      </w:r>
      <w:r>
        <w:rPr>
          <w:i/>
          <w:noProof/>
        </w:rPr>
        <w:t>Ръководството за потребителя относно ECTS (2015 г.)</w:t>
      </w:r>
      <w:r>
        <w:rPr>
          <w:noProof/>
        </w:rPr>
        <w:t xml:space="preserve"> това е „ориентирана към учащия се система за натрупване и трансфер на кредити, основана на принципа на прозрачност на процесите на учене, преподаване и оценяване. Целта ѝ е да се улеснят планирането, осъществяването и оценяването на учебните програми и студентската мобилност чрез признаване на учебните постижения, квалификациите и периодите на учене“.</w:t>
      </w:r>
    </w:p>
    <w:p>
      <w:pPr>
        <w:rPr>
          <w:noProof/>
        </w:rPr>
      </w:pPr>
      <w:r>
        <w:rPr>
          <w:b/>
          <w:noProof/>
        </w:rPr>
        <w:t>Квалификационна рамка за европейското пространство за висше образование (EHEA QF):</w:t>
      </w:r>
      <w:r>
        <w:rPr>
          <w:noProof/>
        </w:rPr>
        <w:t xml:space="preserve"> обща рамка за квалификациите в европейското пространство за висше образование, което включва 48 държави. Тя обхваща три цикъла (бакалавърска, магистърска и докторска степен), включително, в национален контекст, междинни квалификации, генерични дескриптори за всеки цикъл, основани на резултатите от ученето и компетентностите, както и броя на кредитите в първия и втория цикъл. </w:t>
      </w:r>
    </w:p>
    <w:p>
      <w:pPr>
        <w:rPr>
          <w:noProof/>
        </w:rPr>
      </w:pPr>
      <w:r>
        <w:rPr>
          <w:b/>
          <w:noProof/>
        </w:rPr>
        <w:t xml:space="preserve">Европейски регистър за осигуряване на качество във висшето образование (EQAR): </w:t>
      </w:r>
      <w:r>
        <w:rPr>
          <w:noProof/>
        </w:rPr>
        <w:t>регистър на агенциите по осигуряване на качеството, в който са изброени агенциите, които са доказали значително съответствие с общ набор от принципи за осигуряване на качеството в Европа. Тези принципи са определени в стандартите и насоките за осигуряване на качеството в европейското пространство за висше образование (ESG):</w:t>
      </w:r>
    </w:p>
    <w:p>
      <w:pPr>
        <w:rPr>
          <w:noProof/>
        </w:rPr>
      </w:pPr>
      <w:r>
        <w:rPr>
          <w:b/>
          <w:noProof/>
        </w:rPr>
        <w:t>Европейска референтна рамка за осигуряване на качество в професионалното образование и обучение (EQAVET):</w:t>
      </w:r>
      <w:r>
        <w:rPr>
          <w:noProof/>
        </w:rPr>
        <w:t xml:space="preserve"> общност от практики, която обединява държавите членки, социалните партньори и Европейската комисия с цел развиване и подобряване на осигуряването на качеството в професионалното образование и обучение. </w:t>
      </w:r>
    </w:p>
    <w:p>
      <w:pPr>
        <w:rPr>
          <w:noProof/>
        </w:rPr>
      </w:pPr>
      <w:r>
        <w:rPr>
          <w:b/>
          <w:noProof/>
        </w:rPr>
        <w:t>Европейска квалификационна рамка (ЕКР):</w:t>
      </w:r>
      <w:r>
        <w:rPr>
          <w:noProof/>
        </w:rPr>
        <w:t xml:space="preserve"> инструмент за превод, който улеснява комуникацията и сравнението между квалификационните системи в Европа. Нейните осем общи европейски референтни нива са описани с оглед на резултатите от ученето: знания, умения и компетентности. Това позволява всички национални квалификационни системи, национални квалификационни рамки и квалификации в Европа да бъдат съотнесени към нивата по Европейската квалификационна рамка. Учащите се, завършилите, доставчиците на образование и обучение и работодателите могат да използват тези нива, за да разберат и сравнят квалификациите, издадени в различни държави и от различни системи за образование и обучение.</w:t>
      </w:r>
    </w:p>
    <w:p>
      <w:pPr>
        <w:rPr>
          <w:noProof/>
        </w:rPr>
      </w:pPr>
      <w:r>
        <w:rPr>
          <w:b/>
          <w:noProof/>
        </w:rPr>
        <w:t xml:space="preserve">Споразумение за обучение: </w:t>
      </w:r>
      <w:r>
        <w:rPr>
          <w:noProof/>
        </w:rPr>
        <w:t xml:space="preserve">съгласно определението в </w:t>
      </w:r>
      <w:r>
        <w:rPr>
          <w:i/>
          <w:noProof/>
        </w:rPr>
        <w:t>Ръководството за потребителя относно ECTS (2015 г.)</w:t>
      </w:r>
      <w:r>
        <w:rPr>
          <w:noProof/>
        </w:rPr>
        <w:t xml:space="preserve"> това е „официално споразумение, сключено между трите страни, които участват в мобилността — студента, изпращащата институция и приемащата институция или организация/предприятие, за да се улесни организирането на мобилност с цел придобиване на кредити и нейното признаване. Споразумението трябва да бъде подписано от трите страни преди началото на периода на мобилност и има за цел да даде на студента потвърждение, че кредитите, които той получава по време на периода на мобилност, ще бъдат признати“.</w:t>
      </w:r>
    </w:p>
    <w:p>
      <w:pPr>
        <w:rPr>
          <w:noProof/>
        </w:rPr>
      </w:pPr>
      <w:r>
        <w:rPr>
          <w:b/>
          <w:noProof/>
        </w:rPr>
        <w:t>Резултати от ученето:</w:t>
      </w:r>
      <w:r>
        <w:rPr>
          <w:noProof/>
        </w:rPr>
        <w:t xml:space="preserve"> посочване на това, което учащият се знае, разбира и може да прави след завършване на учебния процес. Резултатите от ученето се определят въз основа на знания, умения и компетентности.</w:t>
      </w:r>
    </w:p>
    <w:p>
      <w:pPr>
        <w:rPr>
          <w:noProof/>
        </w:rPr>
      </w:pPr>
      <w:r>
        <w:rPr>
          <w:b/>
          <w:noProof/>
        </w:rPr>
        <w:t>Национална квалификационна рамка:</w:t>
      </w:r>
      <w:r>
        <w:rPr>
          <w:noProof/>
        </w:rPr>
        <w:t xml:space="preserve"> инструмент за класификация на квалификациите съгласно набор от критерии за достигнати конкретни нива в процеса на учене, чиято цел е да се обединят и съгласуват националните квалификационни подсистеми и да се подобрят прозрачността, достъпът, подредбата и качеството на квалификациите по отношение на пазара на труда и гражданското общество.</w:t>
      </w:r>
    </w:p>
    <w:p>
      <w:pPr>
        <w:rPr>
          <w:noProof/>
        </w:rPr>
      </w:pPr>
      <w:r>
        <w:rPr>
          <w:b/>
          <w:noProof/>
        </w:rPr>
        <w:t>Квалификация:</w:t>
      </w:r>
      <w:r>
        <w:rPr>
          <w:noProof/>
        </w:rPr>
        <w:t xml:space="preserve"> съгласно определението в Ръководството за потребителя относно ECTS (2015 г.) това е „степен, диплома или друго удостоверение, издадени от компетентен орган, чрез които се удостоверява успешното завършване на призната програма за обучение“.</w:t>
      </w:r>
    </w:p>
    <w:p>
      <w:pPr>
        <w:rPr>
          <w:noProof/>
        </w:rPr>
      </w:pPr>
      <w:r>
        <w:rPr>
          <w:b/>
          <w:noProof/>
        </w:rPr>
        <w:t>Признаване на предходно учене:</w:t>
      </w:r>
      <w:r>
        <w:rPr>
          <w:noProof/>
        </w:rPr>
        <w:t xml:space="preserve"> признаването на резултати от ученето (независимо дали са от формално образование и обучение, или от неформално или самостоятелно учене), придобити, преди да бъде поискано те да бъдат валидирани.</w:t>
      </w:r>
    </w:p>
    <w:p>
      <w:pPr>
        <w:rPr>
          <w:noProof/>
        </w:rPr>
      </w:pPr>
      <w:r>
        <w:rPr>
          <w:b/>
          <w:noProof/>
        </w:rPr>
        <w:t>Стандарти и насоки за осигуряване на качеството в европейското пространство за висше образование (ESG):</w:t>
      </w:r>
      <w:r>
        <w:rPr>
          <w:noProof/>
        </w:rPr>
        <w:t xml:space="preserve"> набор от стандарти и насоки за вътрешно и външно осигуряване на качеството във висшето образование, разработени в рамките на процеса от Болоня. Те предоставят насоки за областите, които са от съществено значение за успешното осигуряване на качеството и за учебната среда във висшето образование. Стандартите и насоките за осигуряване на качеството в европейското пространство за висше образование трябва да се разглеждат в по-широк контекст, включващ квалификационните рамки, Европейската система за трансфер и натрупване на кредити и приложенията към дипломите — всички допринасящи за насърчаването на прозрачността и взаимното доверие в европейското пространство за висше образование. </w:t>
      </w:r>
    </w:p>
    <w:p>
      <w:pPr>
        <w:rPr>
          <w:noProof/>
        </w:rPr>
      </w:pPr>
      <w:r>
        <w:rPr>
          <w:b/>
          <w:noProof/>
        </w:rPr>
        <w:t>Академична справка:</w:t>
      </w:r>
      <w:r>
        <w:rPr>
          <w:noProof/>
        </w:rPr>
        <w:t xml:space="preserve"> съгласно определението в </w:t>
      </w:r>
      <w:r>
        <w:rPr>
          <w:i/>
          <w:noProof/>
        </w:rPr>
        <w:t>Ръководството за потребителя относно ECTS (2015 г.)</w:t>
      </w:r>
      <w:r>
        <w:rPr>
          <w:noProof/>
        </w:rPr>
        <w:t xml:space="preserve"> това е „актуален запис на напредъка на студентите в обучението им: образователните компоненти, които са изучавали, броя на получените от тях точки по Европейската система за трансфер и натрупване на кредити и оценките, които са им били поставени. Това е документ от съществено значение за отчитането на напредъка и за признаването на учебните постижения, включително за студентската мобилност. Повечето институции изготвят академичната справка въз основа на своите институционални бази данни“.</w:t>
      </w:r>
    </w:p>
    <w:sectPr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56A5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F687E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6E2F80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116D2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51669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0EC30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3B8FF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FAEB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5 08:32:5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B48B2BD-CEE7-4CA3-8CFB-091B02F03353"/>
    <w:docVar w:name="LW_COVERPAGE_TYPE" w:val="1"/>
    <w:docVar w:name="LW_CROSSREFERENCE" w:val="{SWD(2018) 170 final}"/>
    <w:docVar w:name="LW_DocType" w:val="ANNEX"/>
    <w:docVar w:name="LW_EMISSION" w:val="22.5.2018"/>
    <w:docVar w:name="LW_EMISSION_ISODATE" w:val="2018-05-22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5?\u1072?\u1089?\u1098?\u1088?\u1095?\u1072?\u1074?\u1072?\u1085?\u1077?\u1090?\u1086? \u1085?\u1072? \u1072?\u1074?\u1090?\u1086?\u1084?\u1072?\u1090?\u1080?\u1095?\u1085?\u1086?\u1090?\u1086? \u1074?\u1079?\u1072?\u1080?\u1084?\u1085?\u1086? \u1087?\u1088?\u1080?\u1079?\u1085?\u1072?\u1074?\u1072?\u1085?\u1077? \u1085?\u1072? \u1076?\u1080?\u1087?\u1083?\u1086?\u1084?\u1080?\u1090?\u1077? \u1079?\u1072? \u1074?\u1080?\u1089?\u1096?\u1077? \u1086?\u1073?\u1088?\u1072?\u1079?\u1086?\u1074?\u1072?\u1085?\u1080?\u1077? \u1080? \u1079?\u1072? \u1079?\u1072?\u1074?\u1098?\u1088?\u1096?\u1077?\u1085? \u1075?\u1080?\u1084?\u1085?\u1072?\u1079?\u1080?\u1072?\u1083?\u1077?\u1085? \u1077?\u1090?\u1072?\u1087? \u1085?\u1072? \u1089?\u1088?\u1077?\u1076?\u1085?\u1086? \u1086?\u1073?\u1088?\u1072?\u1079?\u1086?\u1074?\u1072?\u1085?\u1080?\u1077? \u1080? \u1085?\u1072? \u1088?\u1077?\u1079?\u1091?\u1083?\u1090?\u1072?\u1090?\u1080?\u1090?\u1077? \u1086?\u1090? \u1087?\u1077?\u1088?\u1080?\u1086?\u1076?\u1080? \u1085?\u1072? \u1091?\u1095?\u1077?\u1085?\u1077? \u1074? \u1095?\u1091?\u1078?\u1073?\u1080?\u1085?\u1072?"/>
    <w:docVar w:name="LW_OBJETACTEPRINCIPAL.CP" w:val="\u1086?\u1090?\u1085?\u1086?\u1089?\u1085?\u1086? \u1085?\u1072?\u1089?\u1098?\u1088?\u1095?\u1072?\u1074?\u1072?\u1085?\u1077?\u1090?\u1086? \u1085?\u1072? \u1072?\u1074?\u1090?\u1086?\u1084?\u1072?\u1090?\u1080?\u1095?\u1085?\u1086?\u1090?\u1086? \u1074?\u1079?\u1072?\u1080?\u1084?\u1085?\u1086? \u1087?\u1088?\u1080?\u1079?\u1085?\u1072?\u1074?\u1072?\u1085?\u1077? \u1085?\u1072? \u1076?\u1080?\u1087?\u1083?\u1086?\u1084?\u1080?\u1090?\u1077? \u1079?\u1072? \u1074?\u1080?\u1089?\u1096?\u1077? \u1086?\u1073?\u1088?\u1072?\u1079?\u1086?\u1074?\u1072?\u1085?\u1080?\u1077? \u1080? \u1079?\u1072? \u1079?\u1072?\u1074?\u1098?\u1088?\u1096?\u1077?\u1085? \u1075?\u1080?\u1084?\u1085?\u1072?\u1079?\u1080?\u1072?\u1083?\u1077?\u1085? \u1077?\u1090?\u1072?\u1087? \u1085?\u1072? \u1089?\u1088?\u1077?\u1076?\u1085?\u1086? \u1086?\u1073?\u1088?\u1072?\u1079?\u1086?\u1074?\u1072?\u1085?\u1080?\u1077? \u1080? \u1085?\u1072? \u1088?\u1077?\u1079?\u1091?\u1083?\u1090?\u1072?\u1090?\u1080?\u1090?\u1077? \u1086?\u1090? \u1087?\u1077?\u1088?\u1080?\u1086?\u1076?\u1080? \u1085?\u1072? \u1091?\u1095?\u1077?\u1085?\u1077? \u1074? \u1095?\u1091?\u1078?\u1073?\u1080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8) 27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85?\u1072? \u1057?\u1098?\u1074?\u1077?\u1090?\u1072?"/>
    <w:docVar w:name="LW_TYPEACTEPRINCIPAL.CP" w:val="\u1055?\u1088?\u1077?\u1087?\u1086?\u1088?\u1098?\u1082?\u1072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83F988FD28D4554F87845246C4C317B6" ma:contentTypeVersion="0" ma:contentTypeDescription="Create a new document in this library." ma:contentTypeScope="" ma:versionID="4a93db28d3f918f66fa9f0dcae3de966">
  <xsd:schema xmlns:xsd="http://www.w3.org/2001/XMLSchema" xmlns:xs="http://www.w3.org/2001/XMLSchema" xmlns:p="http://schemas.microsoft.com/office/2006/metadata/properties" xmlns:ns3="821B1C68-62A0-44C0-BF41-18CF01FBF203" targetNamespace="http://schemas.microsoft.com/office/2006/metadata/properties" ma:root="true" ma:fieldsID="3ab4d56eeaa1c14018e3dbf13f4b8bc3" ns3:_="">
    <xsd:import namespace="821B1C68-62A0-44C0-BF41-18CF01FBF203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B1C68-62A0-44C0-BF41-18CF01FBF203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821B1C68-62A0-44C0-BF41-18CF01FBF203">EN</EC_Collab_DocumentLanguage>
    <EC_Collab_Reference xmlns="821B1C68-62A0-44C0-BF41-18CF01FBF203" xsi:nil="true"/>
    <EC_Collab_Status xmlns="821B1C68-62A0-44C0-BF41-18CF01FBF203">Not Started</EC_Collab_Status>
  </documentManagement>
</p:properties>
</file>

<file path=customXml/itemProps1.xml><?xml version="1.0" encoding="utf-8"?>
<ds:datastoreItem xmlns:ds="http://schemas.openxmlformats.org/officeDocument/2006/customXml" ds:itemID="{EF8FF370-9055-4BD6-B25C-160048C0D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D3CDD-99E9-4CB2-B6FC-E89DDAFB9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B1C68-62A0-44C0-BF41-18CF01FBF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5E10A1-C726-41B5-AF31-FA1C8DC37457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821B1C68-62A0-44C0-BF41-18CF01FBF203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1349</Words>
  <Characters>8366</Characters>
  <Application>Microsoft Office Word</Application>
  <DocSecurity>0</DocSecurity>
  <Lines>139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Julie (EAC)</dc:creator>
  <cp:lastModifiedBy>DIGIT/A3</cp:lastModifiedBy>
  <cp:revision>8</cp:revision>
  <cp:lastPrinted>2018-05-07T06:46:00Z</cp:lastPrinted>
  <dcterms:created xsi:type="dcterms:W3CDTF">2018-05-24T10:26:00Z</dcterms:created>
  <dcterms:modified xsi:type="dcterms:W3CDTF">2018-05-25T06:32:00Z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0x010100258AA79CEB83498886A3A086811232500083F988FD28D4554F87845246C4C317B6</vt:lpwstr>
  </property>
  <property fmtid="{D5CDD505-2E9C-101B-9397-08002B2CF9AE}" pid="14" name="DQCStatus">
    <vt:lpwstr>Green (DQC version 03)</vt:lpwstr>
  </property>
</Properties>
</file>