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fr-BE"/>
        </w:rPr>
      </w:pPr>
      <w:bookmarkStart w:id="0" w:name="LW_BM_COVERPAGE"/>
      <w:r>
        <w:rPr>
          <w:noProof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5B8E32F3-C95D-4906-912C-2DC0D5791817" style="width:451.65pt;height:380.55pt">
            <v:imagedata r:id="rId12" o:title=""/>
          </v:shape>
        </w:pict>
      </w:r>
    </w:p>
    <w:bookmarkEnd w:id="0"/>
    <w:p>
      <w:pPr>
        <w:pStyle w:val="Pagedecouverture"/>
        <w:rPr>
          <w:noProof/>
          <w:lang w:val="fr-BE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  <w:lang w:val="fr-BE"/>
        </w:rPr>
      </w:pPr>
      <w:bookmarkStart w:id="1" w:name="_GoBack"/>
      <w:bookmarkEnd w:id="1"/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Executive Summary Sheet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  <w:t>Impact assessment on a Proposal for a Council Directive concerning the general arrangements for excise duty and repealing Directive 2008/118/EC (recast).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A. Need for action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Why? What is the problem being addressed?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Whereas Directive 2008/118/EC is seen by Member States and Economic operators as an enormous improvement on its predecessor Directive 92/12/EEC several areas for improvement were identified: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lack of synchronisation of excise and customs procedures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duty paid business-to-business procedures (100,000 per year) are still paper-based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some provisions lead to different procedures being used in Member States and consequently to complexity for Economic Operators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What is this initiative expected to achieve?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The initiative seeks to keep a balance between the need to facilitate legitimate cross-border trade and the need to ensure that effective controls and monitoring are in place so that the excise debt is collected.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What is the value added of action at the EU level?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An absence of action at EU level for excise-customs interactions and exceptional situations Member States might implement different rules creating uncertainty and costs to economic operators.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The paper-based procedures for the duty paid business-to-business movements cannot be improved without EU-wide coordination because of the need to share common data and to use common interoperability standards.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B. Solutions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What legislative and non-legislative policy options have been considered? Is there a preferred choice or not? Why?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The following table summarises which solution(s) is envisaged for which problem: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Excise-customs interactions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Duty paid business-to-business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Exceptional situations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Synchronisation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X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Data cross-check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X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Automation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X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Common Rules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X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X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ab/>
              <w:t>X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Who supports which option?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Member States support options on excise-customs data cross-checks and duty paid business-to-business automation, especially if they have a high volume of movements or if they have high excise duty rate because they are expected to reduce administrative costs and decrease fraud.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Economic Operators support options on duty paid business-to-business automation and all preferred common rules as these options are expected to reduce their costs for cross-border trade.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C. Impacts of the preferred option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What are the benefits of the preferred option (if any, otherwise main ones)?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The yearly benefits for Member States and Economic Operators are assessed at 14.55 and 32.27 million euros respectively.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What are the costs of the preferred option (if any, otherwise main ones)?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Business to business automation: one-off initial costs and yearly recurrent costs for Member States are assessed at 21.52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million euros.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One-off initial costs and yearly recurrent costs for Economic Operators are assessed at 18.85 million euros.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How will businesses, SMEs and micro-enterprises be affected?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The automation of duty paid business-to-business procedures is expected to have a positive impact on SMEs as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they are the main users of this procedure. 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Common requirements for alternate proof of exit and exceptional situations may have a positive impact on SMEs as will reduce the overhead of disputes with other Member States than the one of establishment and may increase competitiveness of SMEs.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>Will there be significant impacts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on national budgets and administrations?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Beside the costs and benefits referred to in the previous sections, no significant impact is expected on national budgets and administrations.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Will there be other significant impacts?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 impact is expected on other policies, such as fundamental rights, health or environment.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 impact is expected either on other stakeholders, such as citizens or consumers.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tabs>
                <w:tab w:val="center" w:pos="4986"/>
              </w:tabs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ab/>
              <w:t>D. Follow up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When will the policy be reviewed?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The Commission will prepare a retrospective evaluation of the functioning of the new legislation five years after its entry into force.</w:t>
            </w:r>
          </w:p>
        </w:tc>
      </w:tr>
    </w:tbl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3EA"/>
    <w:multiLevelType w:val="hybridMultilevel"/>
    <w:tmpl w:val="E4D2CF8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ccompanying the document"/>
    <w:docVar w:name="LW_CORRIGENDUM" w:val="&lt;UNUSED&gt;"/>
    <w:docVar w:name="LW_COVERPAGE_EXISTS" w:val="True"/>
    <w:docVar w:name="LW_COVERPAGE_GUID" w:val="5B8E32F3-C95D-4906-912C-2DC0D5791817"/>
    <w:docVar w:name="LW_COVERPAGE_TYPE" w:val="1"/>
    <w:docVar w:name="LW_CROSSREFERENCE" w:val="{COM(2018) 346 final}_x000b_{SEC(2018) 255 final}_x000b_{SWD(2018) 260 final}"/>
    <w:docVar w:name="LW_DocType" w:val="NORMAL"/>
    <w:docVar w:name="LW_EMISSION" w:val="25.5.2018"/>
    <w:docVar w:name="LW_EMISSION_ISODATE" w:val="2018-05-25"/>
    <w:docVar w:name="LW_EMISSION_LOCATION" w:val="BRX"/>
    <w:docVar w:name="LW_EMISSION_PREFIX" w:val="Brussels, "/>
    <w:docVar w:name="LW_EMISSION_SUFFIX" w:val=" "/>
    <w:docVar w:name="LW_ID_DOCTYPE_NONLW" w:val="CP-02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laying down the general arrangements for excise duty (recast)"/>
    <w:docVar w:name="LW_PART_NBR" w:val="1"/>
    <w:docVar w:name="LW_PART_NBR_TOTAL" w:val="1"/>
    <w:docVar w:name="LW_REF.INST.NEW" w:val="SWD"/>
    <w:docVar w:name="LW_REF.INST.NEW_ADOPTED" w:val="final"/>
    <w:docVar w:name="LW_REF.INST.NEW_TEXT" w:val="(2018) 2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COMMISSION STAFF WORKING DOCUMENT_x000b__x000b_EXECUTIVE SUMMARY OF THE IMPACT ASSESSMENT_x000b_"/>
    <w:docVar w:name="LW_TYPEACTEPRINCIPAL.CP" w:val="Proposal for a Council Directiv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58B10C-1527-40B5-B258-D3BA5BAA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584</Words>
  <Characters>3361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dcterms:created xsi:type="dcterms:W3CDTF">2018-04-27T11:55:00Z</dcterms:created>
  <dcterms:modified xsi:type="dcterms:W3CDTF">2018-05-24T14:23:00Z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