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A75F785-3876-4F69-9C2B-B078155A8F7F" style="width:450.45pt;height:406.6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Съвместния комитет по ВИТС, във връзка с предвиденото приемане на неговия процедурен правилник и на специализираните комитети.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Всеобхватното икономическо и търговско споразумение (ВИТС)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Всеобхватното икономическо и търговско споразумение (ВИТС) между Канада, от една страна, и Европейския съюз и неговите държави членки, от друга страна („споразумението“) има за цел изпълнение на общата търговска политика на Съюза по отношение на Канада, и по-специално създаването на зона за свободна търговия. Споразумението бе подписано в Брюксел на 30 октомври 2016 г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Споразумението се прилага временно от 21 септември 2017 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Съвместният комитет по ВИТС и специализираните комитети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Със споразумението се създава Съвместен комитет по ВИТС съгласно член 26.1 и специализирани комитети съгласно член 26.2. Те включват Комитета по търговията със стоки, Комитета по селското стопанство, Комитета по вината и спиртните напитки, Съвместната секторна група по фармацевтичните продукти, Комитета по услугите и инвестициите, Съвместния комитет по въпросите на взаимното признаване на професионалните квалификации, Съвместния комитет за митническо сътрудничество, Съвместния управителен комитет по санитарните и фитосанитарните мерки, Комитета по държавните поръчки, Комитета по финансовите услуги, Комитета по търговията и устойчивото развитие, Форума за регулаторно сътрудничество и Комитета по географските означения по ВИТС.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Съвместният комитет по ВИТС и специализираните комитети се състоят и се председателстват съвместно от представители на страните. Съвместният комитет по ВИТС се председателства съвместно от министъра на международната търговия на Канада и от члена на Европейската комисия, отговарящ за търговията, или от съответните техни представители. Страните са определени в член 1.1 от споразумението, в който се посочва, че „страни означава, от една страна, Европейският съюз или неговите държави членки, или Европейският съюз и неговите държави членки, в рамките на съответните им области на компетентност, произтичащи от Договора за Европейския съюз и Договора за функционирането на Европейския съюз (наричани по-долу „ЕС като страна“), и от друга страна, Канада“.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Съвместният комитет по ВИТС и специализираните комитети отговарят за изпълнението и прилагането на споразумението в съответните им области. В съответствие с член 26.1, параграф 5, буква з) Съвместният комитет по ВИТС може да създава допълнителни специализирани комитети и форуми за двустранен диалог, които да го подпомагат в изпълнението на задачите му. Съвместният комитет по ВИТС и специализираните комитети заседават веднъж годишно или по искане на една от страните.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 xml:space="preserve">Предвиденият акт на Съвместния комитет по ВИТС </w:t>
      </w:r>
    </w:p>
    <w:p>
      <w:pPr>
        <w:rPr>
          <w:noProof/>
        </w:rPr>
      </w:pPr>
      <w:r>
        <w:rPr>
          <w:noProof/>
        </w:rPr>
        <w:t>Съвместният комитет по ВИТС трябва да приеме решение по отношение на приемането на своя процедурен правилник („предвидения акт“).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Целта на предвидения акт е да бъде приет процедурният правилник на Съвместния комитет по ВИТС в съответствие с член 26.1, параграф 4, буква г) от споразумението, в който се постановява, че Съвместният комитет по ВИТС приема свой собствен процедурен правилник.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В член 26.2, параграф 4 от споразумението се постановява, че специализираните комитети изготвят свои собствени процедурни правилници и ги изменят, ако сметнат това за целесъобразно. С оглед на големия брой специализирани комитети, създадени в рамките на ВИТС, се предлага процедурният правилник на Съвместния комитет по ВИТС да бъде прилаган </w:t>
      </w:r>
      <w:r>
        <w:rPr>
          <w:i/>
          <w:noProof/>
        </w:rPr>
        <w:t>mutatis mutandis</w:t>
      </w:r>
      <w:r>
        <w:rPr>
          <w:noProof/>
        </w:rPr>
        <w:t xml:space="preserve"> по отношение на специализираните комитети, освен ако бъде решено друго в съответствие с член 26.2, параграф 4 от споразумението.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Съюза, следва да цели приемането на процедурния правилник на Съвместния комитет по ВИТС, както е предвидено в споразумението.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съответния орган. То включва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Съвместният комитет по ВИТС и специализираните комитети са органи, създадени по силата на Всеобхватното икономическо и търговско споразумение между Канада, от една страна, и Европейския съюз и неговите държави членки, от друга страна („споразумението“).</w:t>
      </w:r>
    </w:p>
    <w:p>
      <w:pPr>
        <w:rPr>
          <w:noProof/>
        </w:rPr>
      </w:pPr>
      <w:r>
        <w:rPr>
          <w:noProof/>
        </w:rPr>
        <w:t>Решението, което Съвместният комитет по ВИТС има за задача да приеме, има обвързващ характер и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 xml:space="preserve">Основната цел и съдържанието на предвидения акт са свързани с общата търговска политика и международния транспорт. 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Договорът за функционирането на Европейския съюз, и по-специално член 91, член 100, параграф 2 и член 207, параграф 4 от него.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Правното основание за предложеното решение следва да бъдат член 91, член 100, параграф 2 и член 207, параграф 4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Предвижда се решението на Съвместния комитет по ВИТС да бъде публикувано, след като бъде прието. 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2018/0175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Съвместния комитет по ВИТС, създаден по силата на Всеобхватното икономическо и търговско споразумение между Канада, от една страна, и Европейския съюз и неговите държави членки, от друга страна, по отношение на приемането на процедурния правилник на Съвместния комитет по ВИТС и на специализираните комитети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91, член 100, параграф 2 и член 207, параграф 4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Решение (ЕС) 2017/37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предвижда подписването, от името на Европейския съюз, на Всеобхватното икономическо и търговско споразумение (ВИТС) между Канада, от една страна, и Европейския съюз и неговите държави членки, от друга страна (наричано по-долу „споразумението“). Споразумението бе подписано на 30 октомври 2016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Решение (ЕС) 2017/38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се предвижда временното прилагане на споразумението, включително създаването на Съвместния комитет по ВИТС и на специализираните комитети. Споразумението се прилага временно от 21 септември 2017 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 26.1, параграф 4, буква г) от споразумението Съвместният комитет по ВИТС приема свой собствен процедурен правилник.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член 26.2, параграф 4 от споразумението специализираните комитети изготвят свои собствени процедурни правилници и ги изменят, ако сметнат това за целесъобразно.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 време на първото си заседание Съвместният комитет по ВИТС трябва да приеме свой собствен процедурен правилник, както е предвидено в споразумението.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Посоченият процедурен правилник се прилага </w:t>
      </w:r>
      <w:r>
        <w:rPr>
          <w:i/>
          <w:noProof/>
        </w:rPr>
        <w:t>mutatis mutandis</w:t>
      </w:r>
      <w:r>
        <w:rPr>
          <w:noProof/>
        </w:rPr>
        <w:t xml:space="preserve"> по отношение на специализираните комитети, освен ако бъде решено друго от някой от специализираните комитети в съответствие с член 26.2, параграф 4.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Поради това е целесъобразно да се установи позицията, която трябва да се заеме от името на Съюза в рамките на Съвместния комитет по ВИТС въз основа на приложения проект на решение на Съвместния комитет по ВИТС относно неговия процедурен правилник, за да се гарантира ефективното изпълнение на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по време на първото заседание на Съвместния комитет по ВИТС, създаден по силата на Всеобхватното икономическо и търговско споразумение (ВИТС) между Канада, от една страна, и Европейския съюз и неговите държави членки, от друга страна, по отношение на процедурния правилник на Съвместния комитет по ВИТС и на специализираните комитети се основава на проекта на решение на Съвместния комитет по ВИТС,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rPr>
          <w:noProof/>
        </w:rPr>
      </w:pPr>
      <w:r>
        <w:rPr>
          <w:noProof/>
        </w:rPr>
        <w:t xml:space="preserve">След приемането му решението на Съвместния комитет по ВИТС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11, 14.1.2017 г., стр. 1.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на Европейския съюз от 7 октомври 2014 г., Германия/Съвет, C-399/12, ECLI:EU:C:2014:2258, т. 61—64.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11, 14.1.2017 г., стр. 1.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 11, 14.1.2017 г., стр. 1080.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4504D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783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EA68A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F2458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858BB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34847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392E3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0CE41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4:50:3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A75F785-3876-4F69-9C2B-B078155A8F7F"/>
    <w:docVar w:name="LW_COVERPAGE_TYPE" w:val="1"/>
    <w:docVar w:name="LW_CROSSREFERENCE" w:val="&lt;UNUSED&gt;"/>
    <w:docVar w:name="LW_DocType" w:val="COM"/>
    <w:docVar w:name="LW_EMISSION" w:val="25.5.2018"/>
    <w:docVar w:name="LW_EMISSION_ISODATE" w:val="2018-05-25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75"/>
    <w:docVar w:name="LW_REF.II.NEW.CP_YEAR" w:val="2018"/>
    <w:docVar w:name="LW_REF.INST.NEW" w:val="COM"/>
    <w:docVar w:name="LW_REF.INST.NEW_ADOPTED" w:val="final"/>
    <w:docVar w:name="LW_REF.INST.NEW_TEXT" w:val="(2018) 3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7?\u1086? \u1042?\u1048?\u1058?\u1057?, \u1089?\u1098?\u1079?\u1076?\u1072?\u1076?\u1077?\u1085? \u1087?\u1086? \u1089?\u1080?\u1083?\u1072?\u1090?\u1072? \u1085?\u1072? \u1042?\u1089?\u1077?\u1086?\u1073?\u1093?\u1074?\u1072?\u1090?\u1085?\u1086?\u1090?\u1086? \u1080?\u1082?\u1086?\u1085?\u1086?\u1084?\u1080?\u1095?\u1077?\u1089?\u1082?\u1086? \u1080? \u1090?\u1098?\u1088?\u1075?\u1086?\u1074?\u1089?\u1082?\u1086? \u1089?\u1087?\u1086?\u1088?\u1072?\u1079?\u1091?\u1084?\u1077?\u1085?\u1080?\u1077? \u1084?\u1077?\u1078?\u1076?\u1091? \u1050?\u1072?\u1085?\u1072?\u1076?\u1072?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, \u1087?\u1086? \u1086?\u1090?\u1085?\u1086?\u1096?\u1077?\u1085?\u1080?\u1077? \u1085?\u1072? \u1087?\u1088?\u1080?\u1077?\u1084?\u1072?\u1085?\u1077?\u1090?\u1086? \u1085?\u1072? \u1087?\u1088?\u1086?\u1094?\u1077?\u1076?\u1091?\u1088?\u1085?\u1080?\u1103? \u1087?\u1088?\u1072?\u1074?\u1080?\u1083?\u1085?\u1080?\u1082? \u1085?\u1072? \u1057?\u1098?\u1074?\u1084?\u1077?\u1089?\u1090?\u1085?\u1080?\u1103? \u1082?\u1086?\u1084?\u1080?\u1090?\u1077?\u1090? \u1087?\u1086? \u1042?\u1048?\u1058?\u1057? \u1080? \u1085?\u1072? \u1089?\u1087?\u1077?\u1094?\u1080?\u1072?\u1083?\u1080?\u1079?\u1080?\u1088?\u1072?\u1085?\u1080?\u1090?\u1077? \u1082?\u1086?\u1084?\u1080?\u1090?\u1077?\u1090?\u108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CA9C-FE23-47D1-939E-3777653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1422</Words>
  <Characters>8311</Characters>
  <Application>Microsoft Office Word</Application>
  <DocSecurity>0</DocSecurity>
  <Lines>166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2018-04-18T13:29:00Z</cp:lastPrinted>
  <dcterms:created xsi:type="dcterms:W3CDTF">2018-05-14T15:13:00Z</dcterms:created>
  <dcterms:modified xsi:type="dcterms:W3CDTF">2018-05-17T12:50:00Z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