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E3" w:rsidRDefault="00184388" w:rsidP="0018438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7654C8A-C5FB-493A-A425-8030F573EC7F" style="width:450.5pt;height:471.5pt">
            <v:imagedata r:id="rId9" o:title=""/>
          </v:shape>
        </w:pict>
      </w:r>
    </w:p>
    <w:bookmarkEnd w:id="0"/>
    <w:p w:rsidR="00377FE3" w:rsidRDefault="00377FE3">
      <w:pPr>
        <w:rPr>
          <w:noProof/>
        </w:rPr>
        <w:sectPr w:rsidR="00377FE3" w:rsidSect="001843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77FE3" w:rsidRDefault="00184388">
      <w:pPr>
        <w:pStyle w:val="Bodytext50"/>
        <w:shd w:val="clear" w:color="auto" w:fill="auto"/>
        <w:spacing w:after="535"/>
        <w:ind w:left="20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ОБЗОРЕН ДОКЛАД</w:t>
      </w:r>
    </w:p>
    <w:p w:rsidR="00377FE3" w:rsidRDefault="00184388">
      <w:pPr>
        <w:pStyle w:val="Bodytext6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Bodytext612pt"/>
          <w:rFonts w:eastAsiaTheme="minorHAnsi"/>
          <w:b/>
          <w:noProof/>
        </w:rPr>
        <w:t>В</w:t>
      </w:r>
      <w:r>
        <w:rPr>
          <w:rStyle w:val="Bodytext6SmallCaps"/>
          <w:rFonts w:eastAsiaTheme="minorHAnsi"/>
          <w:noProof/>
          <w:sz w:val="24"/>
        </w:rPr>
        <w:t>ъведение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настоящия доклад се разглежда приносът на гражданите, администрациите, асоциациите и други организации („заинтересовани страни“) по отношение на инициатива на Комисията, разработена от генерална дирекция „Здравеопазване и безопасност на храните“ (ГД „Здр</w:t>
      </w:r>
      <w:r>
        <w:rPr>
          <w:rFonts w:ascii="Times New Roman" w:hAnsi="Times New Roman"/>
          <w:noProof/>
          <w:sz w:val="24"/>
        </w:rPr>
        <w:t xml:space="preserve">авеопазване и безопасност на храните“) под формата на препоръка на Съвета за засилване на сътрудничеството в борбата с болестите, предотвратими чрез ваксинация (наричана по-нататък „препоръката“).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Гражданите и заинтересованите страни разполагаха с четири </w:t>
      </w:r>
      <w:r>
        <w:rPr>
          <w:rFonts w:ascii="Times New Roman" w:hAnsi="Times New Roman"/>
          <w:noProof/>
          <w:sz w:val="24"/>
        </w:rPr>
        <w:t>седмици, за да предоставят обратна информация по отношение на пътната карта на Комисията във връзка с препоръката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>, публикувана на портала „По-добро регулиране“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>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От 21 декември 2017 г. до 15 март 2018 г. чрез онлайн системата EUSurvey бе проведена открита</w:t>
      </w:r>
      <w:r>
        <w:rPr>
          <w:rFonts w:ascii="Times New Roman" w:hAnsi="Times New Roman"/>
          <w:noProof/>
          <w:sz w:val="24"/>
        </w:rPr>
        <w:t xml:space="preserve"> обществена консултация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, достъпна на 23 езика на ЕС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. Резултатите бяха анализирани посредством таблото за обществени консултации „Дорис“ (DORIS Public Consultation Dashboard) и посредством качествен анализ.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Освен това се проведоха две целеви консултации с</w:t>
      </w:r>
      <w:r>
        <w:rPr>
          <w:rFonts w:ascii="Times New Roman" w:hAnsi="Times New Roman"/>
          <w:noProof/>
          <w:sz w:val="24"/>
        </w:rPr>
        <w:t>ъс заинтересовани страни. Избраните заинтересовани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бяха приканени да отговорят на въпросник чрез EUSurvey в периода от 17 януари 2018 г. до 14 февруари 2018 г. Въпросникът съдържаше по-голям брой отворени въпроси в сравнение с обществената консулта</w:t>
      </w:r>
      <w:r>
        <w:rPr>
          <w:rFonts w:ascii="Times New Roman" w:hAnsi="Times New Roman"/>
          <w:noProof/>
          <w:sz w:val="24"/>
        </w:rPr>
        <w:t xml:space="preserve">ция и резултатите от него също бяха анализирани посредством таблото за обществени консултации „Дорис“ и посредством качествен анализ.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От 18 януари до 9 февруари 2018 г. бяха проведени срещи със заинтересованите страни с групите, представляващи здравни и к</w:t>
      </w:r>
      <w:r>
        <w:rPr>
          <w:rFonts w:ascii="Times New Roman" w:hAnsi="Times New Roman"/>
          <w:noProof/>
          <w:sz w:val="24"/>
        </w:rPr>
        <w:t>линични специалисти, студенти по медицина, международни организации, неправителствени организации, гражданското общество и сектора за производство на ваксини.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Бяха изпратени общо 355 отговора във връзка с пътната карта на Комисията, като в 90 % от тях бяха</w:t>
      </w:r>
      <w:r>
        <w:rPr>
          <w:rFonts w:ascii="Times New Roman" w:hAnsi="Times New Roman"/>
          <w:noProof/>
          <w:sz w:val="24"/>
        </w:rPr>
        <w:t xml:space="preserve"> изразени колебания относно ваксинацията.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рамките на обществената консултация бяха получени 8894 отговора, от които 8688 от граждани и 206 от заинтересовани страни. На 14 март, един ден преди приключването, в рамките на обществената консултация бяха пол</w:t>
      </w:r>
      <w:r>
        <w:rPr>
          <w:rFonts w:ascii="Times New Roman" w:hAnsi="Times New Roman"/>
          <w:noProof/>
          <w:sz w:val="24"/>
        </w:rPr>
        <w:t>учени близо 6000 отговора от Франция (60 % от всички отговори). Повечето респонденти бяха избрали опцията „</w:t>
      </w:r>
      <w:r>
        <w:rPr>
          <w:rFonts w:ascii="Times New Roman" w:hAnsi="Times New Roman"/>
          <w:i/>
          <w:noProof/>
          <w:sz w:val="24"/>
        </w:rPr>
        <w:t>нямам мнение</w:t>
      </w:r>
      <w:r>
        <w:rPr>
          <w:rFonts w:ascii="Times New Roman" w:hAnsi="Times New Roman"/>
          <w:noProof/>
          <w:sz w:val="24"/>
        </w:rPr>
        <w:t xml:space="preserve">“ за всички въпроси. Тези отговори могат да бъдат свързани с онлайн съобщение от </w:t>
      </w:r>
      <w:r>
        <w:rPr>
          <w:rFonts w:ascii="Times New Roman" w:hAnsi="Times New Roman"/>
          <w:i/>
          <w:noProof/>
          <w:sz w:val="24"/>
        </w:rPr>
        <w:t>Institut pour la protection de la santé naturelle</w:t>
      </w:r>
      <w:r>
        <w:rPr>
          <w:rStyle w:val="FootnoteReference"/>
          <w:rFonts w:ascii="Times New Roman" w:hAnsi="Times New Roman"/>
          <w:i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>, в ко</w:t>
      </w:r>
      <w:r>
        <w:rPr>
          <w:rFonts w:ascii="Times New Roman" w:hAnsi="Times New Roman"/>
          <w:noProof/>
          <w:sz w:val="24"/>
        </w:rPr>
        <w:t xml:space="preserve">ето се подсказва, че тази опция е единственият възможен отговор предвид усещането, че </w:t>
      </w:r>
      <w:r>
        <w:rPr>
          <w:rFonts w:ascii="Times New Roman" w:hAnsi="Times New Roman"/>
          <w:noProof/>
          <w:sz w:val="24"/>
        </w:rPr>
        <w:lastRenderedPageBreak/>
        <w:t xml:space="preserve">въпросникът в формулиран пристрастно в подкрепа на ваксините.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33 заинтересовани страни отговориха на онлайн целевата консултация, а 20 взеха участие в срещите.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Общо 33 </w:t>
      </w:r>
      <w:r>
        <w:rPr>
          <w:rFonts w:ascii="Times New Roman" w:hAnsi="Times New Roman"/>
          <w:noProof/>
          <w:color w:val="000000"/>
          <w:sz w:val="24"/>
        </w:rPr>
        <w:t>участници (14 граждани и 19 заинтересовани страни) прикачиха към пътната карта допълнителни документи във формат PDF, а 3 заинтересовани страни направиха същото при обществената консултация. Тези допълнителни документи ще бъдат взети предвид при анализа.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1</w:t>
      </w:r>
      <w:r>
        <w:rPr>
          <w:rFonts w:ascii="Times New Roman" w:hAnsi="Times New Roman"/>
          <w:noProof/>
          <w:sz w:val="24"/>
        </w:rPr>
        <w:t>3 отговора на пътната карта и 127 отговора на обществената консултация не бяха взети под внимание поради дублиране, анонимност, липса на значимост или неподходящ език.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Над 25 % от заинтересованите страни са неправителствени организации, следвани от здравни</w:t>
      </w:r>
      <w:r>
        <w:rPr>
          <w:rFonts w:ascii="Times New Roman" w:hAnsi="Times New Roman"/>
          <w:noProof/>
          <w:sz w:val="24"/>
        </w:rPr>
        <w:t xml:space="preserve"> администрации и професионални сдружения. Що се отнася до гражданите, 8769 бяха от ЕС — по-голямата част от Франция (78,3 %), последвана от Италия (4,4 %) и Белгия (3,9 %). Бяха получени и 200 отговора от държави извън ЕС.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настоящия доклад се обобщават </w:t>
      </w:r>
      <w:r>
        <w:rPr>
          <w:rFonts w:ascii="Times New Roman" w:hAnsi="Times New Roman"/>
          <w:noProof/>
          <w:sz w:val="24"/>
        </w:rPr>
        <w:t>всички отговори, получени в рамките на четирите консултации. Те са разпределени според трите стълба на инициативата: (1) справяне с колебанията относно ваксинацията; (2) устойчиви политики за ваксиниране в ЕС; и (3) координация на равнището на ЕС, включите</w:t>
      </w:r>
      <w:r>
        <w:rPr>
          <w:rFonts w:ascii="Times New Roman" w:hAnsi="Times New Roman"/>
          <w:noProof/>
          <w:sz w:val="24"/>
        </w:rPr>
        <w:t xml:space="preserve">лно насърчаване на диалога между заинтересованите страни и принос към здравеопазването в световен мащаб. </w:t>
      </w:r>
    </w:p>
    <w:p w:rsidR="00377FE3" w:rsidRDefault="00184388">
      <w:pPr>
        <w:pStyle w:val="Heading1"/>
        <w:keepNext/>
        <w:numPr>
          <w:ilvl w:val="0"/>
          <w:numId w:val="11"/>
        </w:numPr>
        <w:rPr>
          <w:rStyle w:val="Bodytext6SmallCaps"/>
          <w:noProof/>
          <w:sz w:val="24"/>
          <w:szCs w:val="24"/>
        </w:rPr>
      </w:pPr>
      <w:bookmarkStart w:id="2" w:name="_Toc508264156"/>
      <w:r>
        <w:rPr>
          <w:rStyle w:val="Bodytext6SmallCaps"/>
          <w:noProof/>
          <w:sz w:val="24"/>
        </w:rPr>
        <w:t>Стълб І: справяне с колебанията относно ваксинацията</w:t>
      </w:r>
      <w:bookmarkEnd w:id="2"/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Над 50 % от респондентите на общественaта консултация считат, че страхът от странични ефекти, лип</w:t>
      </w:r>
      <w:r>
        <w:rPr>
          <w:rFonts w:ascii="Times New Roman" w:hAnsi="Times New Roman"/>
          <w:noProof/>
          <w:sz w:val="24"/>
        </w:rPr>
        <w:t>сата на информация относно рисковете, въвеждането на задължителна ваксинация и степента на доверие в ефективността на ваксините оказват най-голямо въздействие върху колебанията относно ваксинацията.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По-добра комуникация относно безопасността и ефективностт</w:t>
      </w:r>
      <w:r>
        <w:rPr>
          <w:rStyle w:val="Bodytext6SmallCaps"/>
          <w:noProof/>
          <w:sz w:val="24"/>
        </w:rPr>
        <w:t>а на ваксините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Респондентите подчертаха необходимостта от пряк контакт на местно ниво, включително: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осигуряване на ориентиран към пациента подход в диалога със здравните специалисти;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разработване на програми и събития за повишаване на осведомеността на мес</w:t>
      </w:r>
      <w:r>
        <w:rPr>
          <w:noProof/>
        </w:rPr>
        <w:t>тно ниво;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пряко общуване с родителите, включително по време на курсове за бъдещи родители;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въвеждане на доверени медиатори в уязвими групи (например ромски общности, бежанци);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подобряване на разбирането на проучванията относно безопасността на ваксините (н</w:t>
      </w:r>
      <w:r>
        <w:rPr>
          <w:noProof/>
        </w:rPr>
        <w:t>апример информационни графики, видеоклипове, брошури);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започване на разисквания между привържениците и противниците, за да се представят в еднаква степен ползите и рисковете; както и</w:t>
      </w:r>
    </w:p>
    <w:p w:rsidR="00377FE3" w:rsidRDefault="0018438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noProof/>
        </w:rPr>
      </w:pPr>
      <w:r>
        <w:rPr>
          <w:noProof/>
        </w:rPr>
        <w:t>проактивна проверка на факти от фалшиви новини и конфликти на интереси.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В</w:t>
      </w:r>
      <w:r>
        <w:rPr>
          <w:rFonts w:ascii="Times New Roman" w:hAnsi="Times New Roman"/>
          <w:noProof/>
          <w:sz w:val="24"/>
        </w:rPr>
        <w:t xml:space="preserve"> обратната информация по отношение на пътната карта също беше изразена подкрепа на по-добрия достъп до информация. Обучението на работното място и в университет почти единодушно беше счетено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 xml:space="preserve"> за най-ефективния метод за комуникация със здравните работници.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 отношение на комуникацията от страна на ЕС относно безопасността и ефективността на ваксините над 60 % от гражданите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noProof/>
          <w:sz w:val="24"/>
        </w:rPr>
        <w:t xml:space="preserve"> и заинтересованите страни смятат, че тя не е подходяща. Здравните специалисти отбелязаха, че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онлайн данните от Европейската агенция </w:t>
      </w:r>
      <w:r>
        <w:rPr>
          <w:noProof/>
        </w:rPr>
        <w:t>по лекарствата (EMA) и Европейския център за профилактика и контрол върху заболяванията (ECDC) са фрагментирани, недостатъчно разпространени и достъпни;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ECDC следва да предоставя актуализирана информация в рамките на единна платформа(както при центровете </w:t>
      </w:r>
      <w:r>
        <w:rPr>
          <w:noProof/>
        </w:rPr>
        <w:t>за профилактика и контрол върху заболяванията на САЩ);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ЕС следва да насърчава националните уебсайтове, посветени на колебанията относно ваксинацията; ЕС следва да насърчава интерактивна кампания, посветена на ваксинацията.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Обратната информация по отношение</w:t>
      </w:r>
      <w:r>
        <w:rPr>
          <w:rFonts w:ascii="Times New Roman" w:hAnsi="Times New Roman"/>
          <w:noProof/>
          <w:sz w:val="24"/>
        </w:rPr>
        <w:t xml:space="preserve"> на пътната карта показва, че Комисията следва да се ангажира в по-голяма степен с колебаещите се относно ваксинацията групи.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smallCaps/>
          <w:noProof/>
          <w:color w:val="000000"/>
          <w:sz w:val="24"/>
          <w:szCs w:val="24"/>
        </w:rPr>
      </w:pPr>
      <w:r>
        <w:rPr>
          <w:rStyle w:val="Bodytext6SmallCaps"/>
          <w:noProof/>
          <w:sz w:val="24"/>
        </w:rPr>
        <w:t>По-добро сътрудничество между участниците при преодоляване на колебанията относно ваксините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Респондентите</w:t>
      </w:r>
      <w:r>
        <w:rPr>
          <w:rStyle w:val="FootnoteReference"/>
          <w:rFonts w:ascii="Times New Roman" w:hAnsi="Times New Roman"/>
          <w:b w:val="0"/>
          <w:noProof/>
          <w:sz w:val="24"/>
        </w:rPr>
        <w:footnoteReference w:id="10"/>
      </w:r>
      <w:r>
        <w:rPr>
          <w:rFonts w:ascii="Times New Roman" w:hAnsi="Times New Roman"/>
          <w:b w:val="0"/>
          <w:noProof/>
          <w:sz w:val="24"/>
        </w:rPr>
        <w:t xml:space="preserve"> предложиха да се насърч</w:t>
      </w:r>
      <w:r>
        <w:rPr>
          <w:rFonts w:ascii="Times New Roman" w:hAnsi="Times New Roman"/>
          <w:b w:val="0"/>
          <w:noProof/>
          <w:sz w:val="24"/>
        </w:rPr>
        <w:t xml:space="preserve">ават препоръчителните ваксинации и да се предоставят научни доказателства в подкрепа на тези препоръки.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Останалите предложения бяха насочени към образоване на обществеността: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разграничава основните ваксини (например срещу полиомиелит) от тези на добров</w:t>
      </w:r>
      <w:r>
        <w:rPr>
          <w:noProof/>
        </w:rPr>
        <w:t>олен принцип (например срещу грип)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ангажира в застъпническата дейност жени като основни лица, които се грижат за децата, както и възрастни хора и известни личности;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показва изображения с болести, предотвратими чрез ваксинация, по модела на цигарените</w:t>
      </w:r>
      <w:r>
        <w:rPr>
          <w:noProof/>
        </w:rPr>
        <w:t xml:space="preserve"> опаковки;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повишава осведомеността относно колективния имунитет и личната отговорност.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Заинтересованите страни</w:t>
      </w:r>
      <w:r>
        <w:rPr>
          <w:rStyle w:val="FootnoteReference"/>
          <w:rFonts w:ascii="Times New Roman" w:hAnsi="Times New Roman"/>
          <w:b w:val="0"/>
          <w:noProof/>
          <w:sz w:val="24"/>
        </w:rPr>
        <w:footnoteReference w:id="11"/>
      </w:r>
      <w:r>
        <w:rPr>
          <w:rFonts w:ascii="Times New Roman" w:hAnsi="Times New Roman"/>
          <w:b w:val="0"/>
          <w:noProof/>
          <w:sz w:val="24"/>
        </w:rPr>
        <w:t xml:space="preserve"> също така подчертаха ролята на сектора за производство на ваксини по отношение на: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предоставянето на прозрачна информация относно вак</w:t>
      </w:r>
      <w:r>
        <w:rPr>
          <w:noProof/>
        </w:rPr>
        <w:t>сините, цените и съставките им;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отдаване на приоритет на общественото здравеопазване за сметка на търговските цели;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подобряване качеството и доставките на ваксини посредством повече научноизследователска и развойна дейност.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По-добра подкрепа за здр</w:t>
      </w:r>
      <w:r>
        <w:rPr>
          <w:rStyle w:val="Bodytext6SmallCaps"/>
          <w:noProof/>
          <w:sz w:val="24"/>
        </w:rPr>
        <w:t>авните специалисти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81,33 % от гражданите са на мнение, че здравните специалисти следва да получават по-добра подкрепа при застъпничеството за ваксинацията, както и да им бъдат предоставяни материали за информиране на обществеността.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</w:t>
      </w:r>
      <w:r>
        <w:rPr>
          <w:rFonts w:ascii="Times New Roman" w:hAnsi="Times New Roman"/>
          <w:noProof/>
          <w:sz w:val="24"/>
        </w:rPr>
        <w:t>и</w:t>
      </w:r>
      <w:r>
        <w:rPr>
          <w:rStyle w:val="FootnoteReference"/>
          <w:rFonts w:ascii="Times New Roman" w:hAnsi="Times New Roman"/>
          <w:noProof/>
          <w:sz w:val="24"/>
        </w:rPr>
        <w:footnoteReference w:id="12"/>
      </w:r>
      <w:r>
        <w:rPr>
          <w:rFonts w:ascii="Times New Roman" w:hAnsi="Times New Roman"/>
          <w:noProof/>
          <w:sz w:val="24"/>
        </w:rPr>
        <w:t xml:space="preserve"> считат, че ЕС следва да подкрепя здравните специалисти чрез обучение по комуникация (82 %), онлайн информация (79 %), научни материали (70 %) и разработване на кампании на ЕС за ваксинация (66 %). Те също така предложиха: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разработване на твърди мандати </w:t>
      </w:r>
      <w:r>
        <w:rPr>
          <w:noProof/>
        </w:rPr>
        <w:t>(като например задължителна ваксинация за високорискови групи);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гарантиране, че всички здравни специалисти са получили съответната ваксинация;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подобряване на условията, свързани с работното време, за да се даде възможност за повече комуникация с пациентите</w:t>
      </w:r>
      <w:r>
        <w:rPr>
          <w:noProof/>
        </w:rPr>
        <w:t>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повишаване на образователните стандарти;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общи препоръки на ЕС, включващи въвеждане на такси в случай на нарушаване на правилата.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страни, които предоставиха отговори в рамките на целевата консултация, вярват в необходимостта да се насърчава продължаващото образование за фармацевтите относно ваксинацията. В обратната информация във връзка с пътната карта бяха подкрепе</w:t>
      </w:r>
      <w:r>
        <w:rPr>
          <w:rFonts w:ascii="Times New Roman" w:hAnsi="Times New Roman"/>
          <w:noProof/>
          <w:sz w:val="24"/>
        </w:rPr>
        <w:t xml:space="preserve">ни подобряването на образователните програми и насърчаването на здравето посредством цифрови инструменти. </w:t>
      </w:r>
    </w:p>
    <w:p w:rsidR="00377FE3" w:rsidRDefault="00377FE3">
      <w:pPr>
        <w:pStyle w:val="Bodytext20"/>
        <w:shd w:val="clear" w:color="auto" w:fill="auto"/>
        <w:spacing w:after="120"/>
        <w:ind w:firstLine="0"/>
        <w:jc w:val="both"/>
        <w:rPr>
          <w:rStyle w:val="Bodytext6SmallCaps"/>
          <w:rFonts w:eastAsiaTheme="minorHAnsi"/>
          <w:b w:val="0"/>
          <w:bCs w:val="0"/>
          <w:noProof/>
          <w:sz w:val="24"/>
          <w:szCs w:val="24"/>
        </w:rPr>
      </w:pPr>
    </w:p>
    <w:p w:rsidR="00377FE3" w:rsidRDefault="00184388">
      <w:pPr>
        <w:pStyle w:val="Bodytext20"/>
        <w:keepNext/>
        <w:widowControl/>
        <w:shd w:val="clear" w:color="auto" w:fill="auto"/>
        <w:spacing w:after="120"/>
        <w:ind w:firstLine="0"/>
        <w:jc w:val="both"/>
        <w:rPr>
          <w:rStyle w:val="Bodytext6SmallCaps"/>
          <w:rFonts w:eastAsiaTheme="minorHAnsi"/>
          <w:noProof/>
          <w:sz w:val="24"/>
          <w:szCs w:val="24"/>
        </w:rPr>
      </w:pPr>
      <w:r>
        <w:rPr>
          <w:rStyle w:val="Bodytext6SmallCaps"/>
          <w:rFonts w:eastAsiaTheme="minorHAnsi"/>
          <w:noProof/>
          <w:sz w:val="24"/>
        </w:rPr>
        <w:t>Стълб II: устойчиви политики за ваксиниране в ЕС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За да се преодолеят националните различия по отношение на устойчивостта на програмите за ваксинация</w:t>
      </w:r>
      <w:r>
        <w:rPr>
          <w:rFonts w:ascii="Times New Roman" w:hAnsi="Times New Roman"/>
          <w:noProof/>
          <w:sz w:val="24"/>
        </w:rPr>
        <w:t>, заинтересованите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13"/>
      </w:r>
      <w:r>
        <w:rPr>
          <w:rFonts w:ascii="Times New Roman" w:hAnsi="Times New Roman"/>
          <w:noProof/>
          <w:sz w:val="24"/>
        </w:rPr>
        <w:t xml:space="preserve"> (81 %) предложиха хармонизиране на имунизационните календари в ЕС.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Инвестиции в електронното здравеопазване и цифровизацията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почти пълно единодушие</w:t>
      </w:r>
      <w:r>
        <w:rPr>
          <w:rStyle w:val="FootnoteReference"/>
          <w:rFonts w:ascii="Times New Roman" w:hAnsi="Times New Roman"/>
          <w:noProof/>
          <w:sz w:val="24"/>
        </w:rPr>
        <w:footnoteReference w:id="14"/>
      </w:r>
      <w:r>
        <w:rPr>
          <w:rFonts w:ascii="Times New Roman" w:hAnsi="Times New Roman"/>
          <w:noProof/>
          <w:sz w:val="24"/>
        </w:rPr>
        <w:t xml:space="preserve"> най-голяма подкрепа за инвестиции в областта на електронното здравеопазване по</w:t>
      </w:r>
      <w:r>
        <w:rPr>
          <w:rFonts w:ascii="Times New Roman" w:hAnsi="Times New Roman"/>
          <w:noProof/>
          <w:sz w:val="24"/>
        </w:rPr>
        <w:t xml:space="preserve">лучи разработването на електронни имунизационни картони. Потенциалните ползи включват изпращането на известия относно изземвания и проследяване на равнищата на покритие. 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noProof/>
          <w:sz w:val="24"/>
          <w:szCs w:val="24"/>
        </w:rPr>
      </w:pPr>
      <w:r>
        <w:rPr>
          <w:rStyle w:val="Bodytext6SmallCaps"/>
          <w:noProof/>
          <w:sz w:val="24"/>
        </w:rPr>
        <w:t>По-добра комуникация със сектора за производство на ваксини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Гражданите подкрепиха във</w:t>
      </w:r>
      <w:r>
        <w:rPr>
          <w:rFonts w:ascii="Times New Roman" w:hAnsi="Times New Roman"/>
          <w:noProof/>
          <w:sz w:val="24"/>
        </w:rPr>
        <w:t>еждането на задължение за промишлеността да доставя необходимите ваксини (24,55 %). За разлика от тях заинтересованите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15"/>
      </w:r>
      <w:r>
        <w:rPr>
          <w:rFonts w:ascii="Times New Roman" w:hAnsi="Times New Roman"/>
          <w:noProof/>
          <w:sz w:val="24"/>
        </w:rPr>
        <w:t xml:space="preserve"> подкрепиха картографирането на търсенето на ваксини (70,87 %) и изготвянето на национални системни прогнози относно ваксините (65</w:t>
      </w:r>
      <w:r>
        <w:rPr>
          <w:rFonts w:ascii="Times New Roman" w:hAnsi="Times New Roman"/>
          <w:noProof/>
          <w:sz w:val="24"/>
        </w:rPr>
        <w:t>,53 %). Заинтересованите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16"/>
      </w:r>
      <w:r>
        <w:rPr>
          <w:rFonts w:ascii="Times New Roman" w:hAnsi="Times New Roman"/>
          <w:noProof/>
          <w:sz w:val="24"/>
        </w:rPr>
        <w:t xml:space="preserve"> също така предложиха: 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механизми на ЕС за предупреждение и планиране;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опростяване на законодателството на ЕС относно разрешението за търговия с цел увеличаване на капацитета;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насърчаване на сътрудничеството меж</w:t>
      </w:r>
      <w:r>
        <w:rPr>
          <w:noProof/>
        </w:rPr>
        <w:t>ду сектора за производство на ваксини и Световната здравна организация (СЗО);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национални федерации и федерации на производителите на ваксини в ЕС.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По-добро ангажиране с действащи и устойчиви програми за ваксинация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</w:t>
      </w:r>
      <w:r>
        <w:rPr>
          <w:rFonts w:ascii="Times New Roman" w:hAnsi="Times New Roman"/>
          <w:noProof/>
          <w:sz w:val="24"/>
        </w:rPr>
        <w:t>ни</w:t>
      </w:r>
      <w:r>
        <w:rPr>
          <w:rStyle w:val="FootnoteReference"/>
          <w:rFonts w:ascii="Times New Roman" w:hAnsi="Times New Roman"/>
          <w:noProof/>
          <w:sz w:val="24"/>
        </w:rPr>
        <w:footnoteReference w:id="17"/>
      </w:r>
      <w:r>
        <w:rPr>
          <w:rFonts w:ascii="Times New Roman" w:hAnsi="Times New Roman"/>
          <w:noProof/>
          <w:sz w:val="24"/>
        </w:rPr>
        <w:t xml:space="preserve"> предложиха нови действия на ЕС, насочени към устойчивостта на програмите за ваксинация: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обмен на информация с органи извън ЕС относно качеството на ваксините;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подобряване на законодателството на ЕС с нови обвързващи ангажименти за производителите на ва</w:t>
      </w:r>
      <w:r>
        <w:rPr>
          <w:noProof/>
        </w:rPr>
        <w:t>ксини;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платформа на ЕС с ръководства относно националните програми за изпълнение;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извършване на фармако-икономически оценки.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 xml:space="preserve">Организациите на местно ниво могат да подкрепят устойчивите политики за ваксиниране чрез: 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алианс</w:t>
      </w:r>
      <w:r>
        <w:rPr>
          <w:noProof/>
        </w:rPr>
        <w:t xml:space="preserve"> на заинтересованите страни за хармонизиране на работата и за изслушване на пациентите;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изследване на пречките пред достъпа до ваксинация;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създаване на програма на ЕС „Посланик на ваксинацията“.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Други предложения от целевата консултации включват </w:t>
      </w:r>
      <w:r>
        <w:rPr>
          <w:rFonts w:ascii="Times New Roman" w:hAnsi="Times New Roman"/>
          <w:noProof/>
          <w:sz w:val="24"/>
        </w:rPr>
        <w:t>прехвърляне на задачи от лекарите към медицинските сестри, търсене на сътрудничеството на работодателите с цел осигуряване на подходящ отпуск за ваксинация и преразглеждане на доплащания, принос чрез преки плащания и право на обезщетение за увреждания, дъл</w:t>
      </w:r>
      <w:r>
        <w:rPr>
          <w:rFonts w:ascii="Times New Roman" w:hAnsi="Times New Roman"/>
          <w:noProof/>
          <w:sz w:val="24"/>
        </w:rPr>
        <w:t>жащи се на ваксинация.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един отговор беше предложено създаването на техническа консултативна група на ЕС въз основа на модела на Консултативния комитет на САЩ по имунизационните практики.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цел да се осигури ефективен информационен поток и мониторинг на в</w:t>
      </w:r>
      <w:r>
        <w:rPr>
          <w:rFonts w:ascii="Times New Roman" w:hAnsi="Times New Roman"/>
          <w:noProof/>
          <w:sz w:val="24"/>
        </w:rPr>
        <w:t xml:space="preserve">ъздействията на равнището на ЕС респондентите предлагат: 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по-ефективно разпространение на данните на ECDC;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фонд (със задължителни вноски от сектора за производство на ваксини) за проучвания на въздействието на ваксините;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с</w:t>
      </w:r>
      <w:r>
        <w:rPr>
          <w:noProof/>
        </w:rPr>
        <w:t>истема за информация и мониторинг на равнището на ЕС с цел консолидиране на данните относно ваксините.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По-добро насърчаване на ваксинацията с цел увеличаване на равнищата на покритие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цел насърчаване на ваксинацията заинтересованите страни предлагат: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разр</w:t>
      </w:r>
      <w:r>
        <w:rPr>
          <w:noProof/>
        </w:rPr>
        <w:t>аботване на информационни кампании;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солидна правна уредба относно ваксинацията с ясна отчетност за всички участници;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подобряване на ваксинационното покритие по отношение на здравните специалисти посредством насърчаване/стимулиране на д</w:t>
      </w:r>
      <w:r>
        <w:rPr>
          <w:noProof/>
        </w:rPr>
        <w:t>оброволната ваксинация или въвеждането на задължително изискване в това отношение.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82 % от заинтересованите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18"/>
      </w:r>
      <w:r>
        <w:rPr>
          <w:rFonts w:ascii="Times New Roman" w:hAnsi="Times New Roman"/>
          <w:noProof/>
          <w:sz w:val="24"/>
        </w:rPr>
        <w:t xml:space="preserve"> считат, че ЕС следва да разработи общ подход към имунизационните календари. Те също така предлагат: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хармонизиране на имунизационните календа</w:t>
      </w:r>
      <w:r>
        <w:rPr>
          <w:noProof/>
        </w:rPr>
        <w:t xml:space="preserve">ри и на политиките за ваксиниране; 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осигуряване на методи за наблюдение за конкретни групи;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разработване на оперативно съвместима информационна система на ЕС по въпросите на имунизацията;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осигуряване на адекватен и безплатен достъп на гражданите до програм</w:t>
      </w:r>
      <w:r>
        <w:rPr>
          <w:noProof/>
        </w:rPr>
        <w:t xml:space="preserve">ите за ваксинация; 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предоставяне на право на фармацевтите и медицинските сестри да предписват и прилагат ваксини;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подобряване на координацията между министерствата на здравеопазването и ECDC/СЗО.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страни, които предоставиха отговори</w:t>
      </w:r>
      <w:r>
        <w:rPr>
          <w:rFonts w:ascii="Times New Roman" w:hAnsi="Times New Roman"/>
          <w:noProof/>
          <w:sz w:val="24"/>
        </w:rPr>
        <w:t xml:space="preserve"> в рамките на целевата консултация, призоваха за поставянето на по-голям акцент върху ваксинацията при подрастващи и възрастни.</w:t>
      </w:r>
    </w:p>
    <w:p w:rsidR="00377FE3" w:rsidRDefault="0018438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страни отхвърлиха почти единодушно прилагането на универсална стратегия. В обратната информация относно пътната</w:t>
      </w:r>
      <w:r>
        <w:rPr>
          <w:rFonts w:ascii="Times New Roman" w:hAnsi="Times New Roman"/>
          <w:noProof/>
          <w:sz w:val="24"/>
        </w:rPr>
        <w:t xml:space="preserve"> карта се съдържаше призив да се постави по-голям акцент върху уврежданията, дължащи се на ваксинация, включително да се създадат независими европейски системи за докладване на неблагоприятни въздействия от ваксините (VAER).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smallCaps/>
          <w:noProof/>
          <w:color w:val="000000"/>
          <w:sz w:val="24"/>
          <w:szCs w:val="24"/>
        </w:rPr>
      </w:pPr>
      <w:r>
        <w:rPr>
          <w:rStyle w:val="Bodytext6SmallCaps"/>
          <w:noProof/>
          <w:sz w:val="24"/>
        </w:rPr>
        <w:t>Намаляване на недостига на вакс</w:t>
      </w:r>
      <w:r>
        <w:rPr>
          <w:rStyle w:val="Bodytext6SmallCaps"/>
          <w:noProof/>
          <w:sz w:val="24"/>
        </w:rPr>
        <w:t>ини и подобряване на производствения капацитет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страни, предоставили отговори в рамките на обществената консултация и целевата консултация, смятат, че ключовите интервенции на политиката с цел намаляване на недостига на ваксини са прогнозир</w:t>
      </w:r>
      <w:r>
        <w:rPr>
          <w:rFonts w:ascii="Times New Roman" w:hAnsi="Times New Roman"/>
          <w:noProof/>
          <w:sz w:val="24"/>
        </w:rPr>
        <w:t>ането и съвместното възлагане на обществени поръчки. 36,8 % от гражданите смятат, че наличието на отделни ваксини е най-важно.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19"/>
      </w:r>
      <w:r>
        <w:rPr>
          <w:rFonts w:ascii="Times New Roman" w:hAnsi="Times New Roman"/>
          <w:noProof/>
          <w:sz w:val="24"/>
        </w:rPr>
        <w:t xml:space="preserve"> предлагат координацията на равнище ЕС относно недостига на ваксини да бъде подобрена чрез: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създаване на </w:t>
      </w:r>
      <w:r>
        <w:rPr>
          <w:noProof/>
        </w:rPr>
        <w:t>флаг за сектора, с който да се подчертава, че се очаква производствен проблем;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стандартизиране на опаковките;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осигуряване на прозрачни цена и обем.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да се увеличи производството на ваксини и да се съкрати продължителността на технологичните </w:t>
      </w:r>
      <w:r>
        <w:rPr>
          <w:rFonts w:ascii="Times New Roman" w:hAnsi="Times New Roman"/>
          <w:noProof/>
          <w:sz w:val="24"/>
        </w:rPr>
        <w:t>процеси, заинтересованите страни предлагат</w:t>
      </w:r>
      <w:r>
        <w:rPr>
          <w:rStyle w:val="FootnoteReference"/>
          <w:rFonts w:ascii="Times New Roman" w:hAnsi="Times New Roman"/>
          <w:noProof/>
          <w:sz w:val="24"/>
        </w:rPr>
        <w:footnoteReference w:id="20"/>
      </w:r>
      <w:r>
        <w:rPr>
          <w:rFonts w:ascii="Times New Roman" w:hAnsi="Times New Roman"/>
          <w:noProof/>
          <w:sz w:val="24"/>
        </w:rPr>
        <w:t>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увеличаване на надзора и инвестициите в областта на производството/научните изследвания;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изменение на законодателството на ЕС (като например опростяване на разрешенията за търговия);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използване на нови технологи</w:t>
      </w:r>
      <w:r>
        <w:rPr>
          <w:noProof/>
        </w:rPr>
        <w:t>и и финансови стимули за сектора;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укрепване на съвместната система за възлагане на обществени поръчки и подобряване на координацията на имунизационните календари в ЕС;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хармонизиране на информацията относно ваксините, включително опаковката и езика.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цел да се осигури достатъчен производствен капацитет в ЕС заинтересованите страни предлагат: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регулиране и отдаване на приоритет на производството на ваксини;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координиране на планирането, прогнозирането, съвместното възлагане на обществени поръчки и меха</w:t>
      </w:r>
      <w:r>
        <w:rPr>
          <w:noProof/>
        </w:rPr>
        <w:t>низмите за съвместно финансиране;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многогодишни бюджети за национални имунизационни календари и планиране на дозите ваксини въз основа на епидемиологични проучвания най-малко 3 години преди поръчките за производство;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механизми за финанс</w:t>
      </w:r>
      <w:r>
        <w:rPr>
          <w:noProof/>
        </w:rPr>
        <w:t xml:space="preserve">иране на научноизследователската и развойната дейност в областта на ваксините (въз основа на модела на органа на САЩ за авангардна научноизследователска и развойна дейност в областта на биомедицината — BARDA) по отношение на ваксини, които са приоритет за </w:t>
      </w:r>
      <w:r>
        <w:rPr>
          <w:noProof/>
        </w:rPr>
        <w:t>здравната сигурност.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обратната информация беше отправено и предложение за разработването на европейски насоки относно планирането на ваксините. 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Подпомагане на научноизследователската и развойната дейност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Заинтересованите 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21"/>
      </w:r>
      <w:r>
        <w:rPr>
          <w:rFonts w:ascii="Times New Roman" w:hAnsi="Times New Roman"/>
          <w:noProof/>
          <w:sz w:val="24"/>
        </w:rPr>
        <w:t xml:space="preserve"> също така предлагат уско</w:t>
      </w:r>
      <w:r>
        <w:rPr>
          <w:rFonts w:ascii="Times New Roman" w:hAnsi="Times New Roman"/>
          <w:noProof/>
          <w:sz w:val="24"/>
        </w:rPr>
        <w:t>ряване на научноизследователската и развойната дейност посредством: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постигане на съответствие със „Световното сътрудничество в областта на научните изследвания за готовност при заразни болести“ (GloPID-R) и с Коалицията за иновации в областта на епидемична</w:t>
      </w:r>
      <w:r>
        <w:rPr>
          <w:noProof/>
        </w:rPr>
        <w:t>та готовност (CEPI) с цел разработване на нови ваксини;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осигуряване на подкрепа от страна на сектора за независими и ръководени от общественото здравеопазване проучвания в областта на ваксините;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създаване на съвместни научни консултативни групи и р</w:t>
      </w:r>
      <w:r>
        <w:rPr>
          <w:noProof/>
        </w:rPr>
        <w:t>егулатори на равнището на ЕС.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Предложенията за по-добра подкрепа от страна на ЕС за научната оценка на новите ваксини включват: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по-тясно сътрудничество със СЗО и ООН;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допълване на централните процедури по разрешаване с независими изпитвания на ваксини;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съз</w:t>
      </w:r>
      <w:r>
        <w:rPr>
          <w:noProof/>
        </w:rPr>
        <w:t>даване на мрежа от национални технически консултативни групи по въпросите на имунизацията, регулатори на ЕС и агенции за здравни технологии с цел споделяне на стратегии и данни;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подпомагане на разработването на проучвания след пускането на пазара, </w:t>
      </w:r>
      <w:r>
        <w:rPr>
          <w:noProof/>
        </w:rPr>
        <w:t>които се основават на информационна система на ЕС по въпросите на имунизацията.</w:t>
      </w:r>
    </w:p>
    <w:p w:rsidR="00377FE3" w:rsidRDefault="00184388">
      <w:pPr>
        <w:pStyle w:val="Heading1"/>
        <w:keepNext/>
        <w:numPr>
          <w:ilvl w:val="0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Стълб III: координация на равнището на ЕС, включително насърчаване на диалога между заинтересованите страни и принос към здравеопазването в световен мащаб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 xml:space="preserve">Заинтересованите </w:t>
      </w:r>
      <w:r>
        <w:rPr>
          <w:rFonts w:ascii="Times New Roman" w:hAnsi="Times New Roman"/>
          <w:b w:val="0"/>
          <w:noProof/>
          <w:sz w:val="24"/>
        </w:rPr>
        <w:t>страни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22"/>
      </w:r>
      <w:r>
        <w:rPr>
          <w:rFonts w:ascii="Times New Roman" w:hAnsi="Times New Roman"/>
          <w:b w:val="0"/>
          <w:noProof/>
          <w:sz w:val="24"/>
        </w:rPr>
        <w:t xml:space="preserve"> идентифицираха нови области на сътрудничество на равнище ЕС по отношение на ваксинацията: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обща регулаторна рамка и система за цифрови записи;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комуникация и медии;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трансгранични кампании за обществено здраве;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платформа за финансиране от ЕС за </w:t>
      </w:r>
      <w:r>
        <w:rPr>
          <w:noProof/>
        </w:rPr>
        <w:t>проучвания и научни изследвания в областта на ваксините;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платформа на ЕС относно имунизацията за обмен на информация и най-добри практики.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Най-важните инструменти за финансиране на научноизследователската и развойната дейност са безвъзмездните сред</w:t>
      </w:r>
      <w:r>
        <w:rPr>
          <w:rFonts w:ascii="Times New Roman" w:hAnsi="Times New Roman"/>
          <w:b w:val="0"/>
          <w:noProof/>
          <w:sz w:val="24"/>
        </w:rPr>
        <w:t>ства от ЕС по програма „Хоризонт 2020“ (42 %) и партньорствата в рамките на публичния сектор, финансирани от ЕС (33 %).</w:t>
      </w:r>
    </w:p>
    <w:p w:rsidR="00377FE3" w:rsidRDefault="00184388">
      <w:pPr>
        <w:pStyle w:val="Heading1"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Насърчаване на трансграничния обмен в ЕС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noProof/>
        </w:rPr>
      </w:pPr>
      <w:r>
        <w:rPr>
          <w:rFonts w:ascii="Times New Roman" w:hAnsi="Times New Roman"/>
          <w:b w:val="0"/>
          <w:noProof/>
          <w:sz w:val="24"/>
        </w:rPr>
        <w:t>В рамките на целевата консултация заинтересованите страни</w:t>
      </w:r>
      <w:r>
        <w:rPr>
          <w:rStyle w:val="FootnoteReference"/>
          <w:rFonts w:ascii="Times New Roman" w:hAnsi="Times New Roman"/>
          <w:b w:val="0"/>
          <w:noProof/>
          <w:sz w:val="24"/>
        </w:rPr>
        <w:footnoteReference w:id="23"/>
      </w:r>
      <w:r>
        <w:rPr>
          <w:rFonts w:ascii="Times New Roman" w:hAnsi="Times New Roman"/>
          <w:b w:val="0"/>
          <w:noProof/>
          <w:sz w:val="24"/>
        </w:rPr>
        <w:t xml:space="preserve"> (97 %) призоваха Комисията да коорди</w:t>
      </w:r>
      <w:r>
        <w:rPr>
          <w:rFonts w:ascii="Times New Roman" w:hAnsi="Times New Roman"/>
          <w:b w:val="0"/>
          <w:noProof/>
          <w:sz w:val="24"/>
        </w:rPr>
        <w:t xml:space="preserve">нира обмена на най-добри практики и ваксини сред държавите членки. 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Гражданите</w:t>
      </w:r>
      <w:r>
        <w:rPr>
          <w:rStyle w:val="FootnoteReference"/>
          <w:rFonts w:ascii="Times New Roman" w:hAnsi="Times New Roman"/>
          <w:b w:val="0"/>
          <w:noProof/>
          <w:sz w:val="24"/>
        </w:rPr>
        <w:footnoteReference w:id="24"/>
      </w:r>
      <w:r>
        <w:rPr>
          <w:rFonts w:ascii="Times New Roman" w:hAnsi="Times New Roman"/>
          <w:b w:val="0"/>
          <w:noProof/>
          <w:sz w:val="24"/>
        </w:rPr>
        <w:t xml:space="preserve"> (55 %) призовават за обмен на най-добри практики относно обезщетенията за увреждания, дължащи се на ваксинация.</w:t>
      </w:r>
    </w:p>
    <w:p w:rsidR="00377FE3" w:rsidRDefault="00377FE3">
      <w:pPr>
        <w:pStyle w:val="Bodytext60"/>
        <w:shd w:val="clear" w:color="auto" w:fill="auto"/>
        <w:tabs>
          <w:tab w:val="left" w:pos="346"/>
        </w:tabs>
        <w:spacing w:before="0" w:after="114"/>
        <w:rPr>
          <w:rStyle w:val="Bodytext6SmallCaps"/>
          <w:rFonts w:eastAsiaTheme="minorHAnsi"/>
          <w:b/>
          <w:bCs/>
          <w:noProof/>
          <w:sz w:val="24"/>
          <w:szCs w:val="24"/>
        </w:rPr>
      </w:pP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Style w:val="Bodytext6SmallCaps"/>
          <w:rFonts w:eastAsiaTheme="minorHAnsi"/>
          <w:b/>
          <w:bCs/>
          <w:noProof/>
          <w:sz w:val="24"/>
          <w:szCs w:val="24"/>
        </w:rPr>
      </w:pPr>
      <w:r>
        <w:rPr>
          <w:rStyle w:val="Bodytext6SmallCaps"/>
          <w:rFonts w:eastAsiaTheme="minorHAnsi"/>
          <w:noProof/>
          <w:sz w:val="24"/>
        </w:rPr>
        <w:t>Укрепване на сътрудничеството на равнището на ЕС по отношение н</w:t>
      </w:r>
      <w:r>
        <w:rPr>
          <w:rStyle w:val="Bodytext6SmallCaps"/>
          <w:rFonts w:eastAsiaTheme="minorHAnsi"/>
          <w:noProof/>
          <w:sz w:val="24"/>
        </w:rPr>
        <w:t>а подготвеността на общественото здравеопазване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Респондентите на обществената и на целевата консултация считат, че държавите членки следва да работят заедно със сектора по план за управление на кризи с цел да прогнозиране и намаляване на рисковете по време</w:t>
      </w:r>
      <w:r>
        <w:rPr>
          <w:rFonts w:ascii="Times New Roman" w:hAnsi="Times New Roman"/>
          <w:b w:val="0"/>
          <w:noProof/>
          <w:sz w:val="24"/>
        </w:rPr>
        <w:t xml:space="preserve"> на производството на ваксини. </w:t>
      </w:r>
    </w:p>
    <w:p w:rsidR="00377FE3" w:rsidRDefault="00184388">
      <w:pPr>
        <w:pStyle w:val="Heading1"/>
        <w:keepNext/>
        <w:numPr>
          <w:ilvl w:val="1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Превръщане на научните изследвания в по-глобални и по-ефективни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Респондентите на обществената и на целевата консултация са почти единодушни по въпроса, че действията на ЕС по отношение на научните изследванията в областта на</w:t>
      </w:r>
      <w:r>
        <w:rPr>
          <w:rFonts w:ascii="Times New Roman" w:hAnsi="Times New Roman"/>
          <w:b w:val="0"/>
          <w:noProof/>
          <w:sz w:val="24"/>
        </w:rPr>
        <w:t xml:space="preserve"> ваксините следва се осъществяват в рамките на ЕС и извън него. </w:t>
      </w:r>
    </w:p>
    <w:p w:rsidR="00377FE3" w:rsidRDefault="00184388">
      <w:pPr>
        <w:pStyle w:val="Bodytext60"/>
        <w:shd w:val="clear" w:color="auto" w:fill="auto"/>
        <w:tabs>
          <w:tab w:val="left" w:pos="346"/>
        </w:tabs>
        <w:spacing w:before="0" w:after="114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</w:rPr>
        <w:t>За да се даде възможност за сътрудничество между органите на общественото здравеопазване, гражданското общество и сектора за производство на ваксини по отношение на осъществяването на научнит</w:t>
      </w:r>
      <w:r>
        <w:rPr>
          <w:rFonts w:ascii="Times New Roman" w:hAnsi="Times New Roman"/>
          <w:b w:val="0"/>
          <w:noProof/>
          <w:sz w:val="24"/>
        </w:rPr>
        <w:t>е изследвания, заинтересованите страни предлагат: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се създадат експертни мрежи или платформи;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се установи регулаторна рамка, насочена към предвиждане на недостига;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 xml:space="preserve">да се създаде специализирана агенция на ЕС за разработване на действия и определяне на </w:t>
      </w:r>
      <w:r>
        <w:rPr>
          <w:noProof/>
        </w:rPr>
        <w:t>финансиране; както и</w:t>
      </w:r>
    </w:p>
    <w:p w:rsidR="00377FE3" w:rsidRDefault="0018438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noProof/>
        </w:rPr>
      </w:pPr>
      <w:r>
        <w:rPr>
          <w:noProof/>
        </w:rPr>
        <w:t>да се развиват съвместни действия и публично-частни партньорства с цел изграждане на доверие и генериране/събиране на нови данни.</w:t>
      </w:r>
    </w:p>
    <w:p w:rsidR="00377FE3" w:rsidRDefault="00184388">
      <w:pPr>
        <w:pStyle w:val="Heading1"/>
        <w:keepNext/>
        <w:numPr>
          <w:ilvl w:val="0"/>
          <w:numId w:val="11"/>
        </w:numPr>
        <w:rPr>
          <w:rStyle w:val="Bodytext6SmallCaps"/>
          <w:b/>
          <w:bCs/>
          <w:noProof/>
          <w:sz w:val="24"/>
          <w:szCs w:val="24"/>
        </w:rPr>
      </w:pPr>
      <w:r>
        <w:rPr>
          <w:rStyle w:val="Bodytext6SmallCaps"/>
          <w:noProof/>
          <w:sz w:val="24"/>
        </w:rPr>
        <w:t>Заключение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Като цяло съгласно резултатите от консултацията се призовава за по-координирани усилия в </w:t>
      </w:r>
      <w:r>
        <w:rPr>
          <w:rFonts w:ascii="Times New Roman" w:hAnsi="Times New Roman"/>
          <w:noProof/>
          <w:sz w:val="24"/>
        </w:rPr>
        <w:t>областта на ваксинацията на национално равнище и на равнището на ЕС. Равният достъп до програмите за ваксинация и колебанията относно ваксинацията бяха идентифицирани като основни предизвикателства. Гражданите изразиха по-голяма загриженост по отношение на</w:t>
      </w:r>
      <w:r>
        <w:rPr>
          <w:rFonts w:ascii="Times New Roman" w:hAnsi="Times New Roman"/>
          <w:noProof/>
          <w:sz w:val="24"/>
        </w:rPr>
        <w:t xml:space="preserve"> безопасността и ефективността на програмите за имунизация, като подчертаха необходимостта от по-прозрачни научни изследвания и информация.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Основните опасения от страна на респондентите, които изпитват колебания относно ваксинацията, са i) страничните ефек</w:t>
      </w:r>
      <w:r>
        <w:rPr>
          <w:rFonts w:ascii="Times New Roman" w:hAnsi="Times New Roman"/>
          <w:noProof/>
          <w:sz w:val="24"/>
        </w:rPr>
        <w:t>ти и съставките на ваксината, ii) усещането за липса на безопасност и ефективност при ваксините, iii) налагането на задължителна ваксинация, iv) липсата на схеми за обезщетение за увреждания, дължащи се на ваксинация, v) финансовите интереси на фармацевтич</w:t>
      </w:r>
      <w:r>
        <w:rPr>
          <w:rFonts w:ascii="Times New Roman" w:hAnsi="Times New Roman"/>
          <w:noProof/>
          <w:sz w:val="24"/>
        </w:rPr>
        <w:t>ната промишленост, vi) липсата на прозрачни и независими от сектора научни изследвания, vii) усещането за едностранна информация относно ползите, но не и за рисковете, както и viii) недоверието в обществените органи.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Въпреки че тези групи представляват по-</w:t>
      </w:r>
      <w:r>
        <w:rPr>
          <w:rFonts w:ascii="Times New Roman" w:hAnsi="Times New Roman"/>
          <w:noProof/>
          <w:sz w:val="24"/>
        </w:rPr>
        <w:t>голямата част от респондентите (над 70 %), останалите респонденти подкрепиха инициативата.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Основните предложения, направени в рамките на целевата консултация, бяха: i) включване на фармацевтите при прилагането на ваксини, ii) включване на имунизацията в по</w:t>
      </w:r>
      <w:r>
        <w:rPr>
          <w:rFonts w:ascii="Times New Roman" w:hAnsi="Times New Roman"/>
          <w:noProof/>
          <w:sz w:val="24"/>
        </w:rPr>
        <w:t>-широка концепция за здравната профилактика, iii) поставяне на по-голям акцент върху ваксинацията на възрастни и iv) подобряване на достъпа на ECDC и EMA до информация и данни.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обратната информация относно пътната карта беше поставен акцент върху необход</w:t>
      </w:r>
      <w:r>
        <w:rPr>
          <w:rFonts w:ascii="Times New Roman" w:hAnsi="Times New Roman"/>
          <w:noProof/>
          <w:sz w:val="24"/>
        </w:rPr>
        <w:t xml:space="preserve">имостта от диалог, сътрудничество и обмен на най-добри практики, като същевременно се зачитат националните особености и компетентности.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Респондентите на обществената и на целевата консултация също така поискаха здравните специалисти да участват по-активно</w:t>
      </w:r>
      <w:r>
        <w:rPr>
          <w:rFonts w:ascii="Times New Roman" w:hAnsi="Times New Roman"/>
          <w:noProof/>
          <w:sz w:val="24"/>
        </w:rPr>
        <w:t xml:space="preserve"> в насърчаването на ваксинацията, като предоставят обучение и информационни материали. Беше поставен акцент върху образоването и информирането на обществеността относно ваксинацията посредством индивидуален подход на местно равнище. Силна подкрепа получи в</w:t>
      </w:r>
      <w:r>
        <w:rPr>
          <w:rFonts w:ascii="Times New Roman" w:hAnsi="Times New Roman"/>
          <w:noProof/>
          <w:sz w:val="24"/>
        </w:rPr>
        <w:t xml:space="preserve">ъвеждането на електронни имунизационни картони. 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Като цяло бе подкрепена ролята на Комисията като посредник при обмена на информация и най-добри практики относно ваксините и имунизацията между държавите.</w:t>
      </w:r>
    </w:p>
    <w:p w:rsidR="00377FE3" w:rsidRDefault="00184388">
      <w:pPr>
        <w:pStyle w:val="Bodytext2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Поради големия географски дисбаланс при отговорите в</w:t>
      </w:r>
      <w:r>
        <w:rPr>
          <w:rFonts w:ascii="Times New Roman" w:hAnsi="Times New Roman"/>
          <w:noProof/>
          <w:sz w:val="24"/>
        </w:rPr>
        <w:t>ъпросникът не е статистически представителен като инструмент за консултация. Въпреки това големият брой получени отговори в сравнение с други консултации е показател за значимостта на проблема.</w:t>
      </w:r>
    </w:p>
    <w:sectPr w:rsidR="00377F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40" w:right="1440" w:bottom="1440" w:left="1440" w:header="708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AC019A" w15:done="0"/>
  <w15:commentEx w15:paraId="67C63B46" w15:done="0"/>
  <w15:commentEx w15:paraId="3ADCCD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E3" w:rsidRDefault="00184388">
      <w:pPr>
        <w:spacing w:after="0" w:line="240" w:lineRule="auto"/>
      </w:pPr>
      <w:r>
        <w:separator/>
      </w:r>
    </w:p>
  </w:endnote>
  <w:endnote w:type="continuationSeparator" w:id="0">
    <w:p w:rsidR="00377FE3" w:rsidRDefault="0018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88" w:rsidRPr="00184388" w:rsidRDefault="00184388" w:rsidP="00184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88" w:rsidRPr="00184388" w:rsidRDefault="00184388" w:rsidP="00184388">
    <w:pPr>
      <w:pStyle w:val="FooterCoverPage"/>
      <w:rPr>
        <w:rFonts w:ascii="Arial" w:hAnsi="Arial" w:cs="Arial"/>
        <w:b/>
        <w:sz w:val="48"/>
      </w:rPr>
    </w:pPr>
    <w:r w:rsidRPr="00184388">
      <w:rPr>
        <w:rFonts w:ascii="Arial" w:hAnsi="Arial" w:cs="Arial"/>
        <w:b/>
        <w:sz w:val="48"/>
      </w:rPr>
      <w:t>BG</w:t>
    </w:r>
    <w:r w:rsidRPr="00184388">
      <w:rPr>
        <w:rFonts w:ascii="Arial" w:hAnsi="Arial" w:cs="Arial"/>
        <w:b/>
        <w:sz w:val="48"/>
      </w:rPr>
      <w:tab/>
    </w:r>
    <w:r w:rsidRPr="00184388">
      <w:rPr>
        <w:rFonts w:ascii="Arial" w:hAnsi="Arial" w:cs="Arial"/>
        <w:b/>
        <w:sz w:val="48"/>
      </w:rPr>
      <w:tab/>
    </w:r>
    <w:r w:rsidRPr="00184388">
      <w:tab/>
    </w:r>
    <w:proofErr w:type="spellStart"/>
    <w:r w:rsidRPr="00184388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88" w:rsidRPr="00184388" w:rsidRDefault="00184388" w:rsidP="0018438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E3" w:rsidRDefault="00377FE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53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E3" w:rsidRDefault="001843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7FE3" w:rsidRDefault="00377FE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E3" w:rsidRDefault="00377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E3" w:rsidRDefault="00184388">
      <w:pPr>
        <w:spacing w:after="0" w:line="240" w:lineRule="auto"/>
      </w:pPr>
      <w:r>
        <w:separator/>
      </w:r>
    </w:p>
  </w:footnote>
  <w:footnote w:type="continuationSeparator" w:id="0">
    <w:p w:rsidR="00377FE3" w:rsidRDefault="00184388">
      <w:pPr>
        <w:spacing w:after="0" w:line="240" w:lineRule="auto"/>
      </w:pPr>
      <w:r>
        <w:continuationSeparator/>
      </w:r>
    </w:p>
  </w:footnote>
  <w:footnote w:id="1">
    <w:p w:rsidR="00377FE3" w:rsidRDefault="00184388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http://ec.europa.eu/info/law/better-regulation/initiatives/ares-2017-5925775_bg</w:t>
        </w:r>
      </w:hyperlink>
    </w:p>
  </w:footnote>
  <w:footnote w:id="2">
    <w:p w:rsidR="00377FE3" w:rsidRDefault="00184388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>
        <w:t>От 4 декември 2017 г. до 1 януари 2018 г.</w:t>
      </w:r>
    </w:p>
  </w:footnote>
  <w:footnote w:id="3">
    <w:p w:rsidR="00377FE3" w:rsidRDefault="00184388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hyperlink r:id="rId2" w:anchor="True">
        <w:r>
          <w:rPr>
            <w:rStyle w:val="Hyperlink"/>
          </w:rPr>
          <w:t>https://ec.europa.eu/info/consultations/open-public-consultation-strengthened-cooperation-against-vaccine-preventable-diseases_bg</w:t>
        </w:r>
      </w:hyperlink>
    </w:p>
  </w:footnote>
  <w:footnote w:id="4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Въпросникът не б</w:t>
      </w:r>
      <w:r>
        <w:t>еше наличен на ирландски език.</w:t>
      </w:r>
    </w:p>
  </w:footnote>
  <w:footnote w:id="5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Членове на платформата в областта на здравната политика; участници в конкурса за здравната награда на ЕС в областта на ваксинацията за неправителствени организации; заинтересовани страни, представляващи определените национа</w:t>
      </w:r>
      <w:r>
        <w:t>лни органи за контакт, участващи в съвместното действие на ЕС относно ваксинацията; представители на държавите членки в Консултативния форум и в Мрежата за болести, предотвратими чрез ваксинация, към Европейския център за профилактика и контрол върху забол</w:t>
      </w:r>
      <w:r>
        <w:t>яванията (ECDC).</w:t>
      </w:r>
    </w:p>
  </w:footnote>
  <w:footnote w:id="6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https://www.ipsn.eu/vaccins-commission-europeenne-demande-avis-15-mars</w:t>
      </w:r>
    </w:p>
  </w:footnote>
  <w:footnote w:id="7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От </w:t>
      </w:r>
      <w:proofErr w:type="spellStart"/>
      <w:r>
        <w:t>респондентите</w:t>
      </w:r>
      <w:proofErr w:type="spellEnd"/>
      <w:r>
        <w:t xml:space="preserve"> на обществената и на целевата консултация.</w:t>
      </w:r>
    </w:p>
  </w:footnote>
  <w:footnote w:id="8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Не се включват лицата, които не са изразили мнение по въпроса.</w:t>
      </w:r>
    </w:p>
  </w:footnote>
  <w:footnote w:id="9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0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в рамките на откритата обществена консултация и целевата консултация.</w:t>
      </w:r>
    </w:p>
  </w:footnote>
  <w:footnote w:id="11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2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3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4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Този въпрос не бе зададен на </w:t>
      </w:r>
      <w:proofErr w:type="spellStart"/>
      <w:r>
        <w:t>респондентите</w:t>
      </w:r>
      <w:proofErr w:type="spellEnd"/>
      <w:r>
        <w:t xml:space="preserve"> на откритата обществена консултация.</w:t>
      </w:r>
    </w:p>
  </w:footnote>
  <w:footnote w:id="15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Предоставили отговори единствено </w:t>
      </w:r>
      <w:r>
        <w:t>в рамките на откритата консултация.</w:t>
      </w:r>
    </w:p>
  </w:footnote>
  <w:footnote w:id="16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7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8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19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</w:t>
      </w:r>
      <w:r>
        <w:t>вили отговори единствено в рамките на целевата консултация.</w:t>
      </w:r>
    </w:p>
  </w:footnote>
  <w:footnote w:id="20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21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22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</w:t>
      </w:r>
      <w:r>
        <w:t xml:space="preserve"> консултация.</w:t>
      </w:r>
    </w:p>
  </w:footnote>
  <w:footnote w:id="23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Предоставили отговори единствено в рамките на целевата консултация.</w:t>
      </w:r>
    </w:p>
  </w:footnote>
  <w:footnote w:id="24">
    <w:p w:rsidR="00377FE3" w:rsidRDefault="00184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Гражданите, които не са изразили мнение, не са взети предвид по отношение на този въпрос.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88" w:rsidRPr="00184388" w:rsidRDefault="00184388" w:rsidP="00184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88" w:rsidRPr="00184388" w:rsidRDefault="00184388" w:rsidP="0018438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88" w:rsidRPr="00184388" w:rsidRDefault="00184388" w:rsidP="0018438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E3" w:rsidRDefault="00377FE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E3" w:rsidRDefault="00377FE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E3" w:rsidRDefault="00377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159"/>
    <w:multiLevelType w:val="multilevel"/>
    <w:tmpl w:val="B7061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24F95"/>
    <w:multiLevelType w:val="hybridMultilevel"/>
    <w:tmpl w:val="ED5ED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0D5CC0"/>
    <w:multiLevelType w:val="hybridMultilevel"/>
    <w:tmpl w:val="18FE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DA783F"/>
    <w:multiLevelType w:val="multilevel"/>
    <w:tmpl w:val="4EA22D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E16FD3"/>
    <w:multiLevelType w:val="hybridMultilevel"/>
    <w:tmpl w:val="9C14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37570"/>
    <w:multiLevelType w:val="hybridMultilevel"/>
    <w:tmpl w:val="3208E850"/>
    <w:lvl w:ilvl="0" w:tplc="93EC6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AC1447"/>
    <w:multiLevelType w:val="hybridMultilevel"/>
    <w:tmpl w:val="309C343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13C06E7"/>
    <w:multiLevelType w:val="hybridMultilevel"/>
    <w:tmpl w:val="0CEAC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AF6312"/>
    <w:multiLevelType w:val="hybridMultilevel"/>
    <w:tmpl w:val="8DC40C7A"/>
    <w:lvl w:ilvl="0" w:tplc="0F2C6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F50D7"/>
    <w:multiLevelType w:val="hybridMultilevel"/>
    <w:tmpl w:val="17428E8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2590FA5"/>
    <w:multiLevelType w:val="multilevel"/>
    <w:tmpl w:val="D3505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87D47"/>
    <w:multiLevelType w:val="hybridMultilevel"/>
    <w:tmpl w:val="CDC46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16F34"/>
    <w:multiLevelType w:val="hybridMultilevel"/>
    <w:tmpl w:val="CB868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91EAE"/>
    <w:multiLevelType w:val="hybridMultilevel"/>
    <w:tmpl w:val="7E726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D556DA"/>
    <w:multiLevelType w:val="hybridMultilevel"/>
    <w:tmpl w:val="EC5620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40519"/>
    <w:multiLevelType w:val="hybridMultilevel"/>
    <w:tmpl w:val="9E50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15"/>
  </w:num>
  <w:num w:numId="14">
    <w:abstractNumId w:val="13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S Maya (SANTE)">
    <w15:presenceInfo w15:providerId="None" w15:userId="MATTHEWS Maya (SAN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F7654C8A-C5FB-493A-A425-8030F573EC7F"/>
    <w:docVar w:name="LW_COVERPAGE_TYPE" w:val="1"/>
    <w:docVar w:name="LW_CROSSREFERENCE" w:val="{COM(2018) 245 final}_x000a_{COM(2018) 244 final}"/>
    <w:docVar w:name="LW_DocType" w:val="NORMAL"/>
    <w:docVar w:name="LW_EMISSION" w:val="26.4.2018"/>
    <w:docVar w:name="LW_EMISSION_ISODATE" w:val="2018-04-26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2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79?\u1072?\u1089?\u1080?\u1083?\u1074?\u1072?\u1085?\u1077? \u1085?\u1072? \u1089?\u1098?\u1090?\u1088?\u1091?\u1076?\u1085?\u1080?\u1095?\u1077?\u1089?\u1090?\u1074?\u1086?\u1090?\u1086? \u1074? \u1073?\u1086?\u1088?\u1073?\u1072?\u1090?\u1072? \u1089?\u1088?\u1077?\u1097?\u1091? \u1073?\u1086?\u1083?\u1077?\u1089?\u1090?\u1080?, \u1087?\u1088?\u1077?\u1076?\u1086?\u1090?\u1074?\u1088?\u1072?\u1090?\u1080?\u1084?\u1080? \u1095?\u1088?\u1077?\u1079? \u1074?\u1072?\u1082?\u1089?\u1080?\u1085?\u1072?\u1094?\u1080?\u1103?,"/>
    <w:docVar w:name="LW_PART_NBR" w:val="1"/>
    <w:docVar w:name="LW_PART_NBR_TOTAL" w:val="1"/>
    <w:docVar w:name="LW_REF.INST.NEW" w:val="SWD"/>
    <w:docVar w:name="LW_REF.INST.NEW_ADOPTED" w:val="final"/>
    <w:docVar w:name="LW_REF.INST.NEW_TEXT" w:val="(2018) 14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54?\u1073?\u1079?\u1086?\u1088?\u1077?\u1085? \u1076?\u1086?\u1082?\u1083?\u1072?\u1076?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"/>
    <w:docVar w:name="LW_TYPEACTEPRINCIPAL.CP" w:val="\u1057?\u1098?\u1086?\u1073?\u1097?\u1077?\u1085?\u1080?\u1077? \u1085?\u1072? \u1050?\u1086?\u1084?\u1080?\u1089?\u1080?\u1103?\u1090?\u1072? \u1076?\u1086? \u1045?\u1074?\u1088?\u1086?\u1087?\u1077?\u1081?\u1089?\u1082?\u1080?\u1103? \u1087?\u1072?\u1088?\u1083?\u1072?\u1084?\u1077?\u1085?\u1090?, \u1057?\u1098?\u1074?\u1077?\u1090?\u1072?, \u1045?\u1074?\u1088?\u1086?\u1087?\u1077?\u1081?\u1089?\u1082?\u1080?\u1103? \u1080?\u1082?\u1086?\u1085?\u1086?\u1084?\u1080?\u1095?\u1077?\u1089?\u1082?\u1080? \u1080? \u1089?\u1086?\u1094?\u1080?\u1072?\u1083?\u1077?\u1085? \u1082?\u1086?\u1084?\u1080?\u1090?\u1077?\u1090? \u1080? \u1050?\u1086?\u1084?\u1080?\u1090?\u1077?\u1090?\u1072? \u1085?\u1072? \u1088?\u1077?\u1075?\u1080?\u1086?\u1085?\u1080?\u1090?\u1077?_x000b__x000b_\u1080?_x000b__x000b_\u1087?\u1088?\u1077?\u1076?\u1083?\u1086?\u1078?\u1077?\u1085?\u1080?\u1077? \u1079?\u1072? \u1055?\u1088?\u1077?\u1087?\u1086?\u1088?\u1098?\u1082?\u1072? \u1085?\u1072? \u1057?\u1098?\u1074?\u1077?\u1090?\u1072?"/>
  </w:docVars>
  <w:rsids>
    <w:rsidRoot w:val="00377FE3"/>
    <w:rsid w:val="00184388"/>
    <w:rsid w:val="003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Bodytext3Exact">
    <w:name w:val="Body text (3) Exact"/>
    <w:basedOn w:val="DefaultParagraphFont"/>
    <w:link w:val="Bodytext3"/>
    <w:rPr>
      <w:rFonts w:ascii="Arial" w:eastAsia="Arial" w:hAnsi="Arial" w:cs="Arial"/>
      <w:shd w:val="clear" w:color="auto" w:fill="FFFFFF"/>
      <w:lang w:val="bg-BG" w:eastAsia="bg-BG" w:bidi="bg-BG"/>
    </w:rPr>
  </w:style>
  <w:style w:type="character" w:customStyle="1" w:styleId="Heading1Exact">
    <w:name w:val="Heading #1 Exact"/>
    <w:basedOn w:val="DefaultParagraphFont"/>
    <w:link w:val="Heading10"/>
    <w:rPr>
      <w:rFonts w:ascii="Arial" w:eastAsia="Arial" w:hAnsi="Arial" w:cs="Arial"/>
      <w:b/>
      <w:bCs/>
      <w:sz w:val="46"/>
      <w:szCs w:val="46"/>
      <w:shd w:val="clear" w:color="auto" w:fill="FFFFFF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Pr>
      <w:b/>
      <w:bCs/>
      <w:shd w:val="clear" w:color="auto" w:fill="FFFFFF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Pr>
      <w:b/>
      <w:bCs/>
      <w:sz w:val="28"/>
      <w:szCs w:val="28"/>
      <w:shd w:val="clear" w:color="auto" w:fill="FFFFFF"/>
      <w:lang w:val="bg-BG" w:eastAsia="bg-BG" w:bidi="bg-BG"/>
    </w:rPr>
  </w:style>
  <w:style w:type="character" w:customStyle="1" w:styleId="Headerorfooter">
    <w:name w:val="Header or footer_"/>
    <w:basedOn w:val="DefaultParagraphFont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Pr>
      <w:b/>
      <w:bCs/>
      <w:shd w:val="clear" w:color="auto" w:fill="FFFFFF"/>
    </w:rPr>
  </w:style>
  <w:style w:type="character" w:customStyle="1" w:styleId="Bodytext612pt">
    <w:name w:val="Body text (6) + 12 pt"/>
    <w:aliases w:val="Not Bold"/>
    <w:basedOn w:val="Bodytext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Pr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Pr>
      <w:b/>
      <w:bCs/>
      <w:shd w:val="clear" w:color="auto" w:fill="FFFFFF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paragraph" w:customStyle="1" w:styleId="Bodytext3">
    <w:name w:val="Body text (3)"/>
    <w:basedOn w:val="Normal"/>
    <w:link w:val="Bodytext3Exact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Exact"/>
    <w:pPr>
      <w:widowControl w:val="0"/>
      <w:shd w:val="clear" w:color="auto" w:fill="FFFFFF"/>
      <w:spacing w:after="0" w:line="514" w:lineRule="exac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1440" w:line="274" w:lineRule="exact"/>
      <w:ind w:hanging="360"/>
    </w:p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before="1440" w:after="0" w:line="624" w:lineRule="exact"/>
      <w:jc w:val="center"/>
    </w:pPr>
    <w:rPr>
      <w:b/>
      <w:bCs/>
    </w:rPr>
  </w:style>
  <w:style w:type="paragraph" w:customStyle="1" w:styleId="Bodytext50">
    <w:name w:val="Body text (5)"/>
    <w:basedOn w:val="Normal"/>
    <w:link w:val="Bodytext5"/>
    <w:pPr>
      <w:widowControl w:val="0"/>
      <w:shd w:val="clear" w:color="auto" w:fill="FFFFFF"/>
      <w:spacing w:after="500" w:line="310" w:lineRule="exact"/>
      <w:jc w:val="center"/>
    </w:pPr>
    <w:rPr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pPr>
      <w:widowControl w:val="0"/>
      <w:shd w:val="clear" w:color="auto" w:fill="FFFFFF"/>
      <w:spacing w:before="500" w:after="120" w:line="266" w:lineRule="exact"/>
      <w:jc w:val="both"/>
    </w:pPr>
    <w:rPr>
      <w:b/>
      <w:bCs/>
    </w:rPr>
  </w:style>
  <w:style w:type="paragraph" w:customStyle="1" w:styleId="Bodytext70">
    <w:name w:val="Body text (7)"/>
    <w:basedOn w:val="Normal"/>
    <w:link w:val="Bodytext7"/>
    <w:pPr>
      <w:widowControl w:val="0"/>
      <w:shd w:val="clear" w:color="auto" w:fill="FFFFFF"/>
      <w:spacing w:before="1480" w:after="0" w:line="235" w:lineRule="exact"/>
      <w:jc w:val="both"/>
    </w:pPr>
    <w:rPr>
      <w:sz w:val="20"/>
      <w:szCs w:val="20"/>
    </w:rPr>
  </w:style>
  <w:style w:type="paragraph" w:customStyle="1" w:styleId="Heading20">
    <w:name w:val="Heading #2"/>
    <w:basedOn w:val="Normal"/>
    <w:link w:val="Heading2"/>
    <w:pPr>
      <w:widowControl w:val="0"/>
      <w:shd w:val="clear" w:color="auto" w:fill="FFFFFF"/>
      <w:spacing w:before="120" w:after="120" w:line="266" w:lineRule="exact"/>
      <w:ind w:hanging="380"/>
      <w:jc w:val="both"/>
      <w:outlineLvl w:val="1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sz w:val="16"/>
      <w:szCs w:val="16"/>
      <w:lang w:val="bg-BG" w:bidi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Bodytext3Exact">
    <w:name w:val="Body text (3) Exact"/>
    <w:basedOn w:val="DefaultParagraphFont"/>
    <w:link w:val="Bodytext3"/>
    <w:rPr>
      <w:rFonts w:ascii="Arial" w:eastAsia="Arial" w:hAnsi="Arial" w:cs="Arial"/>
      <w:shd w:val="clear" w:color="auto" w:fill="FFFFFF"/>
      <w:lang w:val="bg-BG" w:eastAsia="bg-BG" w:bidi="bg-BG"/>
    </w:rPr>
  </w:style>
  <w:style w:type="character" w:customStyle="1" w:styleId="Heading1Exact">
    <w:name w:val="Heading #1 Exact"/>
    <w:basedOn w:val="DefaultParagraphFont"/>
    <w:link w:val="Heading10"/>
    <w:rPr>
      <w:rFonts w:ascii="Arial" w:eastAsia="Arial" w:hAnsi="Arial" w:cs="Arial"/>
      <w:b/>
      <w:bCs/>
      <w:sz w:val="46"/>
      <w:szCs w:val="46"/>
      <w:shd w:val="clear" w:color="auto" w:fill="FFFFFF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Pr>
      <w:b/>
      <w:bCs/>
      <w:shd w:val="clear" w:color="auto" w:fill="FFFFFF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Pr>
      <w:b/>
      <w:bCs/>
      <w:sz w:val="28"/>
      <w:szCs w:val="28"/>
      <w:shd w:val="clear" w:color="auto" w:fill="FFFFFF"/>
      <w:lang w:val="bg-BG" w:eastAsia="bg-BG" w:bidi="bg-BG"/>
    </w:rPr>
  </w:style>
  <w:style w:type="character" w:customStyle="1" w:styleId="Headerorfooter">
    <w:name w:val="Header or footer_"/>
    <w:basedOn w:val="DefaultParagraphFont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Pr>
      <w:b/>
      <w:bCs/>
      <w:shd w:val="clear" w:color="auto" w:fill="FFFFFF"/>
    </w:rPr>
  </w:style>
  <w:style w:type="character" w:customStyle="1" w:styleId="Bodytext612pt">
    <w:name w:val="Body text (6) + 12 pt"/>
    <w:aliases w:val="Not Bold"/>
    <w:basedOn w:val="Bodytext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Pr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Pr>
      <w:b/>
      <w:bCs/>
      <w:shd w:val="clear" w:color="auto" w:fill="FFFFFF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paragraph" w:customStyle="1" w:styleId="Bodytext3">
    <w:name w:val="Body text (3)"/>
    <w:basedOn w:val="Normal"/>
    <w:link w:val="Bodytext3Exact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Exact"/>
    <w:pPr>
      <w:widowControl w:val="0"/>
      <w:shd w:val="clear" w:color="auto" w:fill="FFFFFF"/>
      <w:spacing w:after="0" w:line="514" w:lineRule="exac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1440" w:line="274" w:lineRule="exact"/>
      <w:ind w:hanging="360"/>
    </w:p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before="1440" w:after="0" w:line="624" w:lineRule="exact"/>
      <w:jc w:val="center"/>
    </w:pPr>
    <w:rPr>
      <w:b/>
      <w:bCs/>
    </w:rPr>
  </w:style>
  <w:style w:type="paragraph" w:customStyle="1" w:styleId="Bodytext50">
    <w:name w:val="Body text (5)"/>
    <w:basedOn w:val="Normal"/>
    <w:link w:val="Bodytext5"/>
    <w:pPr>
      <w:widowControl w:val="0"/>
      <w:shd w:val="clear" w:color="auto" w:fill="FFFFFF"/>
      <w:spacing w:after="500" w:line="310" w:lineRule="exact"/>
      <w:jc w:val="center"/>
    </w:pPr>
    <w:rPr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pPr>
      <w:widowControl w:val="0"/>
      <w:shd w:val="clear" w:color="auto" w:fill="FFFFFF"/>
      <w:spacing w:before="500" w:after="120" w:line="266" w:lineRule="exact"/>
      <w:jc w:val="both"/>
    </w:pPr>
    <w:rPr>
      <w:b/>
      <w:bCs/>
    </w:rPr>
  </w:style>
  <w:style w:type="paragraph" w:customStyle="1" w:styleId="Bodytext70">
    <w:name w:val="Body text (7)"/>
    <w:basedOn w:val="Normal"/>
    <w:link w:val="Bodytext7"/>
    <w:pPr>
      <w:widowControl w:val="0"/>
      <w:shd w:val="clear" w:color="auto" w:fill="FFFFFF"/>
      <w:spacing w:before="1480" w:after="0" w:line="235" w:lineRule="exact"/>
      <w:jc w:val="both"/>
    </w:pPr>
    <w:rPr>
      <w:sz w:val="20"/>
      <w:szCs w:val="20"/>
    </w:rPr>
  </w:style>
  <w:style w:type="paragraph" w:customStyle="1" w:styleId="Heading20">
    <w:name w:val="Heading #2"/>
    <w:basedOn w:val="Normal"/>
    <w:link w:val="Heading2"/>
    <w:pPr>
      <w:widowControl w:val="0"/>
      <w:shd w:val="clear" w:color="auto" w:fill="FFFFFF"/>
      <w:spacing w:before="120" w:after="120" w:line="266" w:lineRule="exact"/>
      <w:ind w:hanging="380"/>
      <w:jc w:val="both"/>
      <w:outlineLvl w:val="1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sz w:val="16"/>
      <w:szCs w:val="16"/>
      <w:lang w:val="bg-BG" w:bidi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consultations/open-public-consultation-strengthened-cooperation-against-vaccine-preventable-diseases_bg" TargetMode="External"/><Relationship Id="rId1" Type="http://schemas.openxmlformats.org/officeDocument/2006/relationships/hyperlink" Target="http://ec.europa.eu/info/law/better-regulation/initiatives/ares-2017-5925775_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0C1F-01C0-46B8-A93F-81285CBD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2930</Words>
  <Characters>18786</Characters>
  <Application>Microsoft Office Word</Application>
  <DocSecurity>0</DocSecurity>
  <Lines>358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21</cp:revision>
  <dcterms:created xsi:type="dcterms:W3CDTF">2018-04-23T07:31:00Z</dcterms:created>
  <dcterms:modified xsi:type="dcterms:W3CDTF">2018-05-24T13:52:00Z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