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A6" w:rsidRDefault="00155027" w:rsidP="0015502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0B1C338-D03A-4E22-B278-F7587F0CE8B3" style="width:450.5pt;height:471.5pt">
            <v:imagedata r:id="rId9" o:title=""/>
          </v:shape>
        </w:pict>
      </w:r>
    </w:p>
    <w:bookmarkEnd w:id="0"/>
    <w:p w:rsidR="00696AA6" w:rsidRDefault="00696AA6">
      <w:pPr>
        <w:rPr>
          <w:noProof/>
        </w:rPr>
        <w:sectPr w:rsidR="00696AA6" w:rsidSect="0015502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96AA6" w:rsidRDefault="00155027">
      <w:pPr>
        <w:pStyle w:val="Bodytext50"/>
        <w:shd w:val="clear" w:color="auto" w:fill="auto"/>
        <w:spacing w:after="535"/>
        <w:ind w:left="20"/>
        <w:rPr>
          <w:rFonts w:ascii="Times New Roman" w:hAnsi="Times New Roman" w:cs="Times New Roman"/>
          <w:noProof/>
          <w:sz w:val="24"/>
          <w:szCs w:val="24"/>
        </w:rPr>
      </w:pPr>
      <w:r>
        <w:rPr>
          <w:rFonts w:ascii="Times New Roman" w:hAnsi="Times New Roman"/>
          <w:noProof/>
          <w:sz w:val="24"/>
        </w:rPr>
        <w:lastRenderedPageBreak/>
        <w:t>RAPPORT DE SYNTHÈSE</w:t>
      </w:r>
    </w:p>
    <w:p w:rsidR="00696AA6" w:rsidRDefault="00155027">
      <w:pPr>
        <w:pStyle w:val="Bodytext60"/>
        <w:numPr>
          <w:ilvl w:val="0"/>
          <w:numId w:val="1"/>
        </w:numPr>
        <w:shd w:val="clear" w:color="auto" w:fill="auto"/>
        <w:tabs>
          <w:tab w:val="left" w:pos="346"/>
        </w:tabs>
        <w:spacing w:before="0" w:after="114"/>
        <w:rPr>
          <w:rFonts w:ascii="Times New Roman" w:hAnsi="Times New Roman" w:cs="Times New Roman"/>
          <w:noProof/>
          <w:sz w:val="24"/>
          <w:szCs w:val="24"/>
        </w:rPr>
      </w:pPr>
      <w:r>
        <w:rPr>
          <w:rStyle w:val="Bodytext612pt"/>
          <w:rFonts w:eastAsiaTheme="minorHAnsi"/>
          <w:b/>
          <w:noProof/>
        </w:rPr>
        <w:t>I</w:t>
      </w:r>
      <w:r>
        <w:rPr>
          <w:rStyle w:val="Bodytext6SmallCaps"/>
          <w:rFonts w:eastAsiaTheme="minorHAnsi"/>
          <w:noProof/>
          <w:sz w:val="24"/>
        </w:rPr>
        <w:t>ntroduction</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 xml:space="preserve">Le présent rapport compile les commentaires émis par des citoyens ainsi que par des administrations, associations et autres organisations (ci-après les «parties intéressées») à propos d’une initiative de la Commission élaborée par la direction générale de </w:t>
      </w:r>
      <w:r>
        <w:rPr>
          <w:rFonts w:ascii="Times New Roman" w:hAnsi="Times New Roman"/>
          <w:noProof/>
          <w:sz w:val="24"/>
        </w:rPr>
        <w:t xml:space="preserve">la santé et de la sécurité alimentaire (DG SANTÉ), qui prend la forme d’une recommandation du Conseil relative à la coopération renforcée contre les maladies à prévention vaccinale (ci-après la «recommandation»).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citoyens et les parties intéressées on</w:t>
      </w:r>
      <w:r>
        <w:rPr>
          <w:rFonts w:ascii="Times New Roman" w:hAnsi="Times New Roman"/>
          <w:noProof/>
          <w:sz w:val="24"/>
        </w:rPr>
        <w:t>t eu quatre semaines pour donner leur avis sur la feuille de route de la Commission relative à la recommandation</w:t>
      </w:r>
      <w:r>
        <w:rPr>
          <w:rStyle w:val="FootnoteReference"/>
          <w:rFonts w:ascii="Times New Roman" w:hAnsi="Times New Roman"/>
          <w:noProof/>
          <w:sz w:val="24"/>
        </w:rPr>
        <w:footnoteReference w:id="1"/>
      </w:r>
      <w:r>
        <w:rPr>
          <w:rFonts w:ascii="Times New Roman" w:hAnsi="Times New Roman"/>
          <w:noProof/>
          <w:sz w:val="24"/>
        </w:rPr>
        <w:t>, qui a été publiée sur le portail pour une meilleure réglementation</w:t>
      </w:r>
      <w:r>
        <w:rPr>
          <w:rStyle w:val="FootnoteReference"/>
          <w:rFonts w:ascii="Times New Roman" w:hAnsi="Times New Roman"/>
          <w:noProof/>
          <w:sz w:val="24"/>
        </w:rPr>
        <w:footnoteReference w:id="2"/>
      </w:r>
      <w:r>
        <w:rPr>
          <w:rFonts w:ascii="Times New Roman" w:hAnsi="Times New Roman"/>
          <w:noProof/>
          <w:sz w:val="24"/>
        </w:rPr>
        <w:t>.</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Une consultation publique en ligne</w:t>
      </w:r>
      <w:r>
        <w:rPr>
          <w:rStyle w:val="FootnoteReference"/>
          <w:rFonts w:ascii="Times New Roman" w:hAnsi="Times New Roman"/>
          <w:noProof/>
          <w:sz w:val="24"/>
        </w:rPr>
        <w:footnoteReference w:id="3"/>
      </w:r>
      <w:r>
        <w:rPr>
          <w:rFonts w:ascii="Times New Roman" w:hAnsi="Times New Roman"/>
          <w:noProof/>
          <w:sz w:val="24"/>
        </w:rPr>
        <w:t xml:space="preserve">, disponible dans 23 langues </w:t>
      </w:r>
      <w:r>
        <w:rPr>
          <w:rFonts w:ascii="Times New Roman" w:hAnsi="Times New Roman"/>
          <w:noProof/>
          <w:sz w:val="24"/>
        </w:rPr>
        <w:t>européennes</w:t>
      </w:r>
      <w:r>
        <w:rPr>
          <w:rStyle w:val="FootnoteReference"/>
          <w:rFonts w:ascii="Times New Roman" w:hAnsi="Times New Roman"/>
          <w:noProof/>
          <w:sz w:val="24"/>
        </w:rPr>
        <w:footnoteReference w:id="4"/>
      </w:r>
      <w:r>
        <w:rPr>
          <w:rFonts w:ascii="Times New Roman" w:hAnsi="Times New Roman"/>
          <w:noProof/>
          <w:sz w:val="24"/>
        </w:rPr>
        <w:t>, a été organisée sur EU Survey du 21 décembre 2017 au 15 mars 2018. Les résultats ont été analysés au moyen du tableau de bord de consultation publique DORIS et d’une analyse qualitative.</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Par ailleurs, deux consultations ciblées ont eu lieu av</w:t>
      </w:r>
      <w:r>
        <w:rPr>
          <w:rFonts w:ascii="Times New Roman" w:hAnsi="Times New Roman"/>
          <w:noProof/>
          <w:sz w:val="24"/>
        </w:rPr>
        <w:t>ec les parties intéressées. Celles sélectionnées</w:t>
      </w:r>
      <w:r>
        <w:rPr>
          <w:rStyle w:val="FootnoteReference"/>
          <w:rFonts w:ascii="Times New Roman" w:hAnsi="Times New Roman"/>
          <w:noProof/>
          <w:sz w:val="24"/>
        </w:rPr>
        <w:footnoteReference w:id="5"/>
      </w:r>
      <w:r>
        <w:rPr>
          <w:rFonts w:ascii="Times New Roman" w:hAnsi="Times New Roman"/>
          <w:noProof/>
          <w:sz w:val="24"/>
        </w:rPr>
        <w:t xml:space="preserve"> ont été invitées à répondre à un questionnaire sur EU-Survey entre le 17 janvier et le 14 février 2018. Ce questionnaire, qui contenait des questions plus ouvertes que la consultation publique, a également </w:t>
      </w:r>
      <w:r>
        <w:rPr>
          <w:rFonts w:ascii="Times New Roman" w:hAnsi="Times New Roman"/>
          <w:noProof/>
          <w:sz w:val="24"/>
        </w:rPr>
        <w:t xml:space="preserve">été analysé au moyen de DORIS et d’une analyse qualitative.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Des réunions en face à face ont été organisées du 18 janvier au 9 février 2018 entre les parties intéressées et des groupes représentant les professionnels de la santé, les étudiants en médecine,</w:t>
      </w:r>
      <w:r>
        <w:rPr>
          <w:rFonts w:ascii="Times New Roman" w:hAnsi="Times New Roman"/>
          <w:noProof/>
          <w:sz w:val="24"/>
        </w:rPr>
        <w:t xml:space="preserve"> les organisations internationales, les organisations non gouvernementales, la société civile et l’industrie des vaccins.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 xml:space="preserve">Au total, 355 réponses ont été soumises concernant la feuille de route de la Commission, 90 % d’entre elles exprimant une réticence à </w:t>
      </w:r>
      <w:r>
        <w:rPr>
          <w:rFonts w:ascii="Times New Roman" w:hAnsi="Times New Roman"/>
          <w:noProof/>
          <w:sz w:val="24"/>
        </w:rPr>
        <w:t xml:space="preserve">la vaccination.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La consultation publique a reçu 8 894 réponses, dont 8 688 de citoyens et 206 de parties intéressées. Le 14 mars, veille de la clôture, la consultation publique a reçu près de 6 000 réponses de France (60 % du total des réponses). La plupa</w:t>
      </w:r>
      <w:r>
        <w:rPr>
          <w:rFonts w:ascii="Times New Roman" w:hAnsi="Times New Roman"/>
          <w:noProof/>
          <w:sz w:val="24"/>
        </w:rPr>
        <w:t>rt de ces répondants ont utilisé l’option «</w:t>
      </w:r>
      <w:r>
        <w:rPr>
          <w:rFonts w:ascii="Times New Roman" w:hAnsi="Times New Roman"/>
          <w:i/>
          <w:noProof/>
          <w:sz w:val="24"/>
        </w:rPr>
        <w:t>Je ne sais pas</w:t>
      </w:r>
      <w:r>
        <w:rPr>
          <w:rFonts w:ascii="Times New Roman" w:hAnsi="Times New Roman"/>
          <w:noProof/>
          <w:sz w:val="24"/>
        </w:rPr>
        <w:t>» à toutes les questions. Ces réponses peuvent être liées à un message en ligne de l’Institut pour la protection de la santé naturelle</w:t>
      </w:r>
      <w:r>
        <w:rPr>
          <w:rStyle w:val="FootnoteReference"/>
          <w:rFonts w:ascii="Times New Roman" w:hAnsi="Times New Roman"/>
          <w:i/>
          <w:noProof/>
          <w:sz w:val="24"/>
        </w:rPr>
        <w:footnoteReference w:id="6"/>
      </w:r>
      <w:r>
        <w:rPr>
          <w:rFonts w:ascii="Times New Roman" w:hAnsi="Times New Roman"/>
          <w:noProof/>
          <w:sz w:val="24"/>
        </w:rPr>
        <w:t>, selon lequel cette option était la seule réponse possible face</w:t>
      </w:r>
      <w:r>
        <w:rPr>
          <w:rFonts w:ascii="Times New Roman" w:hAnsi="Times New Roman"/>
          <w:noProof/>
          <w:sz w:val="24"/>
        </w:rPr>
        <w:t xml:space="preserve"> à la perception d’une orientation pro-vaccins du questionnaire.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33 parties intéressées ont répondu à la consultation ciblée en ligne et 20 ont participé aux réunions en face à face.</w:t>
      </w:r>
    </w:p>
    <w:p w:rsidR="00696AA6" w:rsidRDefault="00155027">
      <w:pPr>
        <w:pStyle w:val="Bodytext20"/>
        <w:shd w:val="clear" w:color="auto" w:fill="auto"/>
        <w:spacing w:after="120"/>
        <w:ind w:firstLine="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lastRenderedPageBreak/>
        <w:t xml:space="preserve">Au total, 33 participants (14 citoyens et 19 parties intéressées) ont </w:t>
      </w:r>
      <w:r>
        <w:rPr>
          <w:rFonts w:ascii="Times New Roman" w:hAnsi="Times New Roman"/>
          <w:noProof/>
          <w:color w:val="000000"/>
          <w:sz w:val="24"/>
        </w:rPr>
        <w:t>téléchargé les documents PDF complémentaires à la feuille de route et 3 parties intéressées ont fait de même pour la consultation publique. Ces documents complémentaires seront pris en considération lors de l’analyse.</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13 avis concernant la feuille de route</w:t>
      </w:r>
      <w:r>
        <w:rPr>
          <w:rFonts w:ascii="Times New Roman" w:hAnsi="Times New Roman"/>
          <w:noProof/>
          <w:sz w:val="24"/>
        </w:rPr>
        <w:t xml:space="preserve"> et 127 réponses à la consultation publique ont été ignorés pour cause de doublon, d’anonymat, de non-pertinence ou de langage inapproprié.</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Plus de 25 % des parties intéressées étaient des ONG, les suivantes étant des administrations de la santé et des ass</w:t>
      </w:r>
      <w:r>
        <w:rPr>
          <w:rFonts w:ascii="Times New Roman" w:hAnsi="Times New Roman"/>
          <w:noProof/>
          <w:sz w:val="24"/>
        </w:rPr>
        <w:t xml:space="preserve">ociations professionnelles. En ce qui concerne les citoyens, 8 769 d’entre eux venaient de l’UE, en grande partie de France (78,3 %), puis d’Italie (4,4 %) et de Belgique (3,9 %). 200 réponses provenaient de pays extérieurs à l’UE. </w:t>
      </w:r>
    </w:p>
    <w:p w:rsidR="00696AA6" w:rsidRDefault="00155027">
      <w:pPr>
        <w:pStyle w:val="Bodytext20"/>
        <w:shd w:val="clear" w:color="auto" w:fill="auto"/>
        <w:spacing w:after="120"/>
        <w:ind w:firstLine="0"/>
        <w:jc w:val="both"/>
        <w:rPr>
          <w:noProof/>
          <w:sz w:val="24"/>
          <w:szCs w:val="24"/>
        </w:rPr>
      </w:pPr>
      <w:r>
        <w:rPr>
          <w:rFonts w:ascii="Times New Roman" w:hAnsi="Times New Roman"/>
          <w:noProof/>
          <w:sz w:val="24"/>
        </w:rPr>
        <w:t>Le présent rapport synt</w:t>
      </w:r>
      <w:r>
        <w:rPr>
          <w:rFonts w:ascii="Times New Roman" w:hAnsi="Times New Roman"/>
          <w:noProof/>
          <w:sz w:val="24"/>
        </w:rPr>
        <w:t>hétise toutes les réponses reçues lors des quatre consultations. Elles sont regroupées selon les trois grands piliers de l’initiative: 1) lutte contre les réticences à la vaccination; 2) politiques de vaccination durables dans l’UE; et 3) coordination à l’</w:t>
      </w:r>
      <w:r>
        <w:rPr>
          <w:rFonts w:ascii="Times New Roman" w:hAnsi="Times New Roman"/>
          <w:noProof/>
          <w:sz w:val="24"/>
        </w:rPr>
        <w:t xml:space="preserve">échelle de l’UE, y compris la promotion du dialogue entre les parties intéressées et la contribution à la santé dans le monde. </w:t>
      </w:r>
    </w:p>
    <w:p w:rsidR="00696AA6" w:rsidRDefault="00155027">
      <w:pPr>
        <w:pStyle w:val="Heading1"/>
        <w:keepNext/>
        <w:numPr>
          <w:ilvl w:val="0"/>
          <w:numId w:val="11"/>
        </w:numPr>
        <w:rPr>
          <w:rStyle w:val="Bodytext6SmallCaps"/>
          <w:noProof/>
          <w:sz w:val="24"/>
          <w:szCs w:val="24"/>
        </w:rPr>
      </w:pPr>
      <w:bookmarkStart w:id="2" w:name="_Toc508264156"/>
      <w:r>
        <w:rPr>
          <w:rStyle w:val="Bodytext6SmallCaps"/>
          <w:noProof/>
          <w:sz w:val="24"/>
        </w:rPr>
        <w:t>Pilier I: lutte contre les réticences à la vaccination</w:t>
      </w:r>
      <w:bookmarkEnd w:id="2"/>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Plus de 50 % des participants à la consultation publique ont estimé que l</w:t>
      </w:r>
      <w:r>
        <w:rPr>
          <w:rFonts w:ascii="Times New Roman" w:hAnsi="Times New Roman"/>
          <w:noProof/>
          <w:sz w:val="24"/>
        </w:rPr>
        <w:t>a crainte des effets secondaires, le manque d’informations sur les risques, l’instauration de la vaccination obligatoire et les niveaux de confiance dans l’efficacité des vaccins avaient l’incidence la plus forte sur la réticence à la vaccination.</w:t>
      </w:r>
    </w:p>
    <w:p w:rsidR="00696AA6" w:rsidRDefault="00155027">
      <w:pPr>
        <w:pStyle w:val="Heading1"/>
        <w:keepNext/>
        <w:numPr>
          <w:ilvl w:val="1"/>
          <w:numId w:val="11"/>
        </w:numPr>
        <w:rPr>
          <w:rStyle w:val="Bodytext6SmallCaps"/>
          <w:b/>
          <w:bCs/>
          <w:noProof/>
          <w:sz w:val="24"/>
          <w:szCs w:val="24"/>
        </w:rPr>
      </w:pPr>
      <w:r>
        <w:rPr>
          <w:rStyle w:val="Bodytext6SmallCaps"/>
          <w:noProof/>
          <w:sz w:val="24"/>
        </w:rPr>
        <w:t>Une meil</w:t>
      </w:r>
      <w:r>
        <w:rPr>
          <w:rStyle w:val="Bodytext6SmallCaps"/>
          <w:noProof/>
          <w:sz w:val="24"/>
        </w:rPr>
        <w:t>leure communication sur la sécurité et l’efficacité des vaccins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participants ont insisté sur la nécessité d’une interaction en face à face au niveau local, notamment:</w:t>
      </w:r>
    </w:p>
    <w:p w:rsidR="00696AA6" w:rsidRDefault="00155027">
      <w:pPr>
        <w:pStyle w:val="ListParagraph"/>
        <w:numPr>
          <w:ilvl w:val="0"/>
          <w:numId w:val="13"/>
        </w:numPr>
        <w:spacing w:after="160" w:line="259" w:lineRule="auto"/>
        <w:jc w:val="both"/>
        <w:rPr>
          <w:noProof/>
        </w:rPr>
      </w:pPr>
      <w:r>
        <w:rPr>
          <w:noProof/>
        </w:rPr>
        <w:t>l’adoption d’une approche centrée sur les patients dans le dialogue avec les professi</w:t>
      </w:r>
      <w:r>
        <w:rPr>
          <w:noProof/>
        </w:rPr>
        <w:t>onnels de la santé;</w:t>
      </w:r>
    </w:p>
    <w:p w:rsidR="00696AA6" w:rsidRDefault="00155027">
      <w:pPr>
        <w:pStyle w:val="ListParagraph"/>
        <w:numPr>
          <w:ilvl w:val="0"/>
          <w:numId w:val="13"/>
        </w:numPr>
        <w:spacing w:after="160" w:line="259" w:lineRule="auto"/>
        <w:jc w:val="both"/>
        <w:rPr>
          <w:noProof/>
        </w:rPr>
      </w:pPr>
      <w:r>
        <w:rPr>
          <w:noProof/>
        </w:rPr>
        <w:t>le développement de programmes et d’événements de sensibilisation locaux;</w:t>
      </w:r>
    </w:p>
    <w:p w:rsidR="00696AA6" w:rsidRDefault="00155027">
      <w:pPr>
        <w:pStyle w:val="ListParagraph"/>
        <w:numPr>
          <w:ilvl w:val="0"/>
          <w:numId w:val="13"/>
        </w:numPr>
        <w:spacing w:after="160" w:line="259" w:lineRule="auto"/>
        <w:jc w:val="both"/>
        <w:rPr>
          <w:noProof/>
        </w:rPr>
      </w:pPr>
      <w:r>
        <w:rPr>
          <w:noProof/>
        </w:rPr>
        <w:t>une communication directe avec les parents, notamment pendant les cours de préparation à l’accouchement;</w:t>
      </w:r>
    </w:p>
    <w:p w:rsidR="00696AA6" w:rsidRDefault="00155027">
      <w:pPr>
        <w:pStyle w:val="ListParagraph"/>
        <w:numPr>
          <w:ilvl w:val="0"/>
          <w:numId w:val="13"/>
        </w:numPr>
        <w:spacing w:after="160" w:line="259" w:lineRule="auto"/>
        <w:jc w:val="both"/>
        <w:rPr>
          <w:noProof/>
        </w:rPr>
      </w:pPr>
      <w:r>
        <w:rPr>
          <w:noProof/>
        </w:rPr>
        <w:t>l’introduction de médiateurs de confiance dans les groupe</w:t>
      </w:r>
      <w:r>
        <w:rPr>
          <w:noProof/>
        </w:rPr>
        <w:t>s vulnérables (par exemple, les communautés de Roms et les réfugiés);</w:t>
      </w:r>
    </w:p>
    <w:p w:rsidR="00696AA6" w:rsidRDefault="00155027">
      <w:pPr>
        <w:pStyle w:val="ListParagraph"/>
        <w:numPr>
          <w:ilvl w:val="0"/>
          <w:numId w:val="13"/>
        </w:numPr>
        <w:spacing w:after="160" w:line="259" w:lineRule="auto"/>
        <w:jc w:val="both"/>
        <w:rPr>
          <w:noProof/>
        </w:rPr>
      </w:pPr>
      <w:r>
        <w:rPr>
          <w:noProof/>
        </w:rPr>
        <w:t>l’amélioration de la compréhension des études sur la sécurité des vaccins (par exemple, des graphiques, des vidéos et des brochures);</w:t>
      </w:r>
    </w:p>
    <w:p w:rsidR="00696AA6" w:rsidRDefault="00155027">
      <w:pPr>
        <w:pStyle w:val="ListParagraph"/>
        <w:numPr>
          <w:ilvl w:val="0"/>
          <w:numId w:val="13"/>
        </w:numPr>
        <w:spacing w:after="160" w:line="259" w:lineRule="auto"/>
        <w:jc w:val="both"/>
        <w:rPr>
          <w:noProof/>
        </w:rPr>
      </w:pPr>
      <w:r>
        <w:rPr>
          <w:noProof/>
        </w:rPr>
        <w:t>l’ouverture du débat pour obtenir un équilibre entre</w:t>
      </w:r>
      <w:r>
        <w:rPr>
          <w:noProof/>
        </w:rPr>
        <w:t xml:space="preserve"> bénéfices et risques de la part des défenseurs et des opposants; et</w:t>
      </w:r>
    </w:p>
    <w:p w:rsidR="00696AA6" w:rsidRDefault="00155027">
      <w:pPr>
        <w:pStyle w:val="ListParagraph"/>
        <w:numPr>
          <w:ilvl w:val="0"/>
          <w:numId w:val="13"/>
        </w:numPr>
        <w:spacing w:after="160" w:line="259" w:lineRule="auto"/>
        <w:jc w:val="both"/>
        <w:rPr>
          <w:noProof/>
        </w:rPr>
      </w:pPr>
      <w:r>
        <w:rPr>
          <w:noProof/>
        </w:rPr>
        <w:t>la vérification des faits relatifs aux fausses informations et aux conflits d’intérêt de manière proactive.</w:t>
      </w:r>
    </w:p>
    <w:p w:rsidR="00696AA6" w:rsidRDefault="00155027">
      <w:pPr>
        <w:pStyle w:val="Bodytext20"/>
        <w:shd w:val="clear" w:color="auto" w:fill="auto"/>
        <w:spacing w:after="120"/>
        <w:ind w:firstLine="0"/>
        <w:jc w:val="both"/>
        <w:rPr>
          <w:noProof/>
        </w:rPr>
      </w:pPr>
      <w:r>
        <w:rPr>
          <w:rFonts w:ascii="Times New Roman" w:hAnsi="Times New Roman"/>
          <w:noProof/>
          <w:sz w:val="24"/>
        </w:rPr>
        <w:t>Les avis sur la feuille de route ont également permis un meilleur accès aux inf</w:t>
      </w:r>
      <w:r>
        <w:rPr>
          <w:rFonts w:ascii="Times New Roman" w:hAnsi="Times New Roman"/>
          <w:noProof/>
          <w:sz w:val="24"/>
        </w:rPr>
        <w:t>ormations. La formation sur le lieu de travail et à l’université a été quasi unanimement reconnue</w:t>
      </w:r>
      <w:r>
        <w:rPr>
          <w:rStyle w:val="FootnoteReference"/>
          <w:rFonts w:ascii="Times New Roman" w:hAnsi="Times New Roman"/>
          <w:noProof/>
          <w:sz w:val="24"/>
        </w:rPr>
        <w:footnoteReference w:id="7"/>
      </w:r>
      <w:r>
        <w:rPr>
          <w:rFonts w:ascii="Times New Roman" w:hAnsi="Times New Roman"/>
          <w:noProof/>
          <w:sz w:val="24"/>
        </w:rPr>
        <w:t xml:space="preserve"> comme la méthode la plus efficace pour communiquer avec les travailleurs dans le domaine de la santé.</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En ce qui concerne la communication de l’Union sur la s</w:t>
      </w:r>
      <w:r>
        <w:rPr>
          <w:rFonts w:ascii="Times New Roman" w:hAnsi="Times New Roman"/>
          <w:noProof/>
          <w:sz w:val="24"/>
        </w:rPr>
        <w:t>écurité et l’efficacité des vaccins, plus de 60 % des citoyens</w:t>
      </w:r>
      <w:r>
        <w:rPr>
          <w:rStyle w:val="FootnoteReference"/>
          <w:rFonts w:ascii="Times New Roman" w:hAnsi="Times New Roman"/>
          <w:noProof/>
          <w:sz w:val="24"/>
        </w:rPr>
        <w:footnoteReference w:id="8"/>
      </w:r>
      <w:r>
        <w:rPr>
          <w:rFonts w:ascii="Times New Roman" w:hAnsi="Times New Roman"/>
          <w:noProof/>
          <w:sz w:val="24"/>
        </w:rPr>
        <w:t xml:space="preserve"> et des parties intéressées estiment qu’elle est inadéquate. Les professionnels de la santé ont fait remarquer que</w:t>
      </w:r>
      <w:r>
        <w:rPr>
          <w:rStyle w:val="FootnoteReference"/>
          <w:rFonts w:ascii="Times New Roman" w:hAnsi="Times New Roman"/>
          <w:noProof/>
          <w:sz w:val="24"/>
        </w:rPr>
        <w:footnoteReference w:id="9"/>
      </w:r>
      <w:r>
        <w:rPr>
          <w:rFonts w:ascii="Times New Roman" w:hAnsi="Times New Roman"/>
          <w:noProof/>
          <w:sz w:val="24"/>
        </w:rPr>
        <w:t>:</w:t>
      </w:r>
    </w:p>
    <w:p w:rsidR="00696AA6" w:rsidRDefault="00155027">
      <w:pPr>
        <w:pStyle w:val="ListParagraph"/>
        <w:numPr>
          <w:ilvl w:val="0"/>
          <w:numId w:val="14"/>
        </w:numPr>
        <w:spacing w:after="160" w:line="259" w:lineRule="auto"/>
        <w:jc w:val="both"/>
        <w:rPr>
          <w:noProof/>
        </w:rPr>
      </w:pPr>
      <w:r>
        <w:rPr>
          <w:noProof/>
        </w:rPr>
        <w:t xml:space="preserve">les données en ligne de l’Agence européenne des médicaments (EMA) et du </w:t>
      </w:r>
      <w:r>
        <w:rPr>
          <w:noProof/>
        </w:rPr>
        <w:t>Centre européen de contrôle des maladies (ECDC) sont fragmentées et insuffisamment diffusées et accessibles;</w:t>
      </w:r>
    </w:p>
    <w:p w:rsidR="00696AA6" w:rsidRDefault="00155027">
      <w:pPr>
        <w:pStyle w:val="ListParagraph"/>
        <w:numPr>
          <w:ilvl w:val="0"/>
          <w:numId w:val="14"/>
        </w:numPr>
        <w:spacing w:after="160" w:line="259" w:lineRule="auto"/>
        <w:jc w:val="both"/>
        <w:rPr>
          <w:noProof/>
        </w:rPr>
      </w:pPr>
      <w:r>
        <w:rPr>
          <w:noProof/>
        </w:rPr>
        <w:t xml:space="preserve">les informations mises à jour sur une plateforme unique devraient l’être par l’ECDC (comme les centres américains de contrôle et de prévention des </w:t>
      </w:r>
      <w:r>
        <w:rPr>
          <w:noProof/>
        </w:rPr>
        <w:t>maladies);</w:t>
      </w:r>
    </w:p>
    <w:p w:rsidR="00696AA6" w:rsidRDefault="00155027">
      <w:pPr>
        <w:pStyle w:val="ListParagraph"/>
        <w:numPr>
          <w:ilvl w:val="0"/>
          <w:numId w:val="14"/>
        </w:numPr>
        <w:spacing w:after="160" w:line="259" w:lineRule="auto"/>
        <w:jc w:val="both"/>
        <w:rPr>
          <w:noProof/>
        </w:rPr>
      </w:pPr>
      <w:r>
        <w:rPr>
          <w:noProof/>
        </w:rPr>
        <w:t>l’Union devrait encourager des sites web nationaux sur la réticence à la vaccination; l’Union devrait promouvoir une campagne interactive sur la vaccination.</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 xml:space="preserve">D’après les avis sur la feuille de route, la Commission devrait améliorer son </w:t>
      </w:r>
      <w:r>
        <w:rPr>
          <w:rFonts w:ascii="Times New Roman" w:hAnsi="Times New Roman"/>
          <w:noProof/>
          <w:sz w:val="24"/>
        </w:rPr>
        <w:t>engagement auprès des groupes réticents à la vaccination.</w:t>
      </w:r>
    </w:p>
    <w:p w:rsidR="00696AA6" w:rsidRDefault="00155027">
      <w:pPr>
        <w:pStyle w:val="Heading1"/>
        <w:keepNext/>
        <w:numPr>
          <w:ilvl w:val="1"/>
          <w:numId w:val="11"/>
        </w:numPr>
        <w:rPr>
          <w:smallCaps/>
          <w:noProof/>
          <w:color w:val="000000"/>
          <w:sz w:val="24"/>
          <w:szCs w:val="24"/>
        </w:rPr>
      </w:pPr>
      <w:r>
        <w:rPr>
          <w:rStyle w:val="Bodytext6SmallCaps"/>
          <w:noProof/>
          <w:sz w:val="24"/>
        </w:rPr>
        <w:t>Une meilleure coopération entre les acteurs pour lutter contre la réticence à la vaccination</w:t>
      </w:r>
    </w:p>
    <w:p w:rsidR="00696AA6" w:rsidRDefault="00155027">
      <w:pPr>
        <w:pStyle w:val="Bodytext60"/>
        <w:shd w:val="clear" w:color="auto" w:fill="auto"/>
        <w:tabs>
          <w:tab w:val="left" w:pos="346"/>
        </w:tabs>
        <w:spacing w:before="0" w:after="114"/>
        <w:rPr>
          <w:rFonts w:ascii="Times New Roman" w:hAnsi="Times New Roman" w:cs="Times New Roman"/>
          <w:b w:val="0"/>
          <w:bCs w:val="0"/>
          <w:noProof/>
          <w:sz w:val="24"/>
          <w:szCs w:val="24"/>
        </w:rPr>
      </w:pPr>
      <w:r>
        <w:rPr>
          <w:rFonts w:ascii="Times New Roman" w:hAnsi="Times New Roman"/>
          <w:b w:val="0"/>
          <w:noProof/>
          <w:sz w:val="24"/>
        </w:rPr>
        <w:t>Les participants</w:t>
      </w:r>
      <w:r>
        <w:rPr>
          <w:rStyle w:val="FootnoteReference"/>
          <w:rFonts w:ascii="Times New Roman" w:hAnsi="Times New Roman"/>
          <w:b w:val="0"/>
          <w:noProof/>
          <w:sz w:val="24"/>
        </w:rPr>
        <w:footnoteReference w:id="10"/>
      </w:r>
      <w:r>
        <w:rPr>
          <w:rFonts w:ascii="Times New Roman" w:hAnsi="Times New Roman"/>
          <w:b w:val="0"/>
          <w:noProof/>
          <w:sz w:val="24"/>
        </w:rPr>
        <w:t xml:space="preserve"> ont suggéré de promouvoir les vaccinations recommandées et d’apporter les preuves scien</w:t>
      </w:r>
      <w:r>
        <w:rPr>
          <w:rFonts w:ascii="Times New Roman" w:hAnsi="Times New Roman"/>
          <w:b w:val="0"/>
          <w:noProof/>
          <w:sz w:val="24"/>
        </w:rPr>
        <w:t xml:space="preserve">tifiques de ces recommandations.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D’autres suggestions étaient axées sur l’éducation du public:</w:t>
      </w:r>
    </w:p>
    <w:p w:rsidR="00696AA6" w:rsidRDefault="00155027">
      <w:pPr>
        <w:pStyle w:val="ListParagraph"/>
        <w:numPr>
          <w:ilvl w:val="0"/>
          <w:numId w:val="14"/>
        </w:numPr>
        <w:spacing w:after="160" w:line="259" w:lineRule="auto"/>
        <w:jc w:val="both"/>
        <w:rPr>
          <w:noProof/>
        </w:rPr>
      </w:pPr>
      <w:r>
        <w:rPr>
          <w:noProof/>
        </w:rPr>
        <w:t>distinguer les vaccins indispensables (par exemple, contre la polio) des vaccins volontaires (par exemple, contre la grippe);</w:t>
      </w:r>
    </w:p>
    <w:p w:rsidR="00696AA6" w:rsidRDefault="00155027">
      <w:pPr>
        <w:pStyle w:val="ListParagraph"/>
        <w:numPr>
          <w:ilvl w:val="0"/>
          <w:numId w:val="14"/>
        </w:numPr>
        <w:spacing w:after="160" w:line="259" w:lineRule="auto"/>
        <w:jc w:val="both"/>
        <w:rPr>
          <w:noProof/>
        </w:rPr>
      </w:pPr>
      <w:r>
        <w:rPr>
          <w:noProof/>
        </w:rPr>
        <w:t>associer les femmes, en tant que p</w:t>
      </w:r>
      <w:r>
        <w:rPr>
          <w:noProof/>
        </w:rPr>
        <w:t>rincipales personnes en charge des enfants et des personnes âgées, et les célébrités à la défense de la vaccination;</w:t>
      </w:r>
    </w:p>
    <w:p w:rsidR="00696AA6" w:rsidRDefault="00155027">
      <w:pPr>
        <w:pStyle w:val="ListParagraph"/>
        <w:numPr>
          <w:ilvl w:val="0"/>
          <w:numId w:val="14"/>
        </w:numPr>
        <w:spacing w:after="160" w:line="259" w:lineRule="auto"/>
        <w:jc w:val="both"/>
        <w:rPr>
          <w:noProof/>
        </w:rPr>
      </w:pPr>
      <w:r>
        <w:rPr>
          <w:noProof/>
        </w:rPr>
        <w:t>afficher des images des maladies à prévention vaccinale, sur le modèle des paquets de cigarettes; et</w:t>
      </w:r>
    </w:p>
    <w:p w:rsidR="00696AA6" w:rsidRDefault="00155027">
      <w:pPr>
        <w:pStyle w:val="ListParagraph"/>
        <w:numPr>
          <w:ilvl w:val="0"/>
          <w:numId w:val="14"/>
        </w:numPr>
        <w:spacing w:after="160" w:line="259" w:lineRule="auto"/>
        <w:jc w:val="both"/>
        <w:rPr>
          <w:noProof/>
        </w:rPr>
      </w:pPr>
      <w:r>
        <w:rPr>
          <w:noProof/>
        </w:rPr>
        <w:t>sensibiliser à l’immunité collective e</w:t>
      </w:r>
      <w:r>
        <w:rPr>
          <w:noProof/>
        </w:rPr>
        <w:t>t à la responsabilité individuelle.</w:t>
      </w:r>
    </w:p>
    <w:p w:rsidR="00696AA6" w:rsidRDefault="00155027">
      <w:pPr>
        <w:pStyle w:val="Bodytext60"/>
        <w:shd w:val="clear" w:color="auto" w:fill="auto"/>
        <w:tabs>
          <w:tab w:val="left" w:pos="346"/>
        </w:tabs>
        <w:spacing w:before="0" w:after="114"/>
        <w:rPr>
          <w:rFonts w:ascii="Times New Roman" w:hAnsi="Times New Roman" w:cs="Times New Roman"/>
          <w:b w:val="0"/>
          <w:bCs w:val="0"/>
          <w:noProof/>
          <w:sz w:val="24"/>
          <w:szCs w:val="24"/>
        </w:rPr>
      </w:pPr>
      <w:r>
        <w:rPr>
          <w:rFonts w:ascii="Times New Roman" w:hAnsi="Times New Roman"/>
          <w:b w:val="0"/>
          <w:noProof/>
          <w:sz w:val="24"/>
        </w:rPr>
        <w:t>Les parties intéressées</w:t>
      </w:r>
      <w:r>
        <w:rPr>
          <w:rStyle w:val="FootnoteReference"/>
          <w:rFonts w:ascii="Times New Roman" w:hAnsi="Times New Roman"/>
          <w:b w:val="0"/>
          <w:noProof/>
          <w:sz w:val="24"/>
        </w:rPr>
        <w:footnoteReference w:id="11"/>
      </w:r>
      <w:r>
        <w:rPr>
          <w:rFonts w:ascii="Times New Roman" w:hAnsi="Times New Roman"/>
          <w:b w:val="0"/>
          <w:noProof/>
          <w:sz w:val="24"/>
        </w:rPr>
        <w:t xml:space="preserve"> ont également insisté sur le rôle de l’industrie des vaccins dans:</w:t>
      </w:r>
    </w:p>
    <w:p w:rsidR="00696AA6" w:rsidRDefault="00155027">
      <w:pPr>
        <w:pStyle w:val="ListParagraph"/>
        <w:numPr>
          <w:ilvl w:val="0"/>
          <w:numId w:val="14"/>
        </w:numPr>
        <w:spacing w:after="160" w:line="259" w:lineRule="auto"/>
        <w:jc w:val="both"/>
        <w:rPr>
          <w:noProof/>
        </w:rPr>
      </w:pPr>
      <w:r>
        <w:rPr>
          <w:noProof/>
        </w:rPr>
        <w:t>la fourniture d’informations transparentes sur les vaccins, les prix et les composants;</w:t>
      </w:r>
    </w:p>
    <w:p w:rsidR="00696AA6" w:rsidRDefault="00155027">
      <w:pPr>
        <w:pStyle w:val="ListParagraph"/>
        <w:numPr>
          <w:ilvl w:val="0"/>
          <w:numId w:val="14"/>
        </w:numPr>
        <w:spacing w:after="160" w:line="259" w:lineRule="auto"/>
        <w:jc w:val="both"/>
        <w:rPr>
          <w:noProof/>
        </w:rPr>
      </w:pPr>
      <w:r>
        <w:rPr>
          <w:noProof/>
        </w:rPr>
        <w:t>la priorité donnée à la santé publique s</w:t>
      </w:r>
      <w:r>
        <w:rPr>
          <w:noProof/>
        </w:rPr>
        <w:t>ur les bénéfices commerciaux; et</w:t>
      </w:r>
    </w:p>
    <w:p w:rsidR="00696AA6" w:rsidRDefault="00155027">
      <w:pPr>
        <w:pStyle w:val="ListParagraph"/>
        <w:numPr>
          <w:ilvl w:val="0"/>
          <w:numId w:val="14"/>
        </w:numPr>
        <w:spacing w:after="160" w:line="259" w:lineRule="auto"/>
        <w:jc w:val="both"/>
        <w:rPr>
          <w:noProof/>
        </w:rPr>
      </w:pPr>
      <w:r>
        <w:rPr>
          <w:noProof/>
        </w:rPr>
        <w:t>l’amélioration de la qualité et de l’offre des vaccins en augmentant la R &amp; D.</w:t>
      </w:r>
    </w:p>
    <w:p w:rsidR="00696AA6" w:rsidRDefault="00155027">
      <w:pPr>
        <w:pStyle w:val="Heading1"/>
        <w:keepNext/>
        <w:numPr>
          <w:ilvl w:val="1"/>
          <w:numId w:val="11"/>
        </w:numPr>
        <w:rPr>
          <w:rStyle w:val="Bodytext6SmallCaps"/>
          <w:b/>
          <w:bCs/>
          <w:noProof/>
          <w:sz w:val="24"/>
          <w:szCs w:val="24"/>
        </w:rPr>
      </w:pPr>
      <w:r>
        <w:rPr>
          <w:rStyle w:val="Bodytext6SmallCaps"/>
          <w:noProof/>
          <w:sz w:val="24"/>
        </w:rPr>
        <w:t>Un meilleur soutien aux professionnels de la santé</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 xml:space="preserve">Pour 81,33 % des citoyens, les professionnels de la santé devraient être mieux soutenus dans </w:t>
      </w:r>
      <w:r>
        <w:rPr>
          <w:rFonts w:ascii="Times New Roman" w:hAnsi="Times New Roman"/>
          <w:noProof/>
          <w:sz w:val="24"/>
        </w:rPr>
        <w:t xml:space="preserve">la promotion de la vaccination et recevoir du matériel d’information du public.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parties intéressées</w:t>
      </w:r>
      <w:r>
        <w:rPr>
          <w:rStyle w:val="FootnoteReference"/>
          <w:rFonts w:ascii="Times New Roman" w:hAnsi="Times New Roman"/>
          <w:noProof/>
          <w:sz w:val="24"/>
        </w:rPr>
        <w:footnoteReference w:id="12"/>
      </w:r>
      <w:r>
        <w:rPr>
          <w:rFonts w:ascii="Times New Roman" w:hAnsi="Times New Roman"/>
          <w:noProof/>
          <w:sz w:val="24"/>
        </w:rPr>
        <w:t xml:space="preserve"> estiment que l’Union devrait soutenir les professionnels de la santé au travers d’une formation à la communication (82 %), d’informations en ligne (79</w:t>
      </w:r>
      <w:r>
        <w:rPr>
          <w:rFonts w:ascii="Times New Roman" w:hAnsi="Times New Roman"/>
          <w:noProof/>
          <w:sz w:val="24"/>
        </w:rPr>
        <w:t> %), de documents scientifiques (70 %) et de l’élaboration de campagnes européennes sur la vaccination (66 %). Elles ont également suggéré de:</w:t>
      </w:r>
    </w:p>
    <w:p w:rsidR="00696AA6" w:rsidRDefault="00155027">
      <w:pPr>
        <w:pStyle w:val="ListParagraph"/>
        <w:numPr>
          <w:ilvl w:val="0"/>
          <w:numId w:val="14"/>
        </w:numPr>
        <w:spacing w:after="160" w:line="259" w:lineRule="auto"/>
        <w:jc w:val="both"/>
        <w:rPr>
          <w:noProof/>
        </w:rPr>
      </w:pPr>
      <w:r>
        <w:rPr>
          <w:noProof/>
        </w:rPr>
        <w:t>définir des obligations fermes (par exemple, la vaccination obligatoire des groupes à risque élevé);</w:t>
      </w:r>
    </w:p>
    <w:p w:rsidR="00696AA6" w:rsidRDefault="00155027">
      <w:pPr>
        <w:pStyle w:val="ListParagraph"/>
        <w:numPr>
          <w:ilvl w:val="0"/>
          <w:numId w:val="14"/>
        </w:numPr>
        <w:spacing w:after="160" w:line="259" w:lineRule="auto"/>
        <w:jc w:val="both"/>
        <w:rPr>
          <w:noProof/>
        </w:rPr>
      </w:pPr>
      <w:r>
        <w:rPr>
          <w:noProof/>
        </w:rPr>
        <w:t>veiller à ce</w:t>
      </w:r>
      <w:r>
        <w:rPr>
          <w:noProof/>
        </w:rPr>
        <w:t xml:space="preserve"> que tous les professionnels de la santé reçoivent eux-mêmes une vaccination pertinente;</w:t>
      </w:r>
    </w:p>
    <w:p w:rsidR="00696AA6" w:rsidRDefault="00155027">
      <w:pPr>
        <w:pStyle w:val="ListParagraph"/>
        <w:numPr>
          <w:ilvl w:val="0"/>
          <w:numId w:val="14"/>
        </w:numPr>
        <w:spacing w:after="160" w:line="259" w:lineRule="auto"/>
        <w:jc w:val="both"/>
        <w:rPr>
          <w:noProof/>
        </w:rPr>
      </w:pPr>
      <w:r>
        <w:rPr>
          <w:noProof/>
        </w:rPr>
        <w:t>améliorer les horaires de travail pour accroître la communication avec les patients;</w:t>
      </w:r>
    </w:p>
    <w:p w:rsidR="00696AA6" w:rsidRDefault="00155027">
      <w:pPr>
        <w:pStyle w:val="ListParagraph"/>
        <w:numPr>
          <w:ilvl w:val="0"/>
          <w:numId w:val="14"/>
        </w:numPr>
        <w:spacing w:after="160" w:line="259" w:lineRule="auto"/>
        <w:jc w:val="both"/>
        <w:rPr>
          <w:noProof/>
        </w:rPr>
      </w:pPr>
      <w:r>
        <w:rPr>
          <w:noProof/>
        </w:rPr>
        <w:t>accroître les normes d’éducation; et</w:t>
      </w:r>
    </w:p>
    <w:p w:rsidR="00696AA6" w:rsidRDefault="00155027">
      <w:pPr>
        <w:pStyle w:val="ListParagraph"/>
        <w:numPr>
          <w:ilvl w:val="0"/>
          <w:numId w:val="14"/>
        </w:numPr>
        <w:spacing w:after="160" w:line="259" w:lineRule="auto"/>
        <w:jc w:val="both"/>
        <w:rPr>
          <w:noProof/>
        </w:rPr>
      </w:pPr>
      <w:r>
        <w:rPr>
          <w:noProof/>
        </w:rPr>
        <w:t xml:space="preserve">créer des recommandations européennes </w:t>
      </w:r>
      <w:r>
        <w:rPr>
          <w:noProof/>
        </w:rPr>
        <w:t>communes, assorties d’amendes en cas de violation des règles.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Selon les parties intéressées qui ont participé à la consultation ciblée, il est nécessaire de promouvoir la formation continue des pharmaciens en matière de vaccination. Les personnes ayant donné leur avis sur la feuille de route ont soutenu l’amélioratio</w:t>
      </w:r>
      <w:r>
        <w:rPr>
          <w:rFonts w:ascii="Times New Roman" w:hAnsi="Times New Roman"/>
          <w:noProof/>
          <w:sz w:val="24"/>
        </w:rPr>
        <w:t xml:space="preserve">n des programmes d’éducation et de la promotion de la santé au travers d’outils numériques. </w:t>
      </w:r>
    </w:p>
    <w:p w:rsidR="00696AA6" w:rsidRDefault="00696AA6">
      <w:pPr>
        <w:pStyle w:val="Bodytext20"/>
        <w:shd w:val="clear" w:color="auto" w:fill="auto"/>
        <w:spacing w:after="120"/>
        <w:ind w:firstLine="0"/>
        <w:jc w:val="both"/>
        <w:rPr>
          <w:rStyle w:val="Bodytext6SmallCaps"/>
          <w:rFonts w:eastAsiaTheme="minorHAnsi"/>
          <w:b w:val="0"/>
          <w:bCs w:val="0"/>
          <w:noProof/>
          <w:sz w:val="24"/>
          <w:szCs w:val="24"/>
        </w:rPr>
      </w:pPr>
    </w:p>
    <w:p w:rsidR="00696AA6" w:rsidRDefault="00155027">
      <w:pPr>
        <w:pStyle w:val="Bodytext20"/>
        <w:keepNext/>
        <w:widowControl/>
        <w:shd w:val="clear" w:color="auto" w:fill="auto"/>
        <w:spacing w:after="120"/>
        <w:ind w:firstLine="0"/>
        <w:jc w:val="both"/>
        <w:rPr>
          <w:rStyle w:val="Bodytext6SmallCaps"/>
          <w:rFonts w:eastAsiaTheme="minorHAnsi"/>
          <w:noProof/>
          <w:sz w:val="24"/>
          <w:szCs w:val="24"/>
        </w:rPr>
      </w:pPr>
      <w:r>
        <w:rPr>
          <w:rStyle w:val="Bodytext6SmallCaps"/>
          <w:rFonts w:eastAsiaTheme="minorHAnsi"/>
          <w:noProof/>
          <w:sz w:val="24"/>
        </w:rPr>
        <w:t>Pilier II: politiques de vaccination durables dans l’Union européenne</w:t>
      </w:r>
    </w:p>
    <w:p w:rsidR="00696AA6" w:rsidRDefault="00155027">
      <w:pPr>
        <w:pStyle w:val="Bodytext20"/>
        <w:shd w:val="clear" w:color="auto" w:fill="auto"/>
        <w:spacing w:after="120"/>
        <w:ind w:firstLine="0"/>
        <w:jc w:val="both"/>
        <w:rPr>
          <w:noProof/>
        </w:rPr>
      </w:pPr>
      <w:r>
        <w:rPr>
          <w:rFonts w:ascii="Times New Roman" w:hAnsi="Times New Roman"/>
          <w:noProof/>
          <w:sz w:val="24"/>
        </w:rPr>
        <w:t>Pour surmonter les différences nationales en matière de durabilité des programmes de vaccina</w:t>
      </w:r>
      <w:r>
        <w:rPr>
          <w:rFonts w:ascii="Times New Roman" w:hAnsi="Times New Roman"/>
          <w:noProof/>
          <w:sz w:val="24"/>
        </w:rPr>
        <w:t>tion, les parties intéressées</w:t>
      </w:r>
      <w:r>
        <w:rPr>
          <w:rStyle w:val="FootnoteReference"/>
          <w:rFonts w:ascii="Times New Roman" w:hAnsi="Times New Roman"/>
          <w:noProof/>
          <w:sz w:val="24"/>
        </w:rPr>
        <w:footnoteReference w:id="13"/>
      </w:r>
      <w:r>
        <w:rPr>
          <w:rFonts w:ascii="Times New Roman" w:hAnsi="Times New Roman"/>
          <w:noProof/>
          <w:sz w:val="24"/>
        </w:rPr>
        <w:t xml:space="preserve"> ont, à 81 %, suggéré d’harmoniser les calendriers de vaccination dans l’Union.</w:t>
      </w:r>
    </w:p>
    <w:p w:rsidR="00696AA6" w:rsidRDefault="00155027">
      <w:pPr>
        <w:pStyle w:val="Heading1"/>
        <w:keepNext/>
        <w:numPr>
          <w:ilvl w:val="1"/>
          <w:numId w:val="11"/>
        </w:numPr>
        <w:rPr>
          <w:rStyle w:val="Bodytext6SmallCaps"/>
          <w:b/>
          <w:bCs/>
          <w:noProof/>
          <w:sz w:val="24"/>
          <w:szCs w:val="24"/>
        </w:rPr>
      </w:pPr>
      <w:r>
        <w:rPr>
          <w:rStyle w:val="Bodytext6SmallCaps"/>
          <w:noProof/>
          <w:sz w:val="24"/>
        </w:rPr>
        <w:t>Investissement dans la santé en ligne et la transformation numérique</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 développement d’un dossier électronique de vaccination est l’investissemen</w:t>
      </w:r>
      <w:r>
        <w:rPr>
          <w:rFonts w:ascii="Times New Roman" w:hAnsi="Times New Roman"/>
          <w:noProof/>
          <w:sz w:val="24"/>
        </w:rPr>
        <w:t>t dans la santé en ligne qui a reçu le plus de soutien, avec un consensus quasi unanime</w:t>
      </w:r>
      <w:r>
        <w:rPr>
          <w:rStyle w:val="FootnoteReference"/>
          <w:rFonts w:ascii="Times New Roman" w:hAnsi="Times New Roman"/>
          <w:noProof/>
          <w:sz w:val="24"/>
        </w:rPr>
        <w:footnoteReference w:id="14"/>
      </w:r>
      <w:r>
        <w:rPr>
          <w:rFonts w:ascii="Times New Roman" w:hAnsi="Times New Roman"/>
          <w:noProof/>
          <w:sz w:val="24"/>
        </w:rPr>
        <w:t xml:space="preserve">. Les avantages potentiels comprennent l’envoi de notifications concernant les rappels et le suivi des taux de couverture. </w:t>
      </w:r>
    </w:p>
    <w:p w:rsidR="00696AA6" w:rsidRDefault="00155027">
      <w:pPr>
        <w:pStyle w:val="Heading1"/>
        <w:keepNext/>
        <w:numPr>
          <w:ilvl w:val="1"/>
          <w:numId w:val="11"/>
        </w:numPr>
        <w:rPr>
          <w:rStyle w:val="Bodytext6SmallCaps"/>
          <w:noProof/>
          <w:sz w:val="24"/>
          <w:szCs w:val="24"/>
        </w:rPr>
      </w:pPr>
      <w:r>
        <w:rPr>
          <w:rStyle w:val="Bodytext6SmallCaps"/>
          <w:noProof/>
          <w:sz w:val="24"/>
        </w:rPr>
        <w:t>Une meilleure communication avec l’industrie</w:t>
      </w:r>
      <w:r>
        <w:rPr>
          <w:rStyle w:val="Bodytext6SmallCaps"/>
          <w:noProof/>
          <w:sz w:val="24"/>
        </w:rPr>
        <w:t xml:space="preserve"> des vaccins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citoyens ont soutenu l’obligation pour les industriels de fournir les vaccins requis (24,55 %). En revanche, les parties intéressées</w:t>
      </w:r>
      <w:r>
        <w:rPr>
          <w:rStyle w:val="FootnoteReference"/>
          <w:rFonts w:ascii="Times New Roman" w:hAnsi="Times New Roman"/>
          <w:noProof/>
          <w:sz w:val="24"/>
        </w:rPr>
        <w:footnoteReference w:id="15"/>
      </w:r>
      <w:r>
        <w:rPr>
          <w:rFonts w:ascii="Times New Roman" w:hAnsi="Times New Roman"/>
          <w:noProof/>
          <w:sz w:val="24"/>
        </w:rPr>
        <w:t xml:space="preserve"> ont soutenu la cartographie de la demande de vaccins (70,87 %) et l’établissement de prévisions nationale</w:t>
      </w:r>
      <w:r>
        <w:rPr>
          <w:rFonts w:ascii="Times New Roman" w:hAnsi="Times New Roman"/>
          <w:noProof/>
          <w:sz w:val="24"/>
        </w:rPr>
        <w:t>s systématiques concernant les vaccins (65,53 %). Les parties intéressées</w:t>
      </w:r>
      <w:r>
        <w:rPr>
          <w:rStyle w:val="FootnoteReference"/>
          <w:rFonts w:ascii="Times New Roman" w:hAnsi="Times New Roman"/>
          <w:noProof/>
          <w:sz w:val="24"/>
        </w:rPr>
        <w:footnoteReference w:id="16"/>
      </w:r>
      <w:r>
        <w:rPr>
          <w:rFonts w:ascii="Times New Roman" w:hAnsi="Times New Roman"/>
          <w:noProof/>
          <w:sz w:val="24"/>
        </w:rPr>
        <w:t xml:space="preserve"> ont également suggéré: </w:t>
      </w:r>
    </w:p>
    <w:p w:rsidR="00696AA6" w:rsidRDefault="00155027">
      <w:pPr>
        <w:pStyle w:val="ListParagraph"/>
        <w:numPr>
          <w:ilvl w:val="0"/>
          <w:numId w:val="14"/>
        </w:numPr>
        <w:spacing w:after="160" w:line="259" w:lineRule="auto"/>
        <w:jc w:val="both"/>
        <w:rPr>
          <w:noProof/>
        </w:rPr>
      </w:pPr>
      <w:r>
        <w:rPr>
          <w:noProof/>
        </w:rPr>
        <w:t>de créer des mécanismes européens d’alerte et de planification;</w:t>
      </w:r>
    </w:p>
    <w:p w:rsidR="00696AA6" w:rsidRDefault="00155027">
      <w:pPr>
        <w:pStyle w:val="ListParagraph"/>
        <w:numPr>
          <w:ilvl w:val="0"/>
          <w:numId w:val="14"/>
        </w:numPr>
        <w:spacing w:after="160" w:line="259" w:lineRule="auto"/>
        <w:jc w:val="both"/>
        <w:rPr>
          <w:noProof/>
        </w:rPr>
      </w:pPr>
      <w:r>
        <w:rPr>
          <w:noProof/>
        </w:rPr>
        <w:t xml:space="preserve">de simplifier la législation de l’Union en matière d’autorisation de mise sur le marché pour </w:t>
      </w:r>
      <w:r>
        <w:rPr>
          <w:noProof/>
        </w:rPr>
        <w:t>accroître les capacités;</w:t>
      </w:r>
    </w:p>
    <w:p w:rsidR="00696AA6" w:rsidRDefault="00155027">
      <w:pPr>
        <w:pStyle w:val="ListParagraph"/>
        <w:numPr>
          <w:ilvl w:val="0"/>
          <w:numId w:val="14"/>
        </w:numPr>
        <w:spacing w:after="160" w:line="259" w:lineRule="auto"/>
        <w:jc w:val="both"/>
        <w:rPr>
          <w:noProof/>
        </w:rPr>
      </w:pPr>
      <w:r>
        <w:rPr>
          <w:noProof/>
        </w:rPr>
        <w:t>de promouvoir la coopération entre l’industrie des vaccins et l’OMS; et</w:t>
      </w:r>
    </w:p>
    <w:p w:rsidR="00696AA6" w:rsidRDefault="00155027">
      <w:pPr>
        <w:pStyle w:val="ListParagraph"/>
        <w:numPr>
          <w:ilvl w:val="0"/>
          <w:numId w:val="14"/>
        </w:numPr>
        <w:spacing w:after="160" w:line="259" w:lineRule="auto"/>
        <w:jc w:val="both"/>
        <w:rPr>
          <w:noProof/>
        </w:rPr>
      </w:pPr>
      <w:r>
        <w:rPr>
          <w:noProof/>
        </w:rPr>
        <w:t>de créer des fédérations nationales et européennes de producteurs de vaccins.</w:t>
      </w:r>
    </w:p>
    <w:p w:rsidR="00696AA6" w:rsidRDefault="00155027">
      <w:pPr>
        <w:pStyle w:val="Heading1"/>
        <w:keepNext/>
        <w:numPr>
          <w:ilvl w:val="1"/>
          <w:numId w:val="11"/>
        </w:numPr>
        <w:rPr>
          <w:rStyle w:val="Bodytext6SmallCaps"/>
          <w:b/>
          <w:bCs/>
          <w:noProof/>
          <w:sz w:val="24"/>
          <w:szCs w:val="24"/>
        </w:rPr>
      </w:pPr>
      <w:r>
        <w:rPr>
          <w:rStyle w:val="Bodytext6SmallCaps"/>
          <w:noProof/>
          <w:sz w:val="24"/>
        </w:rPr>
        <w:t>Un meilleur engagement en faveur de programmes de vaccination fonctionnels et dur</w:t>
      </w:r>
      <w:r>
        <w:rPr>
          <w:rStyle w:val="Bodytext6SmallCaps"/>
          <w:noProof/>
          <w:sz w:val="24"/>
        </w:rPr>
        <w:t>ables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parties intéressées</w:t>
      </w:r>
      <w:r>
        <w:rPr>
          <w:rStyle w:val="FootnoteReference"/>
          <w:rFonts w:ascii="Times New Roman" w:hAnsi="Times New Roman"/>
          <w:noProof/>
          <w:sz w:val="24"/>
        </w:rPr>
        <w:footnoteReference w:id="17"/>
      </w:r>
      <w:r>
        <w:rPr>
          <w:rFonts w:ascii="Times New Roman" w:hAnsi="Times New Roman"/>
          <w:noProof/>
          <w:sz w:val="24"/>
        </w:rPr>
        <w:t xml:space="preserve"> ont proposé de nouvelles actions européennes en faveur de la durabilité des programmes de vaccination:</w:t>
      </w:r>
    </w:p>
    <w:p w:rsidR="00696AA6" w:rsidRDefault="00155027">
      <w:pPr>
        <w:pStyle w:val="ListParagraph"/>
        <w:numPr>
          <w:ilvl w:val="0"/>
          <w:numId w:val="14"/>
        </w:numPr>
        <w:spacing w:after="160" w:line="259" w:lineRule="auto"/>
        <w:jc w:val="both"/>
        <w:rPr>
          <w:noProof/>
        </w:rPr>
      </w:pPr>
      <w:r>
        <w:rPr>
          <w:noProof/>
        </w:rPr>
        <w:t>l’échange d’informations sur la qualité des vaccins avec les autorités extérieures à l’Union;</w:t>
      </w:r>
    </w:p>
    <w:p w:rsidR="00696AA6" w:rsidRDefault="00155027">
      <w:pPr>
        <w:pStyle w:val="ListParagraph"/>
        <w:numPr>
          <w:ilvl w:val="0"/>
          <w:numId w:val="14"/>
        </w:numPr>
        <w:spacing w:after="160" w:line="259" w:lineRule="auto"/>
        <w:jc w:val="both"/>
        <w:rPr>
          <w:noProof/>
        </w:rPr>
      </w:pPr>
      <w:r>
        <w:rPr>
          <w:noProof/>
        </w:rPr>
        <w:t>l’amélioration de la législa</w:t>
      </w:r>
      <w:r>
        <w:rPr>
          <w:noProof/>
        </w:rPr>
        <w:t>tion de l’Union avec de nouveaux engagements contraignants pour les fabricants de vaccins;</w:t>
      </w:r>
    </w:p>
    <w:p w:rsidR="00696AA6" w:rsidRDefault="00155027">
      <w:pPr>
        <w:pStyle w:val="ListParagraph"/>
        <w:numPr>
          <w:ilvl w:val="0"/>
          <w:numId w:val="14"/>
        </w:numPr>
        <w:spacing w:after="160" w:line="259" w:lineRule="auto"/>
        <w:jc w:val="both"/>
        <w:rPr>
          <w:noProof/>
        </w:rPr>
      </w:pPr>
      <w:r>
        <w:rPr>
          <w:noProof/>
        </w:rPr>
        <w:t>l’établissement d’une plateforme européenne fournissant des orientations sur les programmes de mise en œuvre nationaux; et</w:t>
      </w:r>
    </w:p>
    <w:p w:rsidR="00696AA6" w:rsidRDefault="00155027">
      <w:pPr>
        <w:pStyle w:val="ListParagraph"/>
        <w:numPr>
          <w:ilvl w:val="0"/>
          <w:numId w:val="14"/>
        </w:numPr>
        <w:spacing w:after="160" w:line="259" w:lineRule="auto"/>
        <w:jc w:val="both"/>
        <w:rPr>
          <w:noProof/>
        </w:rPr>
      </w:pPr>
      <w:r>
        <w:rPr>
          <w:noProof/>
        </w:rPr>
        <w:t>la réalisation d’évaluations pharmaco-écon</w:t>
      </w:r>
      <w:r>
        <w:rPr>
          <w:noProof/>
        </w:rPr>
        <w:t>omiques.</w:t>
      </w:r>
    </w:p>
    <w:p w:rsidR="00696AA6" w:rsidRDefault="00155027">
      <w:pPr>
        <w:pStyle w:val="Bodytext20"/>
        <w:shd w:val="clear" w:color="auto" w:fill="auto"/>
        <w:spacing w:after="120"/>
        <w:ind w:firstLine="0"/>
        <w:jc w:val="both"/>
        <w:rPr>
          <w:noProof/>
        </w:rPr>
      </w:pPr>
      <w:r>
        <w:rPr>
          <w:rFonts w:ascii="Times New Roman" w:hAnsi="Times New Roman"/>
          <w:noProof/>
          <w:sz w:val="24"/>
        </w:rPr>
        <w:t xml:space="preserve">Les organisations locales pourraient soutenir des politiques de vaccination durables en: </w:t>
      </w:r>
    </w:p>
    <w:p w:rsidR="00696AA6" w:rsidRDefault="00155027">
      <w:pPr>
        <w:pStyle w:val="ListParagraph"/>
        <w:numPr>
          <w:ilvl w:val="0"/>
          <w:numId w:val="14"/>
        </w:numPr>
        <w:spacing w:after="160" w:line="259" w:lineRule="auto"/>
        <w:jc w:val="both"/>
        <w:rPr>
          <w:noProof/>
        </w:rPr>
      </w:pPr>
      <w:r>
        <w:rPr>
          <w:noProof/>
        </w:rPr>
        <w:t>formant une alliance de parties intéressées pour harmoniser leur travail et entendre la voix des patients;</w:t>
      </w:r>
    </w:p>
    <w:p w:rsidR="00696AA6" w:rsidRDefault="00155027">
      <w:pPr>
        <w:pStyle w:val="ListParagraph"/>
        <w:numPr>
          <w:ilvl w:val="0"/>
          <w:numId w:val="14"/>
        </w:numPr>
        <w:spacing w:after="160" w:line="259" w:lineRule="auto"/>
        <w:jc w:val="both"/>
        <w:rPr>
          <w:noProof/>
        </w:rPr>
      </w:pPr>
      <w:r>
        <w:rPr>
          <w:noProof/>
        </w:rPr>
        <w:t xml:space="preserve">recherchant les obstacles à l’accès à la </w:t>
      </w:r>
      <w:r>
        <w:rPr>
          <w:noProof/>
        </w:rPr>
        <w:t>vaccination; et</w:t>
      </w:r>
    </w:p>
    <w:p w:rsidR="00696AA6" w:rsidRDefault="00155027">
      <w:pPr>
        <w:pStyle w:val="ListParagraph"/>
        <w:numPr>
          <w:ilvl w:val="0"/>
          <w:numId w:val="14"/>
        </w:numPr>
        <w:spacing w:after="160" w:line="259" w:lineRule="auto"/>
        <w:jc w:val="both"/>
        <w:rPr>
          <w:noProof/>
        </w:rPr>
      </w:pPr>
      <w:r>
        <w:rPr>
          <w:noProof/>
        </w:rPr>
        <w:t xml:space="preserve">établissant un programme européen d’«ambassadeurs de la vaccination».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 xml:space="preserve">Parmi les autres propositions issues de la consultation ciblée figurent le transfert de tâches des médecins au personnel infirmier, la recherche de la coopération des </w:t>
      </w:r>
      <w:r>
        <w:rPr>
          <w:rFonts w:ascii="Times New Roman" w:hAnsi="Times New Roman"/>
          <w:noProof/>
          <w:sz w:val="24"/>
        </w:rPr>
        <w:t>employeurs pour garantir un congé de vaccination approprié et la révision des restes à charge du patient, des contributions non remboursées et des droits à l’indemnisation des préjudices vaccinaux.</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L’un des participants a proposé la mise en œuvre d’un grou</w:t>
      </w:r>
      <w:r>
        <w:rPr>
          <w:rFonts w:ascii="Times New Roman" w:hAnsi="Times New Roman"/>
          <w:noProof/>
          <w:sz w:val="24"/>
        </w:rPr>
        <w:t>pe consultatif technique européen basé sur le modèle du Comité consultatif américain sur les pratiques de vaccination (ACIP).</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Pour garantir une circulation efficace des informations et la surveillance des incidences au niveau de l’Union, les participants o</w:t>
      </w:r>
      <w:r>
        <w:rPr>
          <w:rFonts w:ascii="Times New Roman" w:hAnsi="Times New Roman"/>
          <w:noProof/>
          <w:sz w:val="24"/>
        </w:rPr>
        <w:t xml:space="preserve">nt suggéré: </w:t>
      </w:r>
    </w:p>
    <w:p w:rsidR="00696AA6" w:rsidRDefault="00155027">
      <w:pPr>
        <w:pStyle w:val="ListParagraph"/>
        <w:numPr>
          <w:ilvl w:val="0"/>
          <w:numId w:val="14"/>
        </w:numPr>
        <w:spacing w:after="160" w:line="259" w:lineRule="auto"/>
        <w:jc w:val="both"/>
        <w:rPr>
          <w:noProof/>
        </w:rPr>
      </w:pPr>
      <w:r>
        <w:rPr>
          <w:noProof/>
        </w:rPr>
        <w:t>de diffuser les données de l’ECDC de manière plus efficace;</w:t>
      </w:r>
    </w:p>
    <w:p w:rsidR="00696AA6" w:rsidRDefault="00155027">
      <w:pPr>
        <w:pStyle w:val="ListParagraph"/>
        <w:numPr>
          <w:ilvl w:val="0"/>
          <w:numId w:val="14"/>
        </w:numPr>
        <w:spacing w:after="160" w:line="259" w:lineRule="auto"/>
        <w:jc w:val="both"/>
        <w:rPr>
          <w:noProof/>
        </w:rPr>
      </w:pPr>
      <w:r>
        <w:rPr>
          <w:noProof/>
        </w:rPr>
        <w:t>d’instaurer un fonds (avec la contribution obligatoire de l’industrie des vaccins) destiné aux études sur l’incidence des vaccins; et</w:t>
      </w:r>
    </w:p>
    <w:p w:rsidR="00696AA6" w:rsidRDefault="00155027">
      <w:pPr>
        <w:pStyle w:val="ListParagraph"/>
        <w:numPr>
          <w:ilvl w:val="0"/>
          <w:numId w:val="14"/>
        </w:numPr>
        <w:spacing w:after="160" w:line="259" w:lineRule="auto"/>
        <w:jc w:val="both"/>
        <w:rPr>
          <w:noProof/>
        </w:rPr>
      </w:pPr>
      <w:r>
        <w:rPr>
          <w:noProof/>
        </w:rPr>
        <w:t xml:space="preserve">de créer un système européen d’information et de </w:t>
      </w:r>
      <w:r>
        <w:rPr>
          <w:noProof/>
        </w:rPr>
        <w:t>surveillance pour consolider les données liées aux vaccins.</w:t>
      </w:r>
    </w:p>
    <w:p w:rsidR="00696AA6" w:rsidRDefault="00155027">
      <w:pPr>
        <w:pStyle w:val="Heading1"/>
        <w:keepNext/>
        <w:numPr>
          <w:ilvl w:val="1"/>
          <w:numId w:val="11"/>
        </w:numPr>
        <w:rPr>
          <w:rStyle w:val="Bodytext6SmallCaps"/>
          <w:b/>
          <w:bCs/>
          <w:noProof/>
          <w:sz w:val="24"/>
          <w:szCs w:val="24"/>
        </w:rPr>
      </w:pPr>
      <w:r>
        <w:rPr>
          <w:rStyle w:val="Bodytext6SmallCaps"/>
          <w:noProof/>
          <w:sz w:val="24"/>
        </w:rPr>
        <w:t>Une meilleure promotion de la vaccination pour accroître les taux de couverture</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Pour promouvoir la vaccination, les parties intéressées proposent:</w:t>
      </w:r>
    </w:p>
    <w:p w:rsidR="00696AA6" w:rsidRDefault="00155027">
      <w:pPr>
        <w:pStyle w:val="ListParagraph"/>
        <w:numPr>
          <w:ilvl w:val="0"/>
          <w:numId w:val="14"/>
        </w:numPr>
        <w:spacing w:after="160" w:line="259" w:lineRule="auto"/>
        <w:jc w:val="both"/>
        <w:rPr>
          <w:noProof/>
        </w:rPr>
      </w:pPr>
      <w:r>
        <w:rPr>
          <w:noProof/>
        </w:rPr>
        <w:t>d’élaborer des campagnes d’information;</w:t>
      </w:r>
    </w:p>
    <w:p w:rsidR="00696AA6" w:rsidRDefault="00155027">
      <w:pPr>
        <w:pStyle w:val="ListParagraph"/>
        <w:numPr>
          <w:ilvl w:val="0"/>
          <w:numId w:val="14"/>
        </w:numPr>
        <w:spacing w:after="160" w:line="259" w:lineRule="auto"/>
        <w:jc w:val="both"/>
        <w:rPr>
          <w:noProof/>
        </w:rPr>
      </w:pPr>
      <w:r>
        <w:rPr>
          <w:noProof/>
        </w:rPr>
        <w:t>de formul</w:t>
      </w:r>
      <w:r>
        <w:rPr>
          <w:noProof/>
        </w:rPr>
        <w:t>er une réglementation juridique solide concernant la vaccination, en définissant précisément les responsabilités de tous les acteurs concernés; et</w:t>
      </w:r>
    </w:p>
    <w:p w:rsidR="00696AA6" w:rsidRDefault="00155027">
      <w:pPr>
        <w:pStyle w:val="ListParagraph"/>
        <w:numPr>
          <w:ilvl w:val="0"/>
          <w:numId w:val="14"/>
        </w:numPr>
        <w:spacing w:after="160" w:line="259" w:lineRule="auto"/>
        <w:jc w:val="both"/>
        <w:rPr>
          <w:noProof/>
        </w:rPr>
      </w:pPr>
      <w:r>
        <w:rPr>
          <w:noProof/>
        </w:rPr>
        <w:t>d’améliorer la couverture vaccinale des professionnels de la santé, au moyen d’incitations/encouragements vol</w:t>
      </w:r>
      <w:r>
        <w:rPr>
          <w:noProof/>
        </w:rPr>
        <w:t>ontaires ou d’exigences impératives.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82 % des autres parties intéressées</w:t>
      </w:r>
      <w:r>
        <w:rPr>
          <w:rStyle w:val="FootnoteReference"/>
          <w:rFonts w:ascii="Times New Roman" w:hAnsi="Times New Roman"/>
          <w:noProof/>
          <w:sz w:val="24"/>
        </w:rPr>
        <w:footnoteReference w:id="18"/>
      </w:r>
      <w:r>
        <w:rPr>
          <w:rFonts w:ascii="Times New Roman" w:hAnsi="Times New Roman"/>
          <w:noProof/>
          <w:sz w:val="24"/>
        </w:rPr>
        <w:t xml:space="preserve"> estiment que l’Union devrait développer une approche commune concernant les calendriers de vaccination. Elles proposent également:</w:t>
      </w:r>
    </w:p>
    <w:p w:rsidR="00696AA6" w:rsidRDefault="00155027">
      <w:pPr>
        <w:pStyle w:val="ListParagraph"/>
        <w:numPr>
          <w:ilvl w:val="0"/>
          <w:numId w:val="14"/>
        </w:numPr>
        <w:spacing w:after="160" w:line="259" w:lineRule="auto"/>
        <w:jc w:val="both"/>
        <w:rPr>
          <w:noProof/>
        </w:rPr>
      </w:pPr>
      <w:r>
        <w:rPr>
          <w:noProof/>
        </w:rPr>
        <w:t>d’harmoniser les calendriers et politiques de vacci</w:t>
      </w:r>
      <w:r>
        <w:rPr>
          <w:noProof/>
        </w:rPr>
        <w:t xml:space="preserve">nation; </w:t>
      </w:r>
    </w:p>
    <w:p w:rsidR="00696AA6" w:rsidRDefault="00155027">
      <w:pPr>
        <w:pStyle w:val="ListParagraph"/>
        <w:numPr>
          <w:ilvl w:val="0"/>
          <w:numId w:val="14"/>
        </w:numPr>
        <w:spacing w:after="160" w:line="259" w:lineRule="auto"/>
        <w:jc w:val="both"/>
        <w:rPr>
          <w:noProof/>
        </w:rPr>
      </w:pPr>
      <w:r>
        <w:rPr>
          <w:noProof/>
        </w:rPr>
        <w:t>de fournir des méthodes de surveillance pour des groupes spécifiques;</w:t>
      </w:r>
    </w:p>
    <w:p w:rsidR="00696AA6" w:rsidRDefault="00155027">
      <w:pPr>
        <w:pStyle w:val="ListParagraph"/>
        <w:numPr>
          <w:ilvl w:val="0"/>
          <w:numId w:val="14"/>
        </w:numPr>
        <w:spacing w:after="160" w:line="259" w:lineRule="auto"/>
        <w:jc w:val="both"/>
        <w:rPr>
          <w:noProof/>
        </w:rPr>
      </w:pPr>
      <w:r>
        <w:rPr>
          <w:noProof/>
        </w:rPr>
        <w:t>de développer un système européen d’information sur la vaccination en interfonctionnement;</w:t>
      </w:r>
    </w:p>
    <w:p w:rsidR="00696AA6" w:rsidRDefault="00155027">
      <w:pPr>
        <w:pStyle w:val="ListParagraph"/>
        <w:numPr>
          <w:ilvl w:val="0"/>
          <w:numId w:val="14"/>
        </w:numPr>
        <w:spacing w:after="160" w:line="259" w:lineRule="auto"/>
        <w:jc w:val="both"/>
        <w:rPr>
          <w:noProof/>
        </w:rPr>
      </w:pPr>
      <w:r>
        <w:rPr>
          <w:noProof/>
        </w:rPr>
        <w:t>de veiller à ce que les citoyens aient un accès adéquat et gratuit aux programmes de v</w:t>
      </w:r>
      <w:r>
        <w:rPr>
          <w:noProof/>
        </w:rPr>
        <w:t xml:space="preserve">accination; </w:t>
      </w:r>
    </w:p>
    <w:p w:rsidR="00696AA6" w:rsidRDefault="00155027">
      <w:pPr>
        <w:pStyle w:val="ListParagraph"/>
        <w:numPr>
          <w:ilvl w:val="0"/>
          <w:numId w:val="14"/>
        </w:numPr>
        <w:spacing w:after="160" w:line="259" w:lineRule="auto"/>
        <w:jc w:val="both"/>
        <w:rPr>
          <w:noProof/>
        </w:rPr>
      </w:pPr>
      <w:r>
        <w:rPr>
          <w:noProof/>
        </w:rPr>
        <w:t>d’autoriser les pharmaciens et le personnel infirmier à prescrire et à administrer des vaccins; et</w:t>
      </w:r>
    </w:p>
    <w:p w:rsidR="00696AA6" w:rsidRDefault="00155027">
      <w:pPr>
        <w:pStyle w:val="ListParagraph"/>
        <w:numPr>
          <w:ilvl w:val="0"/>
          <w:numId w:val="14"/>
        </w:numPr>
        <w:spacing w:after="160" w:line="259" w:lineRule="auto"/>
        <w:jc w:val="both"/>
        <w:rPr>
          <w:noProof/>
        </w:rPr>
      </w:pPr>
      <w:r>
        <w:rPr>
          <w:noProof/>
        </w:rPr>
        <w:t xml:space="preserve">d’améliorer la collaboration entre les ministères de la santé et l’ECDC ou l’OMS.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parties intéressées ayant répondu à la consultation cibl</w:t>
      </w:r>
      <w:r>
        <w:rPr>
          <w:rFonts w:ascii="Times New Roman" w:hAnsi="Times New Roman"/>
          <w:noProof/>
          <w:sz w:val="24"/>
        </w:rPr>
        <w:t>ée ont appelé à mettre davantage l’accent sur la vaccination des adolescents et des adultes.</w:t>
      </w:r>
    </w:p>
    <w:p w:rsidR="00696AA6" w:rsidRDefault="00155027">
      <w:pPr>
        <w:jc w:val="both"/>
        <w:rPr>
          <w:rFonts w:ascii="Times New Roman" w:hAnsi="Times New Roman" w:cs="Times New Roman"/>
          <w:noProof/>
          <w:sz w:val="24"/>
          <w:szCs w:val="24"/>
        </w:rPr>
      </w:pPr>
      <w:r>
        <w:rPr>
          <w:rFonts w:ascii="Times New Roman" w:hAnsi="Times New Roman"/>
          <w:noProof/>
          <w:sz w:val="24"/>
        </w:rPr>
        <w:t>Les parties intéressées ont rejeté quasi unanimement une stratégie uniforme. Il ressort des commentaires sur la feuille de route qu’une plus grande attention aux p</w:t>
      </w:r>
      <w:r>
        <w:rPr>
          <w:rFonts w:ascii="Times New Roman" w:hAnsi="Times New Roman"/>
          <w:noProof/>
          <w:sz w:val="24"/>
        </w:rPr>
        <w:t>réjudices vaccinaux devrait être accordée, notamment en créant des systèmes européens indépendants pour le signalement des effets indésirables des vaccins.</w:t>
      </w:r>
    </w:p>
    <w:p w:rsidR="00696AA6" w:rsidRDefault="00155027">
      <w:pPr>
        <w:pStyle w:val="Heading1"/>
        <w:keepNext/>
        <w:numPr>
          <w:ilvl w:val="1"/>
          <w:numId w:val="11"/>
        </w:numPr>
        <w:rPr>
          <w:smallCaps/>
          <w:noProof/>
          <w:color w:val="000000"/>
          <w:sz w:val="24"/>
          <w:szCs w:val="24"/>
        </w:rPr>
      </w:pPr>
      <w:r>
        <w:rPr>
          <w:rStyle w:val="Bodytext6SmallCaps"/>
          <w:noProof/>
          <w:sz w:val="24"/>
        </w:rPr>
        <w:t>Réduction des pénuries de vaccins et amélioration des capacités de production</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parties intéressée</w:t>
      </w:r>
      <w:r>
        <w:rPr>
          <w:rFonts w:ascii="Times New Roman" w:hAnsi="Times New Roman"/>
          <w:noProof/>
          <w:sz w:val="24"/>
        </w:rPr>
        <w:t>s ayant répondu à la consultation publique et à la consultation ciblée estiment que les interventions stratégiques clés pour atténuer les pénuries de vaccins sont la prévision et la passation conjointe de marchés. Pour 36,8 % des citoyens, le plus importan</w:t>
      </w:r>
      <w:r>
        <w:rPr>
          <w:rFonts w:ascii="Times New Roman" w:hAnsi="Times New Roman"/>
          <w:noProof/>
          <w:sz w:val="24"/>
        </w:rPr>
        <w:t>t est la disponibilité des vaccins individuels.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Selon les parties intéressées</w:t>
      </w:r>
      <w:r>
        <w:rPr>
          <w:rStyle w:val="FootnoteReference"/>
          <w:rFonts w:ascii="Times New Roman" w:hAnsi="Times New Roman"/>
          <w:noProof/>
          <w:sz w:val="24"/>
        </w:rPr>
        <w:footnoteReference w:id="19"/>
      </w:r>
      <w:r>
        <w:rPr>
          <w:rFonts w:ascii="Times New Roman" w:hAnsi="Times New Roman"/>
          <w:noProof/>
          <w:sz w:val="24"/>
        </w:rPr>
        <w:t>, la coordination européenne sur la question des pénuries de vaccins pourrait être améliorée par:</w:t>
      </w:r>
    </w:p>
    <w:p w:rsidR="00696AA6" w:rsidRDefault="00155027">
      <w:pPr>
        <w:pStyle w:val="ListParagraph"/>
        <w:numPr>
          <w:ilvl w:val="0"/>
          <w:numId w:val="14"/>
        </w:numPr>
        <w:spacing w:after="160" w:line="259" w:lineRule="auto"/>
        <w:jc w:val="both"/>
        <w:rPr>
          <w:noProof/>
        </w:rPr>
      </w:pPr>
      <w:r>
        <w:rPr>
          <w:noProof/>
        </w:rPr>
        <w:t>la création d’une alerte de l’industrie pour insister sur la prévision d’un prob</w:t>
      </w:r>
      <w:r>
        <w:rPr>
          <w:noProof/>
        </w:rPr>
        <w:t>lème de production;</w:t>
      </w:r>
    </w:p>
    <w:p w:rsidR="00696AA6" w:rsidRDefault="00155027">
      <w:pPr>
        <w:pStyle w:val="ListParagraph"/>
        <w:numPr>
          <w:ilvl w:val="0"/>
          <w:numId w:val="14"/>
        </w:numPr>
        <w:spacing w:after="160" w:line="259" w:lineRule="auto"/>
        <w:jc w:val="both"/>
        <w:rPr>
          <w:noProof/>
        </w:rPr>
      </w:pPr>
      <w:r>
        <w:rPr>
          <w:noProof/>
        </w:rPr>
        <w:t>la standardisation du conditionnement; et</w:t>
      </w:r>
    </w:p>
    <w:p w:rsidR="00696AA6" w:rsidRDefault="00155027">
      <w:pPr>
        <w:pStyle w:val="ListParagraph"/>
        <w:numPr>
          <w:ilvl w:val="0"/>
          <w:numId w:val="14"/>
        </w:numPr>
        <w:spacing w:after="160" w:line="259" w:lineRule="auto"/>
        <w:jc w:val="both"/>
        <w:rPr>
          <w:noProof/>
        </w:rPr>
      </w:pPr>
      <w:r>
        <w:rPr>
          <w:noProof/>
        </w:rPr>
        <w:t>une indication transparente des prix et des volumes.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Pour augmenter la production de vaccins et réduire les délais de livraison, les parties intéressées</w:t>
      </w:r>
      <w:r>
        <w:rPr>
          <w:rStyle w:val="FootnoteReference"/>
          <w:rFonts w:ascii="Times New Roman" w:hAnsi="Times New Roman"/>
          <w:noProof/>
          <w:sz w:val="24"/>
        </w:rPr>
        <w:footnoteReference w:id="20"/>
      </w:r>
      <w:r>
        <w:rPr>
          <w:rFonts w:ascii="Times New Roman" w:hAnsi="Times New Roman"/>
          <w:noProof/>
          <w:sz w:val="24"/>
        </w:rPr>
        <w:t xml:space="preserve"> suggèrent:</w:t>
      </w:r>
    </w:p>
    <w:p w:rsidR="00696AA6" w:rsidRDefault="00155027">
      <w:pPr>
        <w:pStyle w:val="ListParagraph"/>
        <w:numPr>
          <w:ilvl w:val="0"/>
          <w:numId w:val="14"/>
        </w:numPr>
        <w:spacing w:after="160" w:line="259" w:lineRule="auto"/>
        <w:jc w:val="both"/>
        <w:rPr>
          <w:noProof/>
        </w:rPr>
      </w:pPr>
      <w:r>
        <w:rPr>
          <w:noProof/>
        </w:rPr>
        <w:t xml:space="preserve">d’accroître la surveillance </w:t>
      </w:r>
      <w:r>
        <w:rPr>
          <w:noProof/>
        </w:rPr>
        <w:t>et l’investissement en matière de production et de recherche;</w:t>
      </w:r>
    </w:p>
    <w:p w:rsidR="00696AA6" w:rsidRDefault="00155027">
      <w:pPr>
        <w:pStyle w:val="ListParagraph"/>
        <w:numPr>
          <w:ilvl w:val="0"/>
          <w:numId w:val="14"/>
        </w:numPr>
        <w:spacing w:after="160" w:line="259" w:lineRule="auto"/>
        <w:jc w:val="both"/>
        <w:rPr>
          <w:noProof/>
        </w:rPr>
      </w:pPr>
      <w:r>
        <w:rPr>
          <w:noProof/>
        </w:rPr>
        <w:t>de modifier la législation de l’Union (par exemple, simplifier les autorisations de mise sur le marché);</w:t>
      </w:r>
    </w:p>
    <w:p w:rsidR="00696AA6" w:rsidRDefault="00155027">
      <w:pPr>
        <w:pStyle w:val="ListParagraph"/>
        <w:numPr>
          <w:ilvl w:val="0"/>
          <w:numId w:val="14"/>
        </w:numPr>
        <w:spacing w:after="160" w:line="259" w:lineRule="auto"/>
        <w:jc w:val="both"/>
        <w:rPr>
          <w:noProof/>
        </w:rPr>
      </w:pPr>
      <w:r>
        <w:rPr>
          <w:noProof/>
        </w:rPr>
        <w:t xml:space="preserve">d’utiliser de nouvelles technologies et d’instaurer des incitations financières pour les </w:t>
      </w:r>
      <w:r>
        <w:rPr>
          <w:noProof/>
        </w:rPr>
        <w:t>industriels;</w:t>
      </w:r>
    </w:p>
    <w:p w:rsidR="00696AA6" w:rsidRDefault="00155027">
      <w:pPr>
        <w:pStyle w:val="ListParagraph"/>
        <w:numPr>
          <w:ilvl w:val="0"/>
          <w:numId w:val="14"/>
        </w:numPr>
        <w:spacing w:after="160" w:line="259" w:lineRule="auto"/>
        <w:jc w:val="both"/>
        <w:rPr>
          <w:noProof/>
        </w:rPr>
      </w:pPr>
      <w:r>
        <w:rPr>
          <w:noProof/>
        </w:rPr>
        <w:t>d’améliorer le système de passation conjointe de marchés ainsi que la coordination des calendriers de vaccination européens; et</w:t>
      </w:r>
    </w:p>
    <w:p w:rsidR="00696AA6" w:rsidRDefault="00155027">
      <w:pPr>
        <w:pStyle w:val="ListParagraph"/>
        <w:numPr>
          <w:ilvl w:val="0"/>
          <w:numId w:val="14"/>
        </w:numPr>
        <w:spacing w:after="160" w:line="259" w:lineRule="auto"/>
        <w:jc w:val="both"/>
        <w:rPr>
          <w:noProof/>
        </w:rPr>
      </w:pPr>
      <w:r>
        <w:rPr>
          <w:noProof/>
        </w:rPr>
        <w:t>d’harmoniser les informations sur les vaccins, notamment le conditionnement et la langue.</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Pour garantir des capacit</w:t>
      </w:r>
      <w:r>
        <w:rPr>
          <w:rFonts w:ascii="Times New Roman" w:hAnsi="Times New Roman"/>
          <w:noProof/>
          <w:sz w:val="24"/>
        </w:rPr>
        <w:t>és de production suffisantes dans l’Union, les parties intéressées proposent:</w:t>
      </w:r>
    </w:p>
    <w:p w:rsidR="00696AA6" w:rsidRDefault="00155027">
      <w:pPr>
        <w:pStyle w:val="ListParagraph"/>
        <w:numPr>
          <w:ilvl w:val="0"/>
          <w:numId w:val="14"/>
        </w:numPr>
        <w:spacing w:after="160" w:line="259" w:lineRule="auto"/>
        <w:jc w:val="both"/>
        <w:rPr>
          <w:noProof/>
        </w:rPr>
      </w:pPr>
      <w:r>
        <w:rPr>
          <w:noProof/>
        </w:rPr>
        <w:t>de réglementer la production de vaccins et d’établir un ordre de priorité en la matière;</w:t>
      </w:r>
    </w:p>
    <w:p w:rsidR="00696AA6" w:rsidRDefault="00155027">
      <w:pPr>
        <w:pStyle w:val="ListParagraph"/>
        <w:numPr>
          <w:ilvl w:val="0"/>
          <w:numId w:val="14"/>
        </w:numPr>
        <w:spacing w:after="160" w:line="259" w:lineRule="auto"/>
        <w:jc w:val="both"/>
        <w:rPr>
          <w:noProof/>
        </w:rPr>
      </w:pPr>
      <w:r>
        <w:rPr>
          <w:noProof/>
        </w:rPr>
        <w:t>de coordonner les mécanismes de planification, de prévision, de passation conjointe de ma</w:t>
      </w:r>
      <w:r>
        <w:rPr>
          <w:noProof/>
        </w:rPr>
        <w:t>rchés et de financement;</w:t>
      </w:r>
    </w:p>
    <w:p w:rsidR="00696AA6" w:rsidRDefault="00155027">
      <w:pPr>
        <w:pStyle w:val="ListParagraph"/>
        <w:numPr>
          <w:ilvl w:val="0"/>
          <w:numId w:val="14"/>
        </w:numPr>
        <w:spacing w:after="160" w:line="259" w:lineRule="auto"/>
        <w:jc w:val="both"/>
        <w:rPr>
          <w:noProof/>
        </w:rPr>
      </w:pPr>
      <w:r>
        <w:rPr>
          <w:noProof/>
        </w:rPr>
        <w:t>d’établir les budgets pluriannuels relatifs aux calendriers nationaux de vaccination et à la planification des doses de vaccin sur la base des études épidémiologiques au moins trois ans avant les commandes; et</w:t>
      </w:r>
    </w:p>
    <w:p w:rsidR="00696AA6" w:rsidRDefault="00155027">
      <w:pPr>
        <w:pStyle w:val="ListParagraph"/>
        <w:numPr>
          <w:ilvl w:val="0"/>
          <w:numId w:val="14"/>
        </w:numPr>
        <w:spacing w:after="160" w:line="259" w:lineRule="auto"/>
        <w:jc w:val="both"/>
        <w:rPr>
          <w:noProof/>
        </w:rPr>
      </w:pPr>
      <w:r>
        <w:rPr>
          <w:noProof/>
        </w:rPr>
        <w:t>des mécanismes de fin</w:t>
      </w:r>
      <w:r>
        <w:rPr>
          <w:noProof/>
        </w:rPr>
        <w:t>ancement de la R &amp; D (sur le modèle de l’Autorité américaine de recherche et de développement avancés dans le domaine biomédical, la BARDA) pour les vaccins constituant une priorité en matière de sécurité sanitaire.</w:t>
      </w:r>
    </w:p>
    <w:p w:rsidR="00696AA6" w:rsidRDefault="00155027">
      <w:pPr>
        <w:pStyle w:val="Bodytext20"/>
        <w:shd w:val="clear" w:color="auto" w:fill="auto"/>
        <w:spacing w:after="120"/>
        <w:ind w:firstLine="0"/>
        <w:jc w:val="both"/>
        <w:rPr>
          <w:noProof/>
          <w:sz w:val="24"/>
          <w:szCs w:val="24"/>
        </w:rPr>
      </w:pPr>
      <w:r>
        <w:rPr>
          <w:rFonts w:ascii="Times New Roman" w:hAnsi="Times New Roman"/>
          <w:noProof/>
          <w:sz w:val="24"/>
        </w:rPr>
        <w:t>Il a également été proposé d’élaborer de</w:t>
      </w:r>
      <w:r>
        <w:rPr>
          <w:rFonts w:ascii="Times New Roman" w:hAnsi="Times New Roman"/>
          <w:noProof/>
          <w:sz w:val="24"/>
        </w:rPr>
        <w:t xml:space="preserve">s lignes directrices européennes concernant la planification des vaccins. </w:t>
      </w:r>
    </w:p>
    <w:p w:rsidR="00696AA6" w:rsidRDefault="00155027">
      <w:pPr>
        <w:pStyle w:val="Heading1"/>
        <w:keepNext/>
        <w:numPr>
          <w:ilvl w:val="1"/>
          <w:numId w:val="11"/>
        </w:numPr>
        <w:rPr>
          <w:rStyle w:val="Bodytext6SmallCaps"/>
          <w:b/>
          <w:bCs/>
          <w:noProof/>
          <w:sz w:val="24"/>
          <w:szCs w:val="24"/>
        </w:rPr>
      </w:pPr>
      <w:r>
        <w:rPr>
          <w:rStyle w:val="Bodytext6SmallCaps"/>
          <w:noProof/>
          <w:sz w:val="24"/>
        </w:rPr>
        <w:t>Renforcer la recherche et le développement</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parties intéressées</w:t>
      </w:r>
      <w:r>
        <w:rPr>
          <w:rStyle w:val="FootnoteReference"/>
          <w:rFonts w:ascii="Times New Roman" w:hAnsi="Times New Roman"/>
          <w:noProof/>
          <w:sz w:val="24"/>
        </w:rPr>
        <w:footnoteReference w:id="21"/>
      </w:r>
      <w:r>
        <w:rPr>
          <w:rFonts w:ascii="Times New Roman" w:hAnsi="Times New Roman"/>
          <w:noProof/>
          <w:sz w:val="24"/>
        </w:rPr>
        <w:t xml:space="preserve"> ont également suggéré d’accélérer la R &amp; D en:</w:t>
      </w:r>
    </w:p>
    <w:p w:rsidR="00696AA6" w:rsidRDefault="00155027">
      <w:pPr>
        <w:pStyle w:val="ListParagraph"/>
        <w:numPr>
          <w:ilvl w:val="0"/>
          <w:numId w:val="14"/>
        </w:numPr>
        <w:spacing w:after="160" w:line="259" w:lineRule="auto"/>
        <w:jc w:val="both"/>
        <w:rPr>
          <w:noProof/>
        </w:rPr>
      </w:pPr>
      <w:r>
        <w:rPr>
          <w:noProof/>
        </w:rPr>
        <w:t>s’alignant sur la GloPID et la CEPI pour le développement de nouve</w:t>
      </w:r>
      <w:r>
        <w:rPr>
          <w:noProof/>
        </w:rPr>
        <w:t>aux vaccins;</w:t>
      </w:r>
    </w:p>
    <w:p w:rsidR="00696AA6" w:rsidRDefault="00155027">
      <w:pPr>
        <w:pStyle w:val="ListParagraph"/>
        <w:numPr>
          <w:ilvl w:val="0"/>
          <w:numId w:val="14"/>
        </w:numPr>
        <w:spacing w:after="160" w:line="259" w:lineRule="auto"/>
        <w:jc w:val="both"/>
        <w:rPr>
          <w:noProof/>
        </w:rPr>
      </w:pPr>
      <w:r>
        <w:rPr>
          <w:noProof/>
        </w:rPr>
        <w:t>s’assurant le soutien de l’industrie pour les études indépendantes sur les vaccins axées sur la santé publique; et</w:t>
      </w:r>
    </w:p>
    <w:p w:rsidR="00696AA6" w:rsidRDefault="00155027">
      <w:pPr>
        <w:pStyle w:val="ListParagraph"/>
        <w:numPr>
          <w:ilvl w:val="0"/>
          <w:numId w:val="14"/>
        </w:numPr>
        <w:spacing w:after="160" w:line="259" w:lineRule="auto"/>
        <w:jc w:val="both"/>
        <w:rPr>
          <w:noProof/>
        </w:rPr>
      </w:pPr>
      <w:r>
        <w:rPr>
          <w:noProof/>
        </w:rPr>
        <w:t>fondant des groupes consultatifs scientifiques et des organismes de réglementation conjoints au niveau de l’Union.</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Aux fins d’un</w:t>
      </w:r>
      <w:r>
        <w:rPr>
          <w:rFonts w:ascii="Times New Roman" w:hAnsi="Times New Roman"/>
          <w:noProof/>
          <w:sz w:val="24"/>
        </w:rPr>
        <w:t xml:space="preserve"> meilleur soutien de l’Union à l’égard de l’évaluation scientifique des nouveaux vaccins, il a notamment été proposé de:</w:t>
      </w:r>
    </w:p>
    <w:p w:rsidR="00696AA6" w:rsidRDefault="00155027">
      <w:pPr>
        <w:pStyle w:val="ListParagraph"/>
        <w:numPr>
          <w:ilvl w:val="0"/>
          <w:numId w:val="14"/>
        </w:numPr>
        <w:spacing w:after="160" w:line="259" w:lineRule="auto"/>
        <w:jc w:val="both"/>
        <w:rPr>
          <w:noProof/>
        </w:rPr>
      </w:pPr>
      <w:r>
        <w:rPr>
          <w:noProof/>
        </w:rPr>
        <w:t>collaborer plus étroitement avec l’OMS et les Nations unies;</w:t>
      </w:r>
    </w:p>
    <w:p w:rsidR="00696AA6" w:rsidRDefault="00155027">
      <w:pPr>
        <w:pStyle w:val="ListParagraph"/>
        <w:numPr>
          <w:ilvl w:val="0"/>
          <w:numId w:val="14"/>
        </w:numPr>
        <w:spacing w:after="160" w:line="259" w:lineRule="auto"/>
        <w:jc w:val="both"/>
        <w:rPr>
          <w:noProof/>
        </w:rPr>
      </w:pPr>
      <w:r>
        <w:rPr>
          <w:noProof/>
        </w:rPr>
        <w:t xml:space="preserve">compléter les procédures d’autorisation centrale par des essais de vaccin </w:t>
      </w:r>
      <w:r>
        <w:rPr>
          <w:noProof/>
        </w:rPr>
        <w:t>indépendants;</w:t>
      </w:r>
    </w:p>
    <w:p w:rsidR="00696AA6" w:rsidRDefault="00155027">
      <w:pPr>
        <w:pStyle w:val="ListParagraph"/>
        <w:numPr>
          <w:ilvl w:val="0"/>
          <w:numId w:val="14"/>
        </w:numPr>
        <w:spacing w:after="160" w:line="259" w:lineRule="auto"/>
        <w:jc w:val="both"/>
        <w:rPr>
          <w:noProof/>
        </w:rPr>
      </w:pPr>
      <w:r>
        <w:rPr>
          <w:noProof/>
        </w:rPr>
        <w:t>créer un réseau de groupes consultatifs techniques nationaux sur la vaccination, d’organismes de réglementation européens et d’agences de technologie de la santé pour échanger des stratégies et des éléments de preuve; et</w:t>
      </w:r>
    </w:p>
    <w:p w:rsidR="00696AA6" w:rsidRDefault="00155027">
      <w:pPr>
        <w:pStyle w:val="ListParagraph"/>
        <w:numPr>
          <w:ilvl w:val="0"/>
          <w:numId w:val="14"/>
        </w:numPr>
        <w:spacing w:after="160" w:line="259" w:lineRule="auto"/>
        <w:jc w:val="both"/>
        <w:rPr>
          <w:noProof/>
        </w:rPr>
      </w:pPr>
      <w:r>
        <w:rPr>
          <w:noProof/>
        </w:rPr>
        <w:t>soutenir le développe</w:t>
      </w:r>
      <w:r>
        <w:rPr>
          <w:noProof/>
        </w:rPr>
        <w:t>ment d’études après mise sur le marché, basées sur un système européen d’information sur la vaccination.</w:t>
      </w:r>
    </w:p>
    <w:p w:rsidR="00696AA6" w:rsidRDefault="00155027">
      <w:pPr>
        <w:pStyle w:val="Heading1"/>
        <w:keepNext/>
        <w:numPr>
          <w:ilvl w:val="0"/>
          <w:numId w:val="11"/>
        </w:numPr>
        <w:rPr>
          <w:rStyle w:val="Bodytext6SmallCaps"/>
          <w:b/>
          <w:bCs/>
          <w:noProof/>
          <w:sz w:val="24"/>
          <w:szCs w:val="24"/>
        </w:rPr>
      </w:pPr>
      <w:r>
        <w:rPr>
          <w:rStyle w:val="Bodytext6SmallCaps"/>
          <w:noProof/>
          <w:sz w:val="24"/>
        </w:rPr>
        <w:t xml:space="preserve">Pilier III: coordination à l’échelle de l’Union, y compris la promotion du dialogue entre les parties prenantes et la contribution à la santé dans le </w:t>
      </w:r>
      <w:r>
        <w:rPr>
          <w:rStyle w:val="Bodytext6SmallCaps"/>
          <w:noProof/>
          <w:sz w:val="24"/>
        </w:rPr>
        <w:t>monde</w:t>
      </w:r>
    </w:p>
    <w:p w:rsidR="00696AA6" w:rsidRDefault="00155027">
      <w:pPr>
        <w:pStyle w:val="Bodytext60"/>
        <w:shd w:val="clear" w:color="auto" w:fill="auto"/>
        <w:tabs>
          <w:tab w:val="left" w:pos="346"/>
        </w:tabs>
        <w:spacing w:before="0" w:after="114"/>
        <w:rPr>
          <w:rFonts w:ascii="Times New Roman" w:hAnsi="Times New Roman" w:cs="Times New Roman"/>
          <w:b w:val="0"/>
          <w:noProof/>
          <w:sz w:val="24"/>
          <w:szCs w:val="24"/>
        </w:rPr>
      </w:pPr>
      <w:r>
        <w:rPr>
          <w:rFonts w:ascii="Times New Roman" w:hAnsi="Times New Roman"/>
          <w:b w:val="0"/>
          <w:noProof/>
          <w:sz w:val="24"/>
        </w:rPr>
        <w:t>Les parties intéressées</w:t>
      </w:r>
      <w:r>
        <w:rPr>
          <w:rStyle w:val="FootnoteReference"/>
          <w:rFonts w:ascii="Times New Roman" w:hAnsi="Times New Roman"/>
          <w:noProof/>
          <w:sz w:val="24"/>
        </w:rPr>
        <w:footnoteReference w:id="22"/>
      </w:r>
      <w:r>
        <w:rPr>
          <w:rFonts w:ascii="Times New Roman" w:hAnsi="Times New Roman"/>
          <w:b w:val="0"/>
          <w:noProof/>
          <w:sz w:val="24"/>
        </w:rPr>
        <w:t xml:space="preserve"> ont recensé de nouveaux domaines de coopération européenne en matière de vaccination:</w:t>
      </w:r>
    </w:p>
    <w:p w:rsidR="00696AA6" w:rsidRDefault="00155027">
      <w:pPr>
        <w:pStyle w:val="ListParagraph"/>
        <w:numPr>
          <w:ilvl w:val="0"/>
          <w:numId w:val="14"/>
        </w:numPr>
        <w:spacing w:after="160" w:line="259" w:lineRule="auto"/>
        <w:jc w:val="both"/>
        <w:rPr>
          <w:noProof/>
        </w:rPr>
      </w:pPr>
      <w:r>
        <w:rPr>
          <w:noProof/>
        </w:rPr>
        <w:t>cadre réglementaire commun et système de dossiers numériques;</w:t>
      </w:r>
    </w:p>
    <w:p w:rsidR="00696AA6" w:rsidRDefault="00155027">
      <w:pPr>
        <w:pStyle w:val="ListParagraph"/>
        <w:numPr>
          <w:ilvl w:val="0"/>
          <w:numId w:val="14"/>
        </w:numPr>
        <w:spacing w:after="160" w:line="259" w:lineRule="auto"/>
        <w:jc w:val="both"/>
        <w:rPr>
          <w:noProof/>
        </w:rPr>
      </w:pPr>
      <w:r>
        <w:rPr>
          <w:noProof/>
        </w:rPr>
        <w:t>communication et médias;</w:t>
      </w:r>
    </w:p>
    <w:p w:rsidR="00696AA6" w:rsidRDefault="00155027">
      <w:pPr>
        <w:pStyle w:val="ListParagraph"/>
        <w:numPr>
          <w:ilvl w:val="0"/>
          <w:numId w:val="14"/>
        </w:numPr>
        <w:spacing w:after="160" w:line="259" w:lineRule="auto"/>
        <w:jc w:val="both"/>
        <w:rPr>
          <w:noProof/>
        </w:rPr>
      </w:pPr>
      <w:r>
        <w:rPr>
          <w:noProof/>
        </w:rPr>
        <w:t>campagnes de santé publique transfrontières;</w:t>
      </w:r>
    </w:p>
    <w:p w:rsidR="00696AA6" w:rsidRDefault="00155027">
      <w:pPr>
        <w:pStyle w:val="ListParagraph"/>
        <w:numPr>
          <w:ilvl w:val="0"/>
          <w:numId w:val="14"/>
        </w:numPr>
        <w:spacing w:after="160" w:line="259" w:lineRule="auto"/>
        <w:jc w:val="both"/>
        <w:rPr>
          <w:noProof/>
        </w:rPr>
      </w:pPr>
      <w:r>
        <w:rPr>
          <w:noProof/>
        </w:rPr>
        <w:t>plateforme européenne de financement des études et de la recherche sur les vaccins; et</w:t>
      </w:r>
    </w:p>
    <w:p w:rsidR="00696AA6" w:rsidRDefault="00155027">
      <w:pPr>
        <w:pStyle w:val="ListParagraph"/>
        <w:numPr>
          <w:ilvl w:val="0"/>
          <w:numId w:val="14"/>
        </w:numPr>
        <w:spacing w:after="160" w:line="259" w:lineRule="auto"/>
        <w:jc w:val="both"/>
        <w:rPr>
          <w:noProof/>
        </w:rPr>
      </w:pPr>
      <w:r>
        <w:rPr>
          <w:noProof/>
        </w:rPr>
        <w:t>plateforme européenne de vaccination pour l’échange d’informations et de bonnes pratiques.</w:t>
      </w:r>
    </w:p>
    <w:p w:rsidR="00696AA6" w:rsidRDefault="00155027">
      <w:pPr>
        <w:pStyle w:val="Bodytext60"/>
        <w:shd w:val="clear" w:color="auto" w:fill="auto"/>
        <w:tabs>
          <w:tab w:val="left" w:pos="346"/>
        </w:tabs>
        <w:spacing w:before="0" w:after="114"/>
        <w:rPr>
          <w:rFonts w:ascii="Times New Roman" w:hAnsi="Times New Roman" w:cs="Times New Roman"/>
          <w:b w:val="0"/>
          <w:bCs w:val="0"/>
          <w:noProof/>
          <w:sz w:val="24"/>
          <w:szCs w:val="24"/>
        </w:rPr>
      </w:pPr>
      <w:r>
        <w:rPr>
          <w:rFonts w:ascii="Times New Roman" w:hAnsi="Times New Roman"/>
          <w:b w:val="0"/>
          <w:noProof/>
          <w:sz w:val="24"/>
        </w:rPr>
        <w:t>Les instruments de financement jugés les plus importants pour la R &amp; D sont le</w:t>
      </w:r>
      <w:r>
        <w:rPr>
          <w:rFonts w:ascii="Times New Roman" w:hAnsi="Times New Roman"/>
          <w:b w:val="0"/>
          <w:noProof/>
          <w:sz w:val="24"/>
        </w:rPr>
        <w:t>s subventions européennes Horizon 2020 (42 %) et les partenariats public-public financés par l’Union (33 %).</w:t>
      </w:r>
    </w:p>
    <w:p w:rsidR="00696AA6" w:rsidRDefault="00155027">
      <w:pPr>
        <w:pStyle w:val="Heading1"/>
        <w:numPr>
          <w:ilvl w:val="1"/>
          <w:numId w:val="11"/>
        </w:numPr>
        <w:rPr>
          <w:rStyle w:val="Bodytext6SmallCaps"/>
          <w:b/>
          <w:bCs/>
          <w:noProof/>
          <w:sz w:val="24"/>
          <w:szCs w:val="24"/>
        </w:rPr>
      </w:pPr>
      <w:r>
        <w:rPr>
          <w:rStyle w:val="Bodytext6SmallCaps"/>
          <w:noProof/>
          <w:sz w:val="24"/>
        </w:rPr>
        <w:t>Promotion des échanges transfrontières au sein de l’Union</w:t>
      </w:r>
    </w:p>
    <w:p w:rsidR="00696AA6" w:rsidRDefault="00155027">
      <w:pPr>
        <w:pStyle w:val="Bodytext60"/>
        <w:shd w:val="clear" w:color="auto" w:fill="auto"/>
        <w:tabs>
          <w:tab w:val="left" w:pos="346"/>
        </w:tabs>
        <w:spacing w:before="0" w:after="114"/>
        <w:rPr>
          <w:noProof/>
        </w:rPr>
      </w:pPr>
      <w:r>
        <w:rPr>
          <w:rFonts w:ascii="Times New Roman" w:hAnsi="Times New Roman"/>
          <w:b w:val="0"/>
          <w:noProof/>
          <w:sz w:val="24"/>
        </w:rPr>
        <w:t>Lors de la consultation ciblée, les parties intéressées</w:t>
      </w:r>
      <w:r>
        <w:rPr>
          <w:rStyle w:val="FootnoteReference"/>
          <w:rFonts w:ascii="Times New Roman" w:hAnsi="Times New Roman"/>
          <w:b w:val="0"/>
          <w:noProof/>
          <w:sz w:val="24"/>
        </w:rPr>
        <w:footnoteReference w:id="23"/>
      </w:r>
      <w:r>
        <w:rPr>
          <w:rFonts w:ascii="Times New Roman" w:hAnsi="Times New Roman"/>
          <w:b w:val="0"/>
          <w:noProof/>
          <w:sz w:val="24"/>
        </w:rPr>
        <w:t xml:space="preserve"> ont, à 97 %, appelé la Commissio</w:t>
      </w:r>
      <w:r>
        <w:rPr>
          <w:rFonts w:ascii="Times New Roman" w:hAnsi="Times New Roman"/>
          <w:b w:val="0"/>
          <w:noProof/>
          <w:sz w:val="24"/>
        </w:rPr>
        <w:t xml:space="preserve">n à coordonner l’échange de bonnes pratiques et de produits vaccinaux entre les États membres. </w:t>
      </w:r>
    </w:p>
    <w:p w:rsidR="00696AA6" w:rsidRDefault="00155027">
      <w:pPr>
        <w:pStyle w:val="Bodytext60"/>
        <w:shd w:val="clear" w:color="auto" w:fill="auto"/>
        <w:tabs>
          <w:tab w:val="left" w:pos="346"/>
        </w:tabs>
        <w:spacing w:before="0" w:after="114"/>
        <w:rPr>
          <w:rFonts w:ascii="Times New Roman" w:hAnsi="Times New Roman" w:cs="Times New Roman"/>
          <w:b w:val="0"/>
          <w:bCs w:val="0"/>
          <w:noProof/>
          <w:sz w:val="24"/>
          <w:szCs w:val="24"/>
        </w:rPr>
      </w:pPr>
      <w:r>
        <w:rPr>
          <w:rFonts w:ascii="Times New Roman" w:hAnsi="Times New Roman"/>
          <w:b w:val="0"/>
          <w:noProof/>
          <w:sz w:val="24"/>
        </w:rPr>
        <w:t>Les citoyens</w:t>
      </w:r>
      <w:r>
        <w:rPr>
          <w:rStyle w:val="FootnoteReference"/>
          <w:rFonts w:ascii="Times New Roman" w:hAnsi="Times New Roman"/>
          <w:b w:val="0"/>
          <w:noProof/>
          <w:sz w:val="24"/>
        </w:rPr>
        <w:footnoteReference w:id="24"/>
      </w:r>
      <w:r>
        <w:rPr>
          <w:rFonts w:ascii="Times New Roman" w:hAnsi="Times New Roman"/>
          <w:b w:val="0"/>
          <w:noProof/>
          <w:sz w:val="24"/>
        </w:rPr>
        <w:t xml:space="preserve"> ont, à 55 %, appelé à un échange de bonnes pratiques en matière d’indemnisation des préjudices vaccinaux.</w:t>
      </w:r>
    </w:p>
    <w:p w:rsidR="00696AA6" w:rsidRDefault="00696AA6">
      <w:pPr>
        <w:pStyle w:val="Bodytext60"/>
        <w:shd w:val="clear" w:color="auto" w:fill="auto"/>
        <w:tabs>
          <w:tab w:val="left" w:pos="346"/>
        </w:tabs>
        <w:spacing w:before="0" w:after="114"/>
        <w:rPr>
          <w:rStyle w:val="Bodytext6SmallCaps"/>
          <w:rFonts w:eastAsiaTheme="minorHAnsi"/>
          <w:b/>
          <w:bCs/>
          <w:noProof/>
          <w:sz w:val="24"/>
          <w:szCs w:val="24"/>
        </w:rPr>
      </w:pPr>
    </w:p>
    <w:p w:rsidR="00696AA6" w:rsidRDefault="00155027">
      <w:pPr>
        <w:pStyle w:val="Bodytext60"/>
        <w:shd w:val="clear" w:color="auto" w:fill="auto"/>
        <w:tabs>
          <w:tab w:val="left" w:pos="346"/>
        </w:tabs>
        <w:spacing w:before="0" w:after="114"/>
        <w:rPr>
          <w:rStyle w:val="Bodytext6SmallCaps"/>
          <w:rFonts w:eastAsiaTheme="minorHAnsi"/>
          <w:b/>
          <w:bCs/>
          <w:noProof/>
          <w:sz w:val="24"/>
          <w:szCs w:val="24"/>
        </w:rPr>
      </w:pPr>
      <w:r>
        <w:rPr>
          <w:rStyle w:val="Bodytext6SmallCaps"/>
          <w:rFonts w:eastAsiaTheme="minorHAnsi"/>
          <w:noProof/>
          <w:sz w:val="24"/>
        </w:rPr>
        <w:t>Renforcement de la coopération européen</w:t>
      </w:r>
      <w:r>
        <w:rPr>
          <w:rStyle w:val="Bodytext6SmallCaps"/>
          <w:rFonts w:eastAsiaTheme="minorHAnsi"/>
          <w:noProof/>
          <w:sz w:val="24"/>
        </w:rPr>
        <w:t>ne en matière d’anticipation des risques de santé publique</w:t>
      </w:r>
    </w:p>
    <w:p w:rsidR="00696AA6" w:rsidRDefault="00155027">
      <w:pPr>
        <w:pStyle w:val="Bodytext60"/>
        <w:shd w:val="clear" w:color="auto" w:fill="auto"/>
        <w:tabs>
          <w:tab w:val="left" w:pos="346"/>
        </w:tabs>
        <w:spacing w:before="0" w:after="114"/>
        <w:rPr>
          <w:rFonts w:ascii="Times New Roman" w:hAnsi="Times New Roman" w:cs="Times New Roman"/>
          <w:b w:val="0"/>
          <w:noProof/>
          <w:sz w:val="24"/>
          <w:szCs w:val="24"/>
        </w:rPr>
      </w:pPr>
      <w:r>
        <w:rPr>
          <w:rFonts w:ascii="Times New Roman" w:hAnsi="Times New Roman"/>
          <w:b w:val="0"/>
          <w:noProof/>
          <w:sz w:val="24"/>
        </w:rPr>
        <w:t>Les participants à la consultation publique et à la consultation ciblée estiment que les États membres devraient collaborer avec l’industrie dans l’élaboration d’un plan de gestion de crise pour pr</w:t>
      </w:r>
      <w:r>
        <w:rPr>
          <w:rFonts w:ascii="Times New Roman" w:hAnsi="Times New Roman"/>
          <w:b w:val="0"/>
          <w:noProof/>
          <w:sz w:val="24"/>
        </w:rPr>
        <w:t xml:space="preserve">évoir et réduire les risques liés à la production de vaccins. </w:t>
      </w:r>
    </w:p>
    <w:p w:rsidR="00696AA6" w:rsidRDefault="00155027">
      <w:pPr>
        <w:pStyle w:val="Heading1"/>
        <w:keepNext/>
        <w:numPr>
          <w:ilvl w:val="1"/>
          <w:numId w:val="11"/>
        </w:numPr>
        <w:rPr>
          <w:rStyle w:val="Bodytext6SmallCaps"/>
          <w:b/>
          <w:bCs/>
          <w:noProof/>
          <w:sz w:val="24"/>
          <w:szCs w:val="24"/>
        </w:rPr>
      </w:pPr>
      <w:r>
        <w:rPr>
          <w:rStyle w:val="Bodytext6SmallCaps"/>
          <w:noProof/>
          <w:sz w:val="24"/>
        </w:rPr>
        <w:t>Rendre la recherche plus globale et plus efficace</w:t>
      </w:r>
    </w:p>
    <w:p w:rsidR="00696AA6" w:rsidRDefault="00155027">
      <w:pPr>
        <w:pStyle w:val="Bodytext60"/>
        <w:shd w:val="clear" w:color="auto" w:fill="auto"/>
        <w:tabs>
          <w:tab w:val="left" w:pos="346"/>
        </w:tabs>
        <w:spacing w:before="0" w:after="114"/>
        <w:rPr>
          <w:rFonts w:ascii="Times New Roman" w:hAnsi="Times New Roman" w:cs="Times New Roman"/>
          <w:b w:val="0"/>
          <w:noProof/>
          <w:sz w:val="24"/>
          <w:szCs w:val="24"/>
        </w:rPr>
      </w:pPr>
      <w:r>
        <w:rPr>
          <w:rFonts w:ascii="Times New Roman" w:hAnsi="Times New Roman"/>
          <w:b w:val="0"/>
          <w:noProof/>
          <w:sz w:val="24"/>
        </w:rPr>
        <w:t>Les participants à la consultation publique et à la consultation ciblée s’accordent quasi unanimement à dire que l’action européenne en matière</w:t>
      </w:r>
      <w:r>
        <w:rPr>
          <w:rFonts w:ascii="Times New Roman" w:hAnsi="Times New Roman"/>
          <w:b w:val="0"/>
          <w:noProof/>
          <w:sz w:val="24"/>
        </w:rPr>
        <w:t xml:space="preserve"> de recherche vaccinale doit se dérouler au sein et à l’extérieur de l’Union. </w:t>
      </w:r>
    </w:p>
    <w:p w:rsidR="00696AA6" w:rsidRDefault="00155027">
      <w:pPr>
        <w:pStyle w:val="Bodytext60"/>
        <w:shd w:val="clear" w:color="auto" w:fill="auto"/>
        <w:tabs>
          <w:tab w:val="left" w:pos="346"/>
        </w:tabs>
        <w:spacing w:before="0" w:after="114"/>
        <w:rPr>
          <w:rFonts w:ascii="Times New Roman" w:hAnsi="Times New Roman" w:cs="Times New Roman"/>
          <w:b w:val="0"/>
          <w:noProof/>
          <w:sz w:val="24"/>
          <w:szCs w:val="24"/>
        </w:rPr>
      </w:pPr>
      <w:r>
        <w:rPr>
          <w:rFonts w:ascii="Times New Roman" w:hAnsi="Times New Roman"/>
          <w:b w:val="0"/>
          <w:noProof/>
          <w:sz w:val="24"/>
        </w:rPr>
        <w:t>Pour favoriser la collaboration entre les autorités de santé publique, la société civile et l’industrie des vaccins sur la mise en œuvre de la recherche, les parties intéressées</w:t>
      </w:r>
      <w:r>
        <w:rPr>
          <w:rFonts w:ascii="Times New Roman" w:hAnsi="Times New Roman"/>
          <w:b w:val="0"/>
          <w:noProof/>
          <w:sz w:val="24"/>
        </w:rPr>
        <w:t xml:space="preserve"> proposent:</w:t>
      </w:r>
    </w:p>
    <w:p w:rsidR="00696AA6" w:rsidRDefault="00155027">
      <w:pPr>
        <w:pStyle w:val="ListParagraph"/>
        <w:numPr>
          <w:ilvl w:val="0"/>
          <w:numId w:val="14"/>
        </w:numPr>
        <w:spacing w:after="160" w:line="259" w:lineRule="auto"/>
        <w:jc w:val="both"/>
        <w:rPr>
          <w:noProof/>
        </w:rPr>
      </w:pPr>
      <w:r>
        <w:rPr>
          <w:noProof/>
        </w:rPr>
        <w:t>de créer des réseaux ou plateformes d’experts;</w:t>
      </w:r>
    </w:p>
    <w:p w:rsidR="00696AA6" w:rsidRDefault="00155027">
      <w:pPr>
        <w:pStyle w:val="ListParagraph"/>
        <w:numPr>
          <w:ilvl w:val="0"/>
          <w:numId w:val="14"/>
        </w:numPr>
        <w:spacing w:after="160" w:line="259" w:lineRule="auto"/>
        <w:jc w:val="both"/>
        <w:rPr>
          <w:noProof/>
        </w:rPr>
      </w:pPr>
      <w:r>
        <w:rPr>
          <w:noProof/>
        </w:rPr>
        <w:t>d’instaurer un cadre réglementaire axé sur l’anticipation des pénuries;</w:t>
      </w:r>
    </w:p>
    <w:p w:rsidR="00696AA6" w:rsidRDefault="00155027">
      <w:pPr>
        <w:pStyle w:val="ListParagraph"/>
        <w:numPr>
          <w:ilvl w:val="0"/>
          <w:numId w:val="14"/>
        </w:numPr>
        <w:spacing w:after="160" w:line="259" w:lineRule="auto"/>
        <w:jc w:val="both"/>
        <w:rPr>
          <w:noProof/>
        </w:rPr>
      </w:pPr>
      <w:r>
        <w:rPr>
          <w:noProof/>
        </w:rPr>
        <w:t>de fonder une agence européenne se consacrant à la conception d’actions et à la définition du financement; et</w:t>
      </w:r>
    </w:p>
    <w:p w:rsidR="00696AA6" w:rsidRDefault="00155027">
      <w:pPr>
        <w:pStyle w:val="ListParagraph"/>
        <w:numPr>
          <w:ilvl w:val="0"/>
          <w:numId w:val="14"/>
        </w:numPr>
        <w:spacing w:after="160" w:line="259" w:lineRule="auto"/>
        <w:jc w:val="both"/>
        <w:rPr>
          <w:noProof/>
        </w:rPr>
      </w:pPr>
      <w:r>
        <w:rPr>
          <w:noProof/>
        </w:rPr>
        <w:t>de développer d</w:t>
      </w:r>
      <w:r>
        <w:rPr>
          <w:noProof/>
        </w:rPr>
        <w:t>es actions conjointes et des partenariats public-privé pour instaurer la confiance et générer ou collecter de nouvelles données.</w:t>
      </w:r>
    </w:p>
    <w:p w:rsidR="00696AA6" w:rsidRDefault="00155027">
      <w:pPr>
        <w:pStyle w:val="Heading1"/>
        <w:keepNext/>
        <w:numPr>
          <w:ilvl w:val="0"/>
          <w:numId w:val="11"/>
        </w:numPr>
        <w:rPr>
          <w:rStyle w:val="Bodytext6SmallCaps"/>
          <w:b/>
          <w:bCs/>
          <w:noProof/>
          <w:sz w:val="24"/>
          <w:szCs w:val="24"/>
        </w:rPr>
      </w:pPr>
      <w:r>
        <w:rPr>
          <w:rStyle w:val="Bodytext6SmallCaps"/>
          <w:noProof/>
          <w:sz w:val="24"/>
        </w:rPr>
        <w:t>Conclusion</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 xml:space="preserve">Globalement, il ressort de la consultation un appel à une meilleure coordination des efforts en matière de </w:t>
      </w:r>
      <w:r>
        <w:rPr>
          <w:rFonts w:ascii="Times New Roman" w:hAnsi="Times New Roman"/>
          <w:noProof/>
          <w:sz w:val="24"/>
        </w:rPr>
        <w:t>vaccination à l’échelle nationale et européenne. L’égalité d’accès aux programmes de vaccination et la réticence à la vaccination ont été les principaux défis recensés. Les citoyens ont exprimé une plus grande préoccupation à l’égard de la sécurité et de l</w:t>
      </w:r>
      <w:r>
        <w:rPr>
          <w:rFonts w:ascii="Times New Roman" w:hAnsi="Times New Roman"/>
          <w:noProof/>
          <w:sz w:val="24"/>
        </w:rPr>
        <w:t>’efficacité des programmes de vaccination, insistant sur la nécessité d’études et d’informations plus transparentes.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principales préoccupations des participants réticents à la vaccination ont été i) les effets secondaires et les composants des vaccins,</w:t>
      </w:r>
      <w:r>
        <w:rPr>
          <w:rFonts w:ascii="Times New Roman" w:hAnsi="Times New Roman"/>
          <w:noProof/>
          <w:sz w:val="24"/>
        </w:rPr>
        <w:t xml:space="preserve"> ii) le manque perçu de sécurité et d’efficacité des vaccins, iii) l’imposition d’une vaccination obligatoire, iv) l’absence de plans d’indemnisation des préjudices vaccinaux, v) les intérêts financiers de l’industrie pharmaceutique, vi) le manque d’études</w:t>
      </w:r>
      <w:r>
        <w:rPr>
          <w:rFonts w:ascii="Times New Roman" w:hAnsi="Times New Roman"/>
          <w:noProof/>
          <w:sz w:val="24"/>
        </w:rPr>
        <w:t xml:space="preserve"> scientifiques transparentes et indépendantes de l’industrie, vii) l’unilatéralité perçue des informations sur les bénéfices, mais pas sur les risques, et viii) la méfiance envers les autorités publiques.</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Même si ces groupes représentent la grande majorité</w:t>
      </w:r>
      <w:r>
        <w:rPr>
          <w:rFonts w:ascii="Times New Roman" w:hAnsi="Times New Roman"/>
          <w:noProof/>
          <w:sz w:val="24"/>
        </w:rPr>
        <w:t xml:space="preserve"> des participants (plus de 70 % d’entre eux), les autres ont approuvé l’initiative.</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principales suggestions découlant de la consultation ciblée ont été i) de faire participer les pharmaciens à l’administration des vaccins, ii) d’intégrer la vaccination</w:t>
      </w:r>
      <w:r>
        <w:rPr>
          <w:rFonts w:ascii="Times New Roman" w:hAnsi="Times New Roman"/>
          <w:noProof/>
          <w:sz w:val="24"/>
        </w:rPr>
        <w:t xml:space="preserve"> dans un concept de soins de santé préventifs plus large, iii) de mettre davantage l’accent sur la vaccination des adultes, et iv) de moderniser l’accès aux informations de l’ECDC et de l’EMA.</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 xml:space="preserve">Les avis sur la feuille de route étaient axés sur la nécessité </w:t>
      </w:r>
      <w:r>
        <w:rPr>
          <w:rFonts w:ascii="Times New Roman" w:hAnsi="Times New Roman"/>
          <w:noProof/>
          <w:sz w:val="24"/>
        </w:rPr>
        <w:t xml:space="preserve">d’un dialogue, d’une coopération et d’un échange de bonnes pratiques, dans le respect des spécificités et des compétences nationales.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Les participants à la consultation publique et à la consultation ciblée ont également préconisé d’impliquer davantage les</w:t>
      </w:r>
      <w:r>
        <w:rPr>
          <w:rFonts w:ascii="Times New Roman" w:hAnsi="Times New Roman"/>
          <w:noProof/>
          <w:sz w:val="24"/>
        </w:rPr>
        <w:t xml:space="preserve"> professionnels de la santé dans la promotion de la vaccination en leur offrant une formation et des supports d’information. Ils ont insisté sur l’éducation et l’information du public sur la vaccination au travers d’une approche locale et en face à face. L</w:t>
      </w:r>
      <w:r>
        <w:rPr>
          <w:rFonts w:ascii="Times New Roman" w:hAnsi="Times New Roman"/>
          <w:noProof/>
          <w:sz w:val="24"/>
        </w:rPr>
        <w:t xml:space="preserve">’introduction d’un dossier électronique de vaccination a été vivement soutenue. </w:t>
      </w:r>
    </w:p>
    <w:p w:rsidR="00696AA6"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Globalement, les participants se sont montrés favorables à ce que la Commission joue un rôle dans la facilitation de l’échange d’informations et de bonnes pratiques sur la vac</w:t>
      </w:r>
      <w:r>
        <w:rPr>
          <w:rFonts w:ascii="Times New Roman" w:hAnsi="Times New Roman"/>
          <w:noProof/>
          <w:sz w:val="24"/>
        </w:rPr>
        <w:t>cination entre les pays.</w:t>
      </w:r>
    </w:p>
    <w:p w:rsidR="00696AA6" w:rsidRPr="00155027" w:rsidRDefault="00155027">
      <w:pPr>
        <w:pStyle w:val="Bodytext20"/>
        <w:shd w:val="clear" w:color="auto" w:fill="auto"/>
        <w:spacing w:after="120"/>
        <w:ind w:firstLine="0"/>
        <w:jc w:val="both"/>
        <w:rPr>
          <w:rFonts w:ascii="Times New Roman" w:hAnsi="Times New Roman" w:cs="Times New Roman"/>
          <w:noProof/>
          <w:sz w:val="24"/>
          <w:szCs w:val="24"/>
        </w:rPr>
      </w:pPr>
      <w:r>
        <w:rPr>
          <w:rFonts w:ascii="Times New Roman" w:hAnsi="Times New Roman"/>
          <w:noProof/>
          <w:sz w:val="24"/>
        </w:rPr>
        <w:t>En raison du fort déséquilibre géographique des contributions, le questionnaire n’est pas statistiquement représentatif en tant qu’instrument de consultation. Toutefois, le grand nombre de réponses reçues par rapport à d’autres con</w:t>
      </w:r>
      <w:r>
        <w:rPr>
          <w:rFonts w:ascii="Times New Roman" w:hAnsi="Times New Roman"/>
          <w:noProof/>
          <w:sz w:val="24"/>
        </w:rPr>
        <w:t>sultations témoigne de l’importance du sujet.</w:t>
      </w:r>
    </w:p>
    <w:sectPr w:rsidR="00696AA6" w:rsidRPr="00155027">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AC019A" w15:done="0"/>
  <w15:commentEx w15:paraId="67C63B46" w15:done="0"/>
  <w15:commentEx w15:paraId="3ADCCD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A6" w:rsidRDefault="00155027">
      <w:pPr>
        <w:spacing w:after="0" w:line="240" w:lineRule="auto"/>
      </w:pPr>
      <w:r>
        <w:separator/>
      </w:r>
    </w:p>
  </w:endnote>
  <w:endnote w:type="continuationSeparator" w:id="0">
    <w:p w:rsidR="00696AA6" w:rsidRDefault="0015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27" w:rsidRPr="00155027" w:rsidRDefault="00155027" w:rsidP="00155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27" w:rsidRPr="00155027" w:rsidRDefault="00155027" w:rsidP="00155027">
    <w:pPr>
      <w:pStyle w:val="FooterCoverPage"/>
      <w:rPr>
        <w:rFonts w:ascii="Arial" w:hAnsi="Arial" w:cs="Arial"/>
        <w:b/>
        <w:sz w:val="48"/>
      </w:rPr>
    </w:pPr>
    <w:r w:rsidRPr="00155027">
      <w:rPr>
        <w:rFonts w:ascii="Arial" w:hAnsi="Arial" w:cs="Arial"/>
        <w:b/>
        <w:sz w:val="48"/>
      </w:rPr>
      <w:t>FR</w:t>
    </w:r>
    <w:r w:rsidRPr="00155027">
      <w:rPr>
        <w:rFonts w:ascii="Arial" w:hAnsi="Arial" w:cs="Arial"/>
        <w:b/>
        <w:sz w:val="48"/>
      </w:rPr>
      <w:tab/>
    </w:r>
    <w:r w:rsidRPr="00155027">
      <w:rPr>
        <w:rFonts w:ascii="Arial" w:hAnsi="Arial" w:cs="Arial"/>
        <w:b/>
        <w:sz w:val="48"/>
      </w:rPr>
      <w:tab/>
    </w:r>
    <w:r w:rsidRPr="00155027">
      <w:tab/>
    </w:r>
    <w:proofErr w:type="spellStart"/>
    <w:r w:rsidRPr="0015502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27" w:rsidRPr="00155027" w:rsidRDefault="00155027" w:rsidP="0015502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A6" w:rsidRDefault="00696A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33555"/>
      <w:docPartObj>
        <w:docPartGallery w:val="Page Numbers (Bottom of Page)"/>
        <w:docPartUnique/>
      </w:docPartObj>
    </w:sdtPr>
    <w:sdtEndPr>
      <w:rPr>
        <w:noProof/>
      </w:rPr>
    </w:sdtEndPr>
    <w:sdtContent>
      <w:p w:rsidR="00696AA6" w:rsidRDefault="001550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96AA6" w:rsidRDefault="00696A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A6" w:rsidRDefault="00696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A6" w:rsidRDefault="00155027">
      <w:pPr>
        <w:spacing w:after="0" w:line="240" w:lineRule="auto"/>
      </w:pPr>
      <w:r>
        <w:separator/>
      </w:r>
    </w:p>
  </w:footnote>
  <w:footnote w:type="continuationSeparator" w:id="0">
    <w:p w:rsidR="00696AA6" w:rsidRDefault="00155027">
      <w:pPr>
        <w:spacing w:after="0" w:line="240" w:lineRule="auto"/>
      </w:pPr>
      <w:r>
        <w:continuationSeparator/>
      </w:r>
    </w:p>
  </w:footnote>
  <w:footnote w:id="1">
    <w:p w:rsidR="00696AA6" w:rsidRDefault="00155027">
      <w:pPr>
        <w:pStyle w:val="FootnoteText"/>
        <w:rPr>
          <w:lang w:val="it-IT"/>
        </w:rPr>
      </w:pPr>
      <w:r>
        <w:rPr>
          <w:rStyle w:val="FootnoteReference"/>
        </w:rPr>
        <w:footnoteRef/>
      </w:r>
      <w:r>
        <w:t xml:space="preserve"> </w:t>
      </w:r>
      <w:hyperlink r:id="rId1">
        <w:r>
          <w:rPr>
            <w:rStyle w:val="Hyperlink"/>
          </w:rPr>
          <w:t>http://ec.europa.eu/info/law/better-regulation/initiatives/ares-2017-</w:t>
        </w:r>
        <w:r>
          <w:rPr>
            <w:rStyle w:val="Hyperlink"/>
          </w:rPr>
          <w:t>5925775_fr</w:t>
        </w:r>
      </w:hyperlink>
    </w:p>
  </w:footnote>
  <w:footnote w:id="2">
    <w:p w:rsidR="00696AA6" w:rsidRDefault="00155027">
      <w:pPr>
        <w:pStyle w:val="FootnoteText"/>
        <w:rPr>
          <w:lang w:val="fr-BE"/>
        </w:rPr>
      </w:pPr>
      <w:r>
        <w:rPr>
          <w:rStyle w:val="FootnoteReference"/>
        </w:rPr>
        <w:footnoteRef/>
      </w:r>
      <w:r>
        <w:t xml:space="preserve"> Du 4 décembre 2017 au 1</w:t>
      </w:r>
      <w:r>
        <w:rPr>
          <w:vertAlign w:val="superscript"/>
        </w:rPr>
        <w:t>er</w:t>
      </w:r>
      <w:r>
        <w:t> janvier 2018.</w:t>
      </w:r>
    </w:p>
  </w:footnote>
  <w:footnote w:id="3">
    <w:p w:rsidR="00696AA6" w:rsidRDefault="00155027">
      <w:pPr>
        <w:pStyle w:val="FootnoteText"/>
        <w:rPr>
          <w:lang w:val="fr-BE"/>
        </w:rPr>
      </w:pPr>
      <w:r>
        <w:rPr>
          <w:rStyle w:val="FootnoteReference"/>
        </w:rPr>
        <w:footnoteRef/>
      </w:r>
      <w:r>
        <w:t xml:space="preserve"> </w:t>
      </w:r>
      <w:hyperlink r:id="rId2" w:anchor="how_to_submit">
        <w:r>
          <w:rPr>
            <w:rStyle w:val="Hyperlink"/>
          </w:rPr>
          <w:t>https://ec.europa.eu/info/consult</w:t>
        </w:r>
        <w:r>
          <w:rPr>
            <w:rStyle w:val="Hyperlink"/>
          </w:rPr>
          <w:t>ations/open-public-consultation-strengthened-cooperation-against-vaccine-preventable-diseases_fr#how_to_submit</w:t>
        </w:r>
      </w:hyperlink>
    </w:p>
  </w:footnote>
  <w:footnote w:id="4">
    <w:p w:rsidR="00696AA6" w:rsidRDefault="00155027">
      <w:pPr>
        <w:pStyle w:val="FootnoteText"/>
      </w:pPr>
      <w:r>
        <w:rPr>
          <w:rStyle w:val="FootnoteReference"/>
        </w:rPr>
        <w:footnoteRef/>
      </w:r>
      <w:r>
        <w:t xml:space="preserve"> Le questionnaire n’était pas disponible en irlandais.</w:t>
      </w:r>
    </w:p>
  </w:footnote>
  <w:footnote w:id="5">
    <w:p w:rsidR="00696AA6" w:rsidRDefault="00155027">
      <w:pPr>
        <w:pStyle w:val="FootnoteText"/>
      </w:pPr>
      <w:r>
        <w:rPr>
          <w:rStyle w:val="FootnoteReference"/>
        </w:rPr>
        <w:footnoteRef/>
      </w:r>
      <w:r>
        <w:t xml:space="preserve"> Membres de la plateforme pour la politique de santé; candidats au prix européen de la s</w:t>
      </w:r>
      <w:r>
        <w:t>anté récompensant les ONG dans le domaine de la vaccination; parties intéressées représentant les points de contacts nationaux désignés participant à l’action commune de l’Union relative à la vaccination; représentants des États membres au forum consultati</w:t>
      </w:r>
      <w:r>
        <w:t>f et dans le réseau relatif aux maladies à prévention vaccinale du Centre européen de prévention et de contrôle des maladies (ECDC).</w:t>
      </w:r>
    </w:p>
  </w:footnote>
  <w:footnote w:id="6">
    <w:p w:rsidR="00696AA6" w:rsidRDefault="00155027">
      <w:pPr>
        <w:pStyle w:val="FootnoteText"/>
      </w:pPr>
      <w:r>
        <w:rPr>
          <w:rStyle w:val="FootnoteReference"/>
        </w:rPr>
        <w:footnoteRef/>
      </w:r>
      <w:r>
        <w:t xml:space="preserve"> https://www.ipsn.eu/vaccins-commission-europeenne-demande-avis-15-mars</w:t>
      </w:r>
    </w:p>
  </w:footnote>
  <w:footnote w:id="7">
    <w:p w:rsidR="00696AA6" w:rsidRDefault="00155027">
      <w:pPr>
        <w:pStyle w:val="FootnoteText"/>
      </w:pPr>
      <w:r>
        <w:rPr>
          <w:rStyle w:val="FootnoteReference"/>
        </w:rPr>
        <w:footnoteRef/>
      </w:r>
      <w:r>
        <w:t xml:space="preserve"> Par les participants à la consultation publique </w:t>
      </w:r>
      <w:r>
        <w:t>et à la consultation ciblée.</w:t>
      </w:r>
    </w:p>
  </w:footnote>
  <w:footnote w:id="8">
    <w:p w:rsidR="00696AA6" w:rsidRDefault="00155027">
      <w:pPr>
        <w:pStyle w:val="FootnoteText"/>
      </w:pPr>
      <w:r>
        <w:rPr>
          <w:rStyle w:val="FootnoteReference"/>
        </w:rPr>
        <w:footnoteRef/>
      </w:r>
      <w:r>
        <w:t xml:space="preserve"> À l’exception de ceux ayant répondu «Je ne sais pas».</w:t>
      </w:r>
    </w:p>
  </w:footnote>
  <w:footnote w:id="9">
    <w:p w:rsidR="00696AA6" w:rsidRDefault="00155027">
      <w:pPr>
        <w:pStyle w:val="FootnoteText"/>
        <w:rPr>
          <w:lang w:val="fr-BE"/>
        </w:rPr>
      </w:pPr>
      <w:r>
        <w:rPr>
          <w:rStyle w:val="FootnoteReference"/>
        </w:rPr>
        <w:footnoteRef/>
      </w:r>
      <w:r>
        <w:t xml:space="preserve"> Répondant à la consultation ciblée uniquement.</w:t>
      </w:r>
    </w:p>
  </w:footnote>
  <w:footnote w:id="10">
    <w:p w:rsidR="00696AA6" w:rsidRDefault="00155027">
      <w:pPr>
        <w:pStyle w:val="FootnoteText"/>
        <w:rPr>
          <w:lang w:val="fr-BE"/>
        </w:rPr>
      </w:pPr>
      <w:r>
        <w:rPr>
          <w:rStyle w:val="FootnoteReference"/>
        </w:rPr>
        <w:footnoteRef/>
      </w:r>
      <w:r>
        <w:t xml:space="preserve"> Répondant à la CPO et à la consultation ciblée.</w:t>
      </w:r>
    </w:p>
  </w:footnote>
  <w:footnote w:id="11">
    <w:p w:rsidR="00696AA6" w:rsidRDefault="00155027">
      <w:pPr>
        <w:pStyle w:val="FootnoteText"/>
        <w:rPr>
          <w:lang w:val="fr-BE"/>
        </w:rPr>
      </w:pPr>
      <w:r>
        <w:rPr>
          <w:rStyle w:val="FootnoteReference"/>
        </w:rPr>
        <w:footnoteRef/>
      </w:r>
      <w:r>
        <w:t xml:space="preserve"> Répondant à la consultation ciblée uniquement.</w:t>
      </w:r>
    </w:p>
  </w:footnote>
  <w:footnote w:id="12">
    <w:p w:rsidR="00696AA6" w:rsidRDefault="00155027">
      <w:pPr>
        <w:pStyle w:val="FootnoteText"/>
        <w:rPr>
          <w:lang w:val="fr-BE"/>
        </w:rPr>
      </w:pPr>
      <w:r>
        <w:rPr>
          <w:rStyle w:val="FootnoteReference"/>
        </w:rPr>
        <w:footnoteRef/>
      </w:r>
      <w:r>
        <w:t xml:space="preserve"> Répondant à la consultation ciblée uniquement.</w:t>
      </w:r>
    </w:p>
  </w:footnote>
  <w:footnote w:id="13">
    <w:p w:rsidR="00696AA6" w:rsidRDefault="00155027">
      <w:pPr>
        <w:pStyle w:val="FootnoteText"/>
      </w:pPr>
      <w:r>
        <w:rPr>
          <w:rStyle w:val="FootnoteReference"/>
        </w:rPr>
        <w:footnoteRef/>
      </w:r>
      <w:r>
        <w:t xml:space="preserve"> Répondant à la consultation ciblée uniquement.</w:t>
      </w:r>
    </w:p>
  </w:footnote>
  <w:footnote w:id="14">
    <w:p w:rsidR="00696AA6" w:rsidRDefault="00155027">
      <w:pPr>
        <w:pStyle w:val="FootnoteText"/>
      </w:pPr>
      <w:r>
        <w:rPr>
          <w:rStyle w:val="FootnoteReference"/>
        </w:rPr>
        <w:footnoteRef/>
      </w:r>
      <w:r>
        <w:t xml:space="preserve"> Les participants à la CPO n’ont pas été interrogés sur ce sujet.</w:t>
      </w:r>
    </w:p>
  </w:footnote>
  <w:footnote w:id="15">
    <w:p w:rsidR="00696AA6" w:rsidRDefault="00155027">
      <w:pPr>
        <w:pStyle w:val="FootnoteText"/>
      </w:pPr>
      <w:r>
        <w:rPr>
          <w:rStyle w:val="FootnoteReference"/>
        </w:rPr>
        <w:footnoteRef/>
      </w:r>
      <w:r>
        <w:t xml:space="preserve"> Répondant à la consultation ouverte uniquement.</w:t>
      </w:r>
    </w:p>
  </w:footnote>
  <w:footnote w:id="16">
    <w:p w:rsidR="00696AA6" w:rsidRDefault="00155027">
      <w:pPr>
        <w:pStyle w:val="FootnoteText"/>
        <w:rPr>
          <w:lang w:val="fr-BE"/>
        </w:rPr>
      </w:pPr>
      <w:r>
        <w:rPr>
          <w:rStyle w:val="FootnoteReference"/>
        </w:rPr>
        <w:footnoteRef/>
      </w:r>
      <w:r>
        <w:t xml:space="preserve"> Répondant à la consultation ciblée uniqu</w:t>
      </w:r>
      <w:r>
        <w:t>ement.</w:t>
      </w:r>
    </w:p>
  </w:footnote>
  <w:footnote w:id="17">
    <w:p w:rsidR="00696AA6" w:rsidRDefault="00155027">
      <w:pPr>
        <w:pStyle w:val="FootnoteText"/>
        <w:rPr>
          <w:lang w:val="fr-BE"/>
        </w:rPr>
      </w:pPr>
      <w:r>
        <w:rPr>
          <w:rStyle w:val="FootnoteReference"/>
        </w:rPr>
        <w:footnoteRef/>
      </w:r>
      <w:r>
        <w:t xml:space="preserve"> Répondant à la consultation ciblée uniquement.</w:t>
      </w:r>
    </w:p>
  </w:footnote>
  <w:footnote w:id="18">
    <w:p w:rsidR="00696AA6" w:rsidRDefault="00155027">
      <w:pPr>
        <w:pStyle w:val="FootnoteText"/>
      </w:pPr>
      <w:r>
        <w:rPr>
          <w:rStyle w:val="FootnoteReference"/>
        </w:rPr>
        <w:footnoteRef/>
      </w:r>
      <w:r>
        <w:t xml:space="preserve"> Répondant à la consultation ciblée uniquement.</w:t>
      </w:r>
    </w:p>
  </w:footnote>
  <w:footnote w:id="19">
    <w:p w:rsidR="00696AA6" w:rsidRDefault="00155027">
      <w:pPr>
        <w:pStyle w:val="FootnoteText"/>
        <w:rPr>
          <w:lang w:val="fr-BE"/>
        </w:rPr>
      </w:pPr>
      <w:r>
        <w:rPr>
          <w:rStyle w:val="FootnoteReference"/>
        </w:rPr>
        <w:footnoteRef/>
      </w:r>
      <w:r>
        <w:t xml:space="preserve"> Répondant à la consultation ciblée uniquement.</w:t>
      </w:r>
    </w:p>
  </w:footnote>
  <w:footnote w:id="20">
    <w:p w:rsidR="00696AA6" w:rsidRDefault="00155027">
      <w:pPr>
        <w:pStyle w:val="FootnoteText"/>
        <w:rPr>
          <w:lang w:val="fr-BE"/>
        </w:rPr>
      </w:pPr>
      <w:r>
        <w:rPr>
          <w:rStyle w:val="FootnoteReference"/>
        </w:rPr>
        <w:footnoteRef/>
      </w:r>
      <w:r>
        <w:t xml:space="preserve"> Répondant à la consultation ciblée uniquement.</w:t>
      </w:r>
    </w:p>
  </w:footnote>
  <w:footnote w:id="21">
    <w:p w:rsidR="00696AA6" w:rsidRDefault="00155027">
      <w:pPr>
        <w:pStyle w:val="FootnoteText"/>
        <w:rPr>
          <w:lang w:val="fr-BE"/>
        </w:rPr>
      </w:pPr>
      <w:r>
        <w:rPr>
          <w:rStyle w:val="FootnoteReference"/>
        </w:rPr>
        <w:footnoteRef/>
      </w:r>
      <w:r>
        <w:t xml:space="preserve"> Répondant à la consultation ciblée uniquement.</w:t>
      </w:r>
    </w:p>
  </w:footnote>
  <w:footnote w:id="22">
    <w:p w:rsidR="00696AA6" w:rsidRDefault="00155027">
      <w:pPr>
        <w:pStyle w:val="FootnoteText"/>
        <w:rPr>
          <w:lang w:val="fr-BE"/>
        </w:rPr>
      </w:pPr>
      <w:r>
        <w:rPr>
          <w:rStyle w:val="FootnoteReference"/>
        </w:rPr>
        <w:footnoteRef/>
      </w:r>
      <w:r>
        <w:t xml:space="preserve"> Ré</w:t>
      </w:r>
      <w:r>
        <w:t>pondant à la consultation ciblée uniquement.</w:t>
      </w:r>
    </w:p>
  </w:footnote>
  <w:footnote w:id="23">
    <w:p w:rsidR="00696AA6" w:rsidRDefault="00155027">
      <w:pPr>
        <w:pStyle w:val="FootnoteText"/>
        <w:rPr>
          <w:lang w:val="fr-BE"/>
        </w:rPr>
      </w:pPr>
      <w:r>
        <w:rPr>
          <w:rStyle w:val="FootnoteReference"/>
        </w:rPr>
        <w:footnoteRef/>
      </w:r>
      <w:r>
        <w:t xml:space="preserve"> Répondant à la consultation ciblée uniquement.</w:t>
      </w:r>
    </w:p>
  </w:footnote>
  <w:footnote w:id="24">
    <w:p w:rsidR="00696AA6" w:rsidRDefault="00155027">
      <w:pPr>
        <w:pStyle w:val="FootnoteText"/>
      </w:pPr>
      <w:r>
        <w:rPr>
          <w:rStyle w:val="FootnoteReference"/>
        </w:rPr>
        <w:footnoteRef/>
      </w:r>
      <w:r>
        <w:t xml:space="preserve"> Les citoyens sans avis n’ont pas été pris en considération sur cette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27" w:rsidRPr="00155027" w:rsidRDefault="00155027" w:rsidP="00155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27" w:rsidRPr="00155027" w:rsidRDefault="00155027" w:rsidP="0015502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27" w:rsidRPr="00155027" w:rsidRDefault="00155027" w:rsidP="0015502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A6" w:rsidRDefault="00696A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A6" w:rsidRDefault="00696A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A6" w:rsidRDefault="00696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3159"/>
    <w:multiLevelType w:val="multilevel"/>
    <w:tmpl w:val="B7061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24F95"/>
    <w:multiLevelType w:val="hybridMultilevel"/>
    <w:tmpl w:val="ED5ED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0D5CC0"/>
    <w:multiLevelType w:val="hybridMultilevel"/>
    <w:tmpl w:val="18FE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DA783F"/>
    <w:multiLevelType w:val="multilevel"/>
    <w:tmpl w:val="4EA22D68"/>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E16FD3"/>
    <w:multiLevelType w:val="hybridMultilevel"/>
    <w:tmpl w:val="9C14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F37570"/>
    <w:multiLevelType w:val="hybridMultilevel"/>
    <w:tmpl w:val="3208E850"/>
    <w:lvl w:ilvl="0" w:tplc="93EC6B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AC1447"/>
    <w:multiLevelType w:val="hybridMultilevel"/>
    <w:tmpl w:val="309C34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nsid w:val="313C06E7"/>
    <w:multiLevelType w:val="hybridMultilevel"/>
    <w:tmpl w:val="0CEAC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BAF6312"/>
    <w:multiLevelType w:val="hybridMultilevel"/>
    <w:tmpl w:val="8DC40C7A"/>
    <w:lvl w:ilvl="0" w:tplc="0F2C6406">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AF50D7"/>
    <w:multiLevelType w:val="hybridMultilevel"/>
    <w:tmpl w:val="17428E8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nsid w:val="42590FA5"/>
    <w:multiLevelType w:val="multilevel"/>
    <w:tmpl w:val="D3505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D87D47"/>
    <w:multiLevelType w:val="hybridMultilevel"/>
    <w:tmpl w:val="CDC4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416F34"/>
    <w:multiLevelType w:val="hybridMultilevel"/>
    <w:tmpl w:val="CB868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8891EAE"/>
    <w:multiLevelType w:val="hybridMultilevel"/>
    <w:tmpl w:val="7E72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FD556DA"/>
    <w:multiLevelType w:val="hybridMultilevel"/>
    <w:tmpl w:val="EC562026"/>
    <w:lvl w:ilvl="0" w:tplc="041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FF40519"/>
    <w:multiLevelType w:val="hybridMultilevel"/>
    <w:tmpl w:val="9E50F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2"/>
  </w:num>
  <w:num w:numId="4">
    <w:abstractNumId w:val="8"/>
  </w:num>
  <w:num w:numId="5">
    <w:abstractNumId w:val="4"/>
  </w:num>
  <w:num w:numId="6">
    <w:abstractNumId w:val="9"/>
  </w:num>
  <w:num w:numId="7">
    <w:abstractNumId w:val="6"/>
  </w:num>
  <w:num w:numId="8">
    <w:abstractNumId w:val="5"/>
  </w:num>
  <w:num w:numId="9">
    <w:abstractNumId w:val="14"/>
  </w:num>
  <w:num w:numId="10">
    <w:abstractNumId w:val="1"/>
  </w:num>
  <w:num w:numId="11">
    <w:abstractNumId w:val="3"/>
  </w:num>
  <w:num w:numId="12">
    <w:abstractNumId w:val="2"/>
  </w:num>
  <w:num w:numId="13">
    <w:abstractNumId w:val="15"/>
  </w:num>
  <w:num w:numId="14">
    <w:abstractNumId w:val="13"/>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S Maya (SANTE)">
    <w15:presenceInfo w15:providerId="None" w15:userId="MATTHEWS May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0B1C338-D03A-4E22-B278-F7587F0CE8B3"/>
    <w:docVar w:name="LW_COVERPAGE_TYPE" w:val="1"/>
    <w:docVar w:name="LW_CROSSREFERENCE" w:val="{COM(2018) 245 final}_x000a_{COM(2018) 244 final}"/>
    <w:docVar w:name="LW_DocType" w:val="NORMAL"/>
    <w:docVar w:name="LW_EMISSION" w:val="26.4.2018"/>
    <w:docVar w:name="LW_EMISSION_ISODATE" w:val="2018-04-26"/>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relative à la coopération renforcée contre les maladies à prévention vaccinale"/>
    <w:docVar w:name="LW_PART_NBR" w:val="1"/>
    <w:docVar w:name="LW_PART_NBR_TOTAL" w:val="1"/>
    <w:docVar w:name="LW_REF.INST.NEW" w:val="SWD"/>
    <w:docVar w:name="LW_REF.INST.NEW_ADOPTED" w:val="final"/>
    <w:docVar w:name="LW_REF.INST.NEW_TEXT" w:val="(2018)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e synthèse"/>
    <w:docVar w:name="LW_TYPE.DOC.CP" w:val="DOCUMENT DE TRAVAIL DES SERVICES DE LA COMMISSION"/>
    <w:docVar w:name="LW_TYPEACTEPRINCIPAL.CP" w:val="Communication de la Commission au Parlement européen, au Conseil, au Comité économique et social européen et au Comité des régions_x000b__x000b__x000b_et_x000b__x000b_Proposition de recommandation du Conseil"/>
  </w:docVars>
  <w:rsids>
    <w:rsidRoot w:val="00696AA6"/>
    <w:rsid w:val="00155027"/>
    <w:rsid w:val="0069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character" w:customStyle="1" w:styleId="Bodytext3Exact">
    <w:name w:val="Body text (3) Exact"/>
    <w:basedOn w:val="DefaultParagraphFont"/>
    <w:link w:val="Bodytext3"/>
    <w:rPr>
      <w:rFonts w:ascii="Arial" w:eastAsia="Arial" w:hAnsi="Arial" w:cs="Arial"/>
      <w:shd w:val="clear" w:color="auto" w:fill="FFFFFF"/>
      <w:lang w:val="fr-FR" w:eastAsia="fr-FR" w:bidi="fr-FR"/>
    </w:rPr>
  </w:style>
  <w:style w:type="character" w:customStyle="1" w:styleId="Heading1Exact">
    <w:name w:val="Heading #1 Exact"/>
    <w:basedOn w:val="DefaultParagraphFont"/>
    <w:link w:val="Heading10"/>
    <w:rPr>
      <w:rFonts w:ascii="Arial" w:eastAsia="Arial" w:hAnsi="Arial" w:cs="Arial"/>
      <w:b/>
      <w:bCs/>
      <w:sz w:val="46"/>
      <w:szCs w:val="46"/>
      <w:shd w:val="clear" w:color="auto" w:fill="FFFFFF"/>
      <w:lang w:val="fr-FR" w:eastAsia="fr-FR" w:bidi="fr-FR"/>
    </w:rPr>
  </w:style>
  <w:style w:type="character" w:customStyle="1" w:styleId="Bodytext2">
    <w:name w:val="Body text (2)_"/>
    <w:basedOn w:val="DefaultParagraphFont"/>
    <w:link w:val="Bodytext20"/>
    <w:rPr>
      <w:shd w:val="clear" w:color="auto" w:fill="FFFFFF"/>
    </w:rPr>
  </w:style>
  <w:style w:type="character" w:customStyle="1" w:styleId="Bodytext4">
    <w:name w:val="Body text (4)_"/>
    <w:basedOn w:val="DefaultParagraphFont"/>
    <w:link w:val="Bodytext40"/>
    <w:rPr>
      <w:b/>
      <w:bCs/>
      <w:shd w:val="clear" w:color="auto" w:fill="FFFFFF"/>
    </w:rPr>
  </w:style>
  <w:style w:type="character" w:customStyle="1" w:styleId="Bodytext4Italic">
    <w:name w:val="Body text (4) + Italic"/>
    <w:basedOn w:val="Bodytext4"/>
    <w:rPr>
      <w:rFonts w:ascii="Times New Roman" w:eastAsia="Times New Roman" w:hAnsi="Times New Roman" w:cs="Times New Roman"/>
      <w:b/>
      <w:bCs/>
      <w:i/>
      <w:iCs/>
      <w:color w:val="000000"/>
      <w:spacing w:val="0"/>
      <w:w w:val="100"/>
      <w:position w:val="0"/>
      <w:sz w:val="24"/>
      <w:szCs w:val="24"/>
      <w:shd w:val="clear" w:color="auto" w:fill="FFFFFF"/>
      <w:lang w:val="fr-FR" w:eastAsia="fr-FR" w:bidi="fr-FR"/>
    </w:rPr>
  </w:style>
  <w:style w:type="character" w:customStyle="1" w:styleId="Bodytext5">
    <w:name w:val="Body text (5)_"/>
    <w:basedOn w:val="DefaultParagraphFont"/>
    <w:link w:val="Bodytext50"/>
    <w:rPr>
      <w:b/>
      <w:bCs/>
      <w:sz w:val="28"/>
      <w:szCs w:val="28"/>
      <w:shd w:val="clear" w:color="auto" w:fill="FFFFFF"/>
      <w:lang w:val="fr-FR" w:eastAsia="fr-FR" w:bidi="fr-FR"/>
    </w:rPr>
  </w:style>
  <w:style w:type="character" w:customStyle="1" w:styleId="Headerorfooter">
    <w:name w:val="Header or footer_"/>
    <w:basedOn w:val="DefaultParagraphFont"/>
    <w:rPr>
      <w:b/>
      <w:bCs/>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Bodytext6">
    <w:name w:val="Body text (6)_"/>
    <w:basedOn w:val="DefaultParagraphFont"/>
    <w:link w:val="Bodytext60"/>
    <w:rPr>
      <w:b/>
      <w:bCs/>
      <w:shd w:val="clear" w:color="auto" w:fill="FFFFFF"/>
    </w:rPr>
  </w:style>
  <w:style w:type="character" w:customStyle="1" w:styleId="Bodytext612pt">
    <w:name w:val="Body text (6) + 12 pt"/>
    <w:aliases w:val="Not Bold"/>
    <w:basedOn w:val="Bodytext6"/>
    <w:rPr>
      <w:rFonts w:ascii="Times New Roman" w:eastAsia="Times New Roman" w:hAnsi="Times New Roman" w:cs="Times New Roman"/>
      <w:b/>
      <w:bCs/>
      <w:color w:val="000000"/>
      <w:spacing w:val="0"/>
      <w:w w:val="100"/>
      <w:position w:val="0"/>
      <w:sz w:val="24"/>
      <w:szCs w:val="24"/>
      <w:shd w:val="clear" w:color="auto" w:fill="FFFFFF"/>
      <w:lang w:val="fr-FR" w:eastAsia="fr-FR" w:bidi="fr-FR"/>
    </w:rPr>
  </w:style>
  <w:style w:type="character" w:customStyle="1" w:styleId="Bodytext6SmallCaps">
    <w:name w:val="Body text (6) + Small Caps"/>
    <w:basedOn w:val="Bodytext6"/>
    <w:rPr>
      <w:rFonts w:ascii="Times New Roman" w:eastAsia="Times New Roman" w:hAnsi="Times New Roman" w:cs="Times New Roman"/>
      <w:b/>
      <w:bCs/>
      <w:smallCaps/>
      <w:color w:val="000000"/>
      <w:spacing w:val="0"/>
      <w:w w:val="100"/>
      <w:position w:val="0"/>
      <w:shd w:val="clear" w:color="auto" w:fill="FFFFFF"/>
      <w:lang w:val="fr-FR" w:eastAsia="fr-FR" w:bidi="fr-FR"/>
    </w:rPr>
  </w:style>
  <w:style w:type="character" w:customStyle="1" w:styleId="Bodytext7">
    <w:name w:val="Body text (7)_"/>
    <w:basedOn w:val="DefaultParagraphFont"/>
    <w:link w:val="Bodytext70"/>
    <w:rPr>
      <w:sz w:val="20"/>
      <w:szCs w:val="20"/>
      <w:shd w:val="clear" w:color="auto" w:fill="FFFFFF"/>
    </w:rPr>
  </w:style>
  <w:style w:type="character" w:customStyle="1" w:styleId="Heading2">
    <w:name w:val="Heading #2_"/>
    <w:basedOn w:val="DefaultParagraphFont"/>
    <w:link w:val="Heading20"/>
    <w:rPr>
      <w:b/>
      <w:bCs/>
      <w:shd w:val="clear" w:color="auto" w:fill="FFFFFF"/>
    </w:rPr>
  </w:style>
  <w:style w:type="character" w:customStyle="1" w:styleId="Bodytext2115pt">
    <w:name w:val="Body text (2) + 11.5 pt"/>
    <w:basedOn w:val="Bodytext2"/>
    <w:rPr>
      <w:rFonts w:ascii="Times New Roman" w:eastAsia="Times New Roman" w:hAnsi="Times New Roman" w:cs="Times New Roman"/>
      <w:color w:val="000000"/>
      <w:spacing w:val="0"/>
      <w:w w:val="100"/>
      <w:position w:val="0"/>
      <w:sz w:val="23"/>
      <w:szCs w:val="23"/>
      <w:shd w:val="clear" w:color="auto" w:fill="FFFFFF"/>
      <w:lang w:val="fr-FR" w:eastAsia="fr-FR" w:bidi="fr-FR"/>
    </w:rPr>
  </w:style>
  <w:style w:type="paragraph" w:customStyle="1" w:styleId="Bodytext3">
    <w:name w:val="Body text (3)"/>
    <w:basedOn w:val="Normal"/>
    <w:link w:val="Bodytext3Exact"/>
    <w:pPr>
      <w:widowControl w:val="0"/>
      <w:shd w:val="clear" w:color="auto" w:fill="FFFFFF"/>
      <w:spacing w:after="0" w:line="246" w:lineRule="exact"/>
    </w:pPr>
    <w:rPr>
      <w:rFonts w:ascii="Arial" w:eastAsia="Arial" w:hAnsi="Arial" w:cs="Arial"/>
    </w:rPr>
  </w:style>
  <w:style w:type="paragraph" w:customStyle="1" w:styleId="Heading10">
    <w:name w:val="Heading #1"/>
    <w:basedOn w:val="Normal"/>
    <w:link w:val="Heading1Exact"/>
    <w:pPr>
      <w:widowControl w:val="0"/>
      <w:shd w:val="clear" w:color="auto" w:fill="FFFFFF"/>
      <w:spacing w:after="0" w:line="514" w:lineRule="exact"/>
      <w:outlineLvl w:val="0"/>
    </w:pPr>
    <w:rPr>
      <w:rFonts w:ascii="Arial" w:eastAsia="Arial" w:hAnsi="Arial" w:cs="Arial"/>
      <w:b/>
      <w:bCs/>
      <w:sz w:val="46"/>
      <w:szCs w:val="46"/>
    </w:rPr>
  </w:style>
  <w:style w:type="paragraph" w:customStyle="1" w:styleId="Bodytext20">
    <w:name w:val="Body text (2)"/>
    <w:basedOn w:val="Normal"/>
    <w:link w:val="Bodytext2"/>
    <w:pPr>
      <w:widowControl w:val="0"/>
      <w:shd w:val="clear" w:color="auto" w:fill="FFFFFF"/>
      <w:spacing w:after="1440" w:line="274" w:lineRule="exact"/>
      <w:ind w:hanging="360"/>
    </w:pPr>
  </w:style>
  <w:style w:type="paragraph" w:customStyle="1" w:styleId="Bodytext40">
    <w:name w:val="Body text (4)"/>
    <w:basedOn w:val="Normal"/>
    <w:link w:val="Bodytext4"/>
    <w:pPr>
      <w:widowControl w:val="0"/>
      <w:shd w:val="clear" w:color="auto" w:fill="FFFFFF"/>
      <w:spacing w:before="1440" w:after="0" w:line="624" w:lineRule="exact"/>
      <w:jc w:val="center"/>
    </w:pPr>
    <w:rPr>
      <w:b/>
      <w:bCs/>
    </w:rPr>
  </w:style>
  <w:style w:type="paragraph" w:customStyle="1" w:styleId="Bodytext50">
    <w:name w:val="Body text (5)"/>
    <w:basedOn w:val="Normal"/>
    <w:link w:val="Bodytext5"/>
    <w:pPr>
      <w:widowControl w:val="0"/>
      <w:shd w:val="clear" w:color="auto" w:fill="FFFFFF"/>
      <w:spacing w:after="500" w:line="310" w:lineRule="exact"/>
      <w:jc w:val="center"/>
    </w:pPr>
    <w:rPr>
      <w:b/>
      <w:bCs/>
      <w:sz w:val="28"/>
      <w:szCs w:val="28"/>
    </w:rPr>
  </w:style>
  <w:style w:type="paragraph" w:customStyle="1" w:styleId="Bodytext60">
    <w:name w:val="Body text (6)"/>
    <w:basedOn w:val="Normal"/>
    <w:link w:val="Bodytext6"/>
    <w:pPr>
      <w:widowControl w:val="0"/>
      <w:shd w:val="clear" w:color="auto" w:fill="FFFFFF"/>
      <w:spacing w:before="500" w:after="120" w:line="266" w:lineRule="exact"/>
      <w:jc w:val="both"/>
    </w:pPr>
    <w:rPr>
      <w:b/>
      <w:bCs/>
    </w:rPr>
  </w:style>
  <w:style w:type="paragraph" w:customStyle="1" w:styleId="Bodytext70">
    <w:name w:val="Body text (7)"/>
    <w:basedOn w:val="Normal"/>
    <w:link w:val="Bodytext7"/>
    <w:pPr>
      <w:widowControl w:val="0"/>
      <w:shd w:val="clear" w:color="auto" w:fill="FFFFFF"/>
      <w:spacing w:before="1480" w:after="0" w:line="235" w:lineRule="exact"/>
      <w:jc w:val="both"/>
    </w:pPr>
    <w:rPr>
      <w:sz w:val="20"/>
      <w:szCs w:val="20"/>
    </w:rPr>
  </w:style>
  <w:style w:type="paragraph" w:customStyle="1" w:styleId="Heading20">
    <w:name w:val="Heading #2"/>
    <w:basedOn w:val="Normal"/>
    <w:link w:val="Heading2"/>
    <w:pPr>
      <w:widowControl w:val="0"/>
      <w:shd w:val="clear" w:color="auto" w:fill="FFFFFF"/>
      <w:spacing w:before="120" w:after="120" w:line="266" w:lineRule="exact"/>
      <w:ind w:hanging="380"/>
      <w:jc w:val="both"/>
      <w:outlineLvl w:val="1"/>
    </w:pPr>
    <w:rPr>
      <w:b/>
      <w:bCs/>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val="fr-FR" w:bidi="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pPr>
      <w:widowControl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widowControl w:val="0"/>
    </w:pPr>
    <w:rPr>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bidi="fr-FR"/>
    </w:rPr>
  </w:style>
  <w:style w:type="paragraph" w:styleId="BalloonText">
    <w:name w:val="Balloon Text"/>
    <w:basedOn w:val="Normal"/>
    <w:link w:val="BalloonTextChar"/>
    <w:uiPriority w:val="99"/>
    <w:semiHidden/>
    <w:unhideWhenUsed/>
    <w:pPr>
      <w:widowControl w:val="0"/>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fr-FR" w:bidi="fr-FR"/>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rPr>
  </w:style>
  <w:style w:type="table" w:customStyle="1" w:styleId="PlainTable51">
    <w:name w:val="Plain Table 51"/>
    <w:basedOn w:val="TableNormal"/>
    <w:uiPriority w:val="45"/>
    <w:pPr>
      <w:widowControl w:val="0"/>
      <w:spacing w:after="0" w:line="240" w:lineRule="auto"/>
    </w:pPr>
    <w:rPr>
      <w:rFonts w:ascii="Times New Roman" w:eastAsia="Times New Roman" w:hAnsi="Times New Roman" w:cs="Times New Roman"/>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pPr>
      <w:widowControl w:val="0"/>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pPr>
      <w:widowControl w:val="0"/>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pPr>
      <w:widowControl w:val="0"/>
      <w:spacing w:after="0" w:line="240" w:lineRule="auto"/>
    </w:pPr>
    <w:rPr>
      <w:rFonts w:ascii="Times New Roman" w:eastAsia="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character" w:customStyle="1" w:styleId="Bodytext3Exact">
    <w:name w:val="Body text (3) Exact"/>
    <w:basedOn w:val="DefaultParagraphFont"/>
    <w:link w:val="Bodytext3"/>
    <w:rPr>
      <w:rFonts w:ascii="Arial" w:eastAsia="Arial" w:hAnsi="Arial" w:cs="Arial"/>
      <w:shd w:val="clear" w:color="auto" w:fill="FFFFFF"/>
      <w:lang w:val="fr-FR" w:eastAsia="fr-FR" w:bidi="fr-FR"/>
    </w:rPr>
  </w:style>
  <w:style w:type="character" w:customStyle="1" w:styleId="Heading1Exact">
    <w:name w:val="Heading #1 Exact"/>
    <w:basedOn w:val="DefaultParagraphFont"/>
    <w:link w:val="Heading10"/>
    <w:rPr>
      <w:rFonts w:ascii="Arial" w:eastAsia="Arial" w:hAnsi="Arial" w:cs="Arial"/>
      <w:b/>
      <w:bCs/>
      <w:sz w:val="46"/>
      <w:szCs w:val="46"/>
      <w:shd w:val="clear" w:color="auto" w:fill="FFFFFF"/>
      <w:lang w:val="fr-FR" w:eastAsia="fr-FR" w:bidi="fr-FR"/>
    </w:rPr>
  </w:style>
  <w:style w:type="character" w:customStyle="1" w:styleId="Bodytext2">
    <w:name w:val="Body text (2)_"/>
    <w:basedOn w:val="DefaultParagraphFont"/>
    <w:link w:val="Bodytext20"/>
    <w:rPr>
      <w:shd w:val="clear" w:color="auto" w:fill="FFFFFF"/>
    </w:rPr>
  </w:style>
  <w:style w:type="character" w:customStyle="1" w:styleId="Bodytext4">
    <w:name w:val="Body text (4)_"/>
    <w:basedOn w:val="DefaultParagraphFont"/>
    <w:link w:val="Bodytext40"/>
    <w:rPr>
      <w:b/>
      <w:bCs/>
      <w:shd w:val="clear" w:color="auto" w:fill="FFFFFF"/>
    </w:rPr>
  </w:style>
  <w:style w:type="character" w:customStyle="1" w:styleId="Bodytext4Italic">
    <w:name w:val="Body text (4) + Italic"/>
    <w:basedOn w:val="Bodytext4"/>
    <w:rPr>
      <w:rFonts w:ascii="Times New Roman" w:eastAsia="Times New Roman" w:hAnsi="Times New Roman" w:cs="Times New Roman"/>
      <w:b/>
      <w:bCs/>
      <w:i/>
      <w:iCs/>
      <w:color w:val="000000"/>
      <w:spacing w:val="0"/>
      <w:w w:val="100"/>
      <w:position w:val="0"/>
      <w:sz w:val="24"/>
      <w:szCs w:val="24"/>
      <w:shd w:val="clear" w:color="auto" w:fill="FFFFFF"/>
      <w:lang w:val="fr-FR" w:eastAsia="fr-FR" w:bidi="fr-FR"/>
    </w:rPr>
  </w:style>
  <w:style w:type="character" w:customStyle="1" w:styleId="Bodytext5">
    <w:name w:val="Body text (5)_"/>
    <w:basedOn w:val="DefaultParagraphFont"/>
    <w:link w:val="Bodytext50"/>
    <w:rPr>
      <w:b/>
      <w:bCs/>
      <w:sz w:val="28"/>
      <w:szCs w:val="28"/>
      <w:shd w:val="clear" w:color="auto" w:fill="FFFFFF"/>
      <w:lang w:val="fr-FR" w:eastAsia="fr-FR" w:bidi="fr-FR"/>
    </w:rPr>
  </w:style>
  <w:style w:type="character" w:customStyle="1" w:styleId="Headerorfooter">
    <w:name w:val="Header or footer_"/>
    <w:basedOn w:val="DefaultParagraphFont"/>
    <w:rPr>
      <w:b/>
      <w:bCs/>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Bodytext6">
    <w:name w:val="Body text (6)_"/>
    <w:basedOn w:val="DefaultParagraphFont"/>
    <w:link w:val="Bodytext60"/>
    <w:rPr>
      <w:b/>
      <w:bCs/>
      <w:shd w:val="clear" w:color="auto" w:fill="FFFFFF"/>
    </w:rPr>
  </w:style>
  <w:style w:type="character" w:customStyle="1" w:styleId="Bodytext612pt">
    <w:name w:val="Body text (6) + 12 pt"/>
    <w:aliases w:val="Not Bold"/>
    <w:basedOn w:val="Bodytext6"/>
    <w:rPr>
      <w:rFonts w:ascii="Times New Roman" w:eastAsia="Times New Roman" w:hAnsi="Times New Roman" w:cs="Times New Roman"/>
      <w:b/>
      <w:bCs/>
      <w:color w:val="000000"/>
      <w:spacing w:val="0"/>
      <w:w w:val="100"/>
      <w:position w:val="0"/>
      <w:sz w:val="24"/>
      <w:szCs w:val="24"/>
      <w:shd w:val="clear" w:color="auto" w:fill="FFFFFF"/>
      <w:lang w:val="fr-FR" w:eastAsia="fr-FR" w:bidi="fr-FR"/>
    </w:rPr>
  </w:style>
  <w:style w:type="character" w:customStyle="1" w:styleId="Bodytext6SmallCaps">
    <w:name w:val="Body text (6) + Small Caps"/>
    <w:basedOn w:val="Bodytext6"/>
    <w:rPr>
      <w:rFonts w:ascii="Times New Roman" w:eastAsia="Times New Roman" w:hAnsi="Times New Roman" w:cs="Times New Roman"/>
      <w:b/>
      <w:bCs/>
      <w:smallCaps/>
      <w:color w:val="000000"/>
      <w:spacing w:val="0"/>
      <w:w w:val="100"/>
      <w:position w:val="0"/>
      <w:shd w:val="clear" w:color="auto" w:fill="FFFFFF"/>
      <w:lang w:val="fr-FR" w:eastAsia="fr-FR" w:bidi="fr-FR"/>
    </w:rPr>
  </w:style>
  <w:style w:type="character" w:customStyle="1" w:styleId="Bodytext7">
    <w:name w:val="Body text (7)_"/>
    <w:basedOn w:val="DefaultParagraphFont"/>
    <w:link w:val="Bodytext70"/>
    <w:rPr>
      <w:sz w:val="20"/>
      <w:szCs w:val="20"/>
      <w:shd w:val="clear" w:color="auto" w:fill="FFFFFF"/>
    </w:rPr>
  </w:style>
  <w:style w:type="character" w:customStyle="1" w:styleId="Heading2">
    <w:name w:val="Heading #2_"/>
    <w:basedOn w:val="DefaultParagraphFont"/>
    <w:link w:val="Heading20"/>
    <w:rPr>
      <w:b/>
      <w:bCs/>
      <w:shd w:val="clear" w:color="auto" w:fill="FFFFFF"/>
    </w:rPr>
  </w:style>
  <w:style w:type="character" w:customStyle="1" w:styleId="Bodytext2115pt">
    <w:name w:val="Body text (2) + 11.5 pt"/>
    <w:basedOn w:val="Bodytext2"/>
    <w:rPr>
      <w:rFonts w:ascii="Times New Roman" w:eastAsia="Times New Roman" w:hAnsi="Times New Roman" w:cs="Times New Roman"/>
      <w:color w:val="000000"/>
      <w:spacing w:val="0"/>
      <w:w w:val="100"/>
      <w:position w:val="0"/>
      <w:sz w:val="23"/>
      <w:szCs w:val="23"/>
      <w:shd w:val="clear" w:color="auto" w:fill="FFFFFF"/>
      <w:lang w:val="fr-FR" w:eastAsia="fr-FR" w:bidi="fr-FR"/>
    </w:rPr>
  </w:style>
  <w:style w:type="paragraph" w:customStyle="1" w:styleId="Bodytext3">
    <w:name w:val="Body text (3)"/>
    <w:basedOn w:val="Normal"/>
    <w:link w:val="Bodytext3Exact"/>
    <w:pPr>
      <w:widowControl w:val="0"/>
      <w:shd w:val="clear" w:color="auto" w:fill="FFFFFF"/>
      <w:spacing w:after="0" w:line="246" w:lineRule="exact"/>
    </w:pPr>
    <w:rPr>
      <w:rFonts w:ascii="Arial" w:eastAsia="Arial" w:hAnsi="Arial" w:cs="Arial"/>
    </w:rPr>
  </w:style>
  <w:style w:type="paragraph" w:customStyle="1" w:styleId="Heading10">
    <w:name w:val="Heading #1"/>
    <w:basedOn w:val="Normal"/>
    <w:link w:val="Heading1Exact"/>
    <w:pPr>
      <w:widowControl w:val="0"/>
      <w:shd w:val="clear" w:color="auto" w:fill="FFFFFF"/>
      <w:spacing w:after="0" w:line="514" w:lineRule="exact"/>
      <w:outlineLvl w:val="0"/>
    </w:pPr>
    <w:rPr>
      <w:rFonts w:ascii="Arial" w:eastAsia="Arial" w:hAnsi="Arial" w:cs="Arial"/>
      <w:b/>
      <w:bCs/>
      <w:sz w:val="46"/>
      <w:szCs w:val="46"/>
    </w:rPr>
  </w:style>
  <w:style w:type="paragraph" w:customStyle="1" w:styleId="Bodytext20">
    <w:name w:val="Body text (2)"/>
    <w:basedOn w:val="Normal"/>
    <w:link w:val="Bodytext2"/>
    <w:pPr>
      <w:widowControl w:val="0"/>
      <w:shd w:val="clear" w:color="auto" w:fill="FFFFFF"/>
      <w:spacing w:after="1440" w:line="274" w:lineRule="exact"/>
      <w:ind w:hanging="360"/>
    </w:pPr>
  </w:style>
  <w:style w:type="paragraph" w:customStyle="1" w:styleId="Bodytext40">
    <w:name w:val="Body text (4)"/>
    <w:basedOn w:val="Normal"/>
    <w:link w:val="Bodytext4"/>
    <w:pPr>
      <w:widowControl w:val="0"/>
      <w:shd w:val="clear" w:color="auto" w:fill="FFFFFF"/>
      <w:spacing w:before="1440" w:after="0" w:line="624" w:lineRule="exact"/>
      <w:jc w:val="center"/>
    </w:pPr>
    <w:rPr>
      <w:b/>
      <w:bCs/>
    </w:rPr>
  </w:style>
  <w:style w:type="paragraph" w:customStyle="1" w:styleId="Bodytext50">
    <w:name w:val="Body text (5)"/>
    <w:basedOn w:val="Normal"/>
    <w:link w:val="Bodytext5"/>
    <w:pPr>
      <w:widowControl w:val="0"/>
      <w:shd w:val="clear" w:color="auto" w:fill="FFFFFF"/>
      <w:spacing w:after="500" w:line="310" w:lineRule="exact"/>
      <w:jc w:val="center"/>
    </w:pPr>
    <w:rPr>
      <w:b/>
      <w:bCs/>
      <w:sz w:val="28"/>
      <w:szCs w:val="28"/>
    </w:rPr>
  </w:style>
  <w:style w:type="paragraph" w:customStyle="1" w:styleId="Bodytext60">
    <w:name w:val="Body text (6)"/>
    <w:basedOn w:val="Normal"/>
    <w:link w:val="Bodytext6"/>
    <w:pPr>
      <w:widowControl w:val="0"/>
      <w:shd w:val="clear" w:color="auto" w:fill="FFFFFF"/>
      <w:spacing w:before="500" w:after="120" w:line="266" w:lineRule="exact"/>
      <w:jc w:val="both"/>
    </w:pPr>
    <w:rPr>
      <w:b/>
      <w:bCs/>
    </w:rPr>
  </w:style>
  <w:style w:type="paragraph" w:customStyle="1" w:styleId="Bodytext70">
    <w:name w:val="Body text (7)"/>
    <w:basedOn w:val="Normal"/>
    <w:link w:val="Bodytext7"/>
    <w:pPr>
      <w:widowControl w:val="0"/>
      <w:shd w:val="clear" w:color="auto" w:fill="FFFFFF"/>
      <w:spacing w:before="1480" w:after="0" w:line="235" w:lineRule="exact"/>
      <w:jc w:val="both"/>
    </w:pPr>
    <w:rPr>
      <w:sz w:val="20"/>
      <w:szCs w:val="20"/>
    </w:rPr>
  </w:style>
  <w:style w:type="paragraph" w:customStyle="1" w:styleId="Heading20">
    <w:name w:val="Heading #2"/>
    <w:basedOn w:val="Normal"/>
    <w:link w:val="Heading2"/>
    <w:pPr>
      <w:widowControl w:val="0"/>
      <w:shd w:val="clear" w:color="auto" w:fill="FFFFFF"/>
      <w:spacing w:before="120" w:after="120" w:line="266" w:lineRule="exact"/>
      <w:ind w:hanging="380"/>
      <w:jc w:val="both"/>
      <w:outlineLvl w:val="1"/>
    </w:pPr>
    <w:rPr>
      <w:b/>
      <w:bCs/>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val="fr-FR" w:bidi="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pPr>
      <w:widowControl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widowControl w:val="0"/>
    </w:pPr>
    <w:rPr>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bidi="fr-FR"/>
    </w:rPr>
  </w:style>
  <w:style w:type="paragraph" w:styleId="BalloonText">
    <w:name w:val="Balloon Text"/>
    <w:basedOn w:val="Normal"/>
    <w:link w:val="BalloonTextChar"/>
    <w:uiPriority w:val="99"/>
    <w:semiHidden/>
    <w:unhideWhenUsed/>
    <w:pPr>
      <w:widowControl w:val="0"/>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fr-FR" w:bidi="fr-FR"/>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rPr>
  </w:style>
  <w:style w:type="table" w:customStyle="1" w:styleId="PlainTable51">
    <w:name w:val="Plain Table 51"/>
    <w:basedOn w:val="TableNormal"/>
    <w:uiPriority w:val="45"/>
    <w:pPr>
      <w:widowControl w:val="0"/>
      <w:spacing w:after="0" w:line="240" w:lineRule="auto"/>
    </w:pPr>
    <w:rPr>
      <w:rFonts w:ascii="Times New Roman" w:eastAsia="Times New Roman" w:hAnsi="Times New Roman" w:cs="Times New Roman"/>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pPr>
      <w:widowControl w:val="0"/>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pPr>
      <w:widowControl w:val="0"/>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pPr>
      <w:widowControl w:val="0"/>
      <w:spacing w:after="0" w:line="240" w:lineRule="auto"/>
    </w:pPr>
    <w:rPr>
      <w:rFonts w:ascii="Times New Roman" w:eastAsia="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consultations/open-public-consultation-strengthened-cooperation-against-vaccine-preventable-diseases_fr" TargetMode="External"/><Relationship Id="rId1" Type="http://schemas.openxmlformats.org/officeDocument/2006/relationships/hyperlink" Target="http://ec.europa.eu/info/law/better-regulation/initiatives/ares-2017-5925775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06F6-CD1B-47E5-AAFE-7DFAEDF9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3245</Words>
  <Characters>18719</Characters>
  <Application>Microsoft Office Word</Application>
  <DocSecurity>0</DocSecurity>
  <Lines>320</Lines>
  <Paragraphs>148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21904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22</cp:revision>
  <dcterms:created xsi:type="dcterms:W3CDTF">2018-04-23T07:31:00Z</dcterms:created>
  <dcterms:modified xsi:type="dcterms:W3CDTF">2018-05-24T13:55:00Z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