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577" w:rsidRPr="00E306F7" w:rsidRDefault="005C1A0D" w:rsidP="00E306F7">
      <w:pPr>
        <w:pStyle w:val="Pagedecouverture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FFE98FD-4DDB-4806-A2C6-14A64CFCD884" style="width:450.4pt;height:384.3pt">
            <v:imagedata r:id="rId9" o:title=""/>
          </v:shape>
        </w:pict>
      </w:r>
    </w:p>
    <w:p w:rsidR="00176577" w:rsidRPr="00E306F7" w:rsidRDefault="00176577" w:rsidP="00176577">
      <w:pPr>
        <w:sectPr w:rsidR="00176577" w:rsidRPr="00E306F7" w:rsidSect="00D7006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D01B81" w:rsidRPr="00E306F7" w:rsidRDefault="00D01B81" w:rsidP="00BA0A88">
      <w:pPr>
        <w:pStyle w:val="Annexetitre"/>
        <w:rPr>
          <w:szCs w:val="24"/>
        </w:rPr>
      </w:pPr>
      <w:r w:rsidRPr="00E306F7">
        <w:t>ПРИЛОЖЕНИЕ</w:t>
      </w:r>
      <w:r w:rsidRPr="00E306F7">
        <w:br/>
        <w:t xml:space="preserve">Езиковата осъзнатост в училищата — </w:t>
      </w:r>
      <w:r w:rsidRPr="00E306F7">
        <w:br/>
        <w:t>развиване на всеобхватни подходи към изучаването на езици</w:t>
      </w:r>
    </w:p>
    <w:p w:rsidR="00D01B81" w:rsidRPr="00E306F7" w:rsidRDefault="00D01B81" w:rsidP="00D01B81">
      <w:pPr>
        <w:rPr>
          <w:szCs w:val="24"/>
        </w:rPr>
      </w:pPr>
      <w:r w:rsidRPr="00E306F7">
        <w:t>Всеобхватните подходи към езиците могат да бъдат в подкрепа на изпълнението на Препоръката относно изучаването на езици. В настоящото приложение са посочени редица педагогически принципи и добри практики, общото между които е стремежът към повишаване на всеобщата езикова осъзнатост в училищата, а крайната цел е подобряването на резултатите от изучаването на езици.</w:t>
      </w:r>
    </w:p>
    <w:p w:rsidR="00D01B81" w:rsidRPr="00E306F7" w:rsidRDefault="00D01B81" w:rsidP="00D01B81">
      <w:pPr>
        <w:rPr>
          <w:szCs w:val="24"/>
        </w:rPr>
      </w:pPr>
      <w:r w:rsidRPr="00E306F7">
        <w:t xml:space="preserve">Преподаването на език е важен елемент във всички предмети, ако се погледне на различните начини, по които езикът се използва в класната стая, както и на жизненоважната роля на езика в изучаването и разбирането на съдържанието на предметите. Доброто усвояване на академичния език върви ръка за ръка с развитието на познанията по даден предмет и неговото разбиране. </w:t>
      </w:r>
    </w:p>
    <w:p w:rsidR="00D01B81" w:rsidRPr="00E306F7" w:rsidRDefault="00D01B81" w:rsidP="00D01B81">
      <w:pPr>
        <w:rPr>
          <w:szCs w:val="24"/>
        </w:rPr>
      </w:pPr>
      <w:r w:rsidRPr="00E306F7">
        <w:t xml:space="preserve">Езиковата осъзнатост в училищата и центровете за обучение може да бъде в подкрепа на разбирането, че изучаването на езици е динамичен и непрекъснат процес — усвояването на майчиния език и на различните му регистри и стилове продължава и е в тясна и дълбока връзка с изучаването на други езици — на различна нива на владеене, в зависимост от положението, нуждите и интересите на всеки от изучаващите ги. </w:t>
      </w:r>
    </w:p>
    <w:p w:rsidR="00D01B81" w:rsidRPr="00E306F7" w:rsidRDefault="00D01B81" w:rsidP="00D01B81">
      <w:pPr>
        <w:rPr>
          <w:szCs w:val="24"/>
        </w:rPr>
      </w:pPr>
      <w:r w:rsidRPr="00E306F7">
        <w:t xml:space="preserve">Езиковата осъзнатост в училищата и центровете за обучение може да бъде в подкрепа на разсъжденията по въпроса за езиковото измерение на всички нива на организация, преподаване и практика в училищата: в областта на развиването на езикова грамотност, в изучаването на чужди езици, при преподаването на учебни предмети, за признаването на други езици, навлизащи чрез учениците, в общуването с родителите и в рамките на по-широката училищна среда и т.н. </w:t>
      </w:r>
    </w:p>
    <w:p w:rsidR="00D01B81" w:rsidRPr="00E306F7" w:rsidRDefault="00D01B81" w:rsidP="00D01B81">
      <w:pPr>
        <w:rPr>
          <w:szCs w:val="24"/>
        </w:rPr>
      </w:pPr>
      <w:r w:rsidRPr="00E306F7">
        <w:t>Тясното сътрудничество между различните членове на училищната общност — в идеалния случай в рамките на концепция за училището като образователна организация или в рамките на цялостен училищен подход — може да насърчи подобно разбиране за езиковата осъзнатост.</w:t>
      </w:r>
    </w:p>
    <w:p w:rsidR="00D01B81" w:rsidRPr="00E306F7" w:rsidRDefault="00D01B81" w:rsidP="00D01B81">
      <w:pPr>
        <w:pStyle w:val="text"/>
        <w:rPr>
          <w:b w:val="0"/>
        </w:rPr>
      </w:pPr>
      <w:r w:rsidRPr="00E306F7">
        <w:rPr>
          <w:b w:val="0"/>
        </w:rPr>
        <w:t>В подкрепа на езиковата осъзнатост в училищата и центровете за обучение са набелязани следните примери на добри практики.</w:t>
      </w:r>
    </w:p>
    <w:p w:rsidR="00D01B81" w:rsidRPr="00E306F7" w:rsidRDefault="00D01B81" w:rsidP="0017308A">
      <w:pPr>
        <w:pStyle w:val="ManualHeading2"/>
      </w:pPr>
      <w:r w:rsidRPr="00E306F7">
        <w:t xml:space="preserve">1. Многоезичие в училищата и центровете за обучение </w:t>
      </w:r>
    </w:p>
    <w:p w:rsidR="00D01B81" w:rsidRPr="00E306F7" w:rsidRDefault="00D01B81" w:rsidP="00571D4E">
      <w:pPr>
        <w:pStyle w:val="Bullet0"/>
        <w:numPr>
          <w:ilvl w:val="0"/>
          <w:numId w:val="9"/>
        </w:numPr>
        <w:rPr>
          <w:b/>
        </w:rPr>
      </w:pPr>
      <w:r w:rsidRPr="00E306F7">
        <w:rPr>
          <w:b/>
        </w:rPr>
        <w:t>Положителното отношение към езиковото многообразие може да спомогне за създаването на благоприятна за езиците среда</w:t>
      </w:r>
      <w:r w:rsidRPr="00E306F7">
        <w:t>, в която изучаването и използването на множество езици се възприема като богатство и ресурс.</w:t>
      </w:r>
      <w:r w:rsidRPr="00E306F7">
        <w:rPr>
          <w:b/>
        </w:rPr>
        <w:t xml:space="preserve"> </w:t>
      </w:r>
      <w:r w:rsidRPr="00E306F7">
        <w:t xml:space="preserve">Осведомеността за значението на изучаването на езици и за образователните, когнитивните, социалните, междукултурните, професионалните и икономическите ползи от по-масовото използване на езиците може да бъде повишавана и насърчавана. </w:t>
      </w:r>
    </w:p>
    <w:p w:rsidR="00D01B81" w:rsidRPr="00E306F7" w:rsidRDefault="00D01B81" w:rsidP="00571D4E">
      <w:pPr>
        <w:pStyle w:val="Bullet0"/>
        <w:numPr>
          <w:ilvl w:val="0"/>
          <w:numId w:val="9"/>
        </w:numPr>
      </w:pPr>
      <w:r w:rsidRPr="00E306F7">
        <w:rPr>
          <w:b/>
        </w:rPr>
        <w:t>Развиването на езиковата компетентност и на езиковата осъзнатост може да бъде интегрирано интердисциплинарно в учебните програми.</w:t>
      </w:r>
      <w:r w:rsidRPr="00E306F7">
        <w:t xml:space="preserve"> Интегрирането на езиците в други предмети може да направи възможно предлагането на по-автентично учене, насочено към реални житейски ситуации. </w:t>
      </w:r>
    </w:p>
    <w:p w:rsidR="00D01B81" w:rsidRPr="00E306F7" w:rsidRDefault="00D01B81" w:rsidP="00571D4E">
      <w:pPr>
        <w:pStyle w:val="Bullet0"/>
        <w:numPr>
          <w:ilvl w:val="0"/>
          <w:numId w:val="9"/>
        </w:numPr>
        <w:rPr>
          <w:rStyle w:val="None"/>
          <w:szCs w:val="24"/>
        </w:rPr>
      </w:pPr>
      <w:r w:rsidRPr="00E306F7">
        <w:rPr>
          <w:rStyle w:val="None"/>
          <w:b/>
        </w:rPr>
        <w:t>Мотивацията за изучаване на езици на учащите се може да бъде повишена, като се свърже образователното съдържание със собствения им живот и собствените им интереси</w:t>
      </w:r>
      <w:r w:rsidRPr="00E306F7">
        <w:rPr>
          <w:rStyle w:val="None"/>
        </w:rPr>
        <w:t>, като се вземе предвид информалното учене и се насърчава полезното взаимодействие с извънкласните дейности. В</w:t>
      </w:r>
      <w:r w:rsidRPr="00E306F7">
        <w:t>ръзките между всекидневното практикуване на език и училищата или центровете за обучение могат да бъдат укрепени, като се признават вече изучаваните езици и се предлага възможността за добавяне в удостоверенията за завършено средно образование на придобити извън формалното образование езикови компетентности.</w:t>
      </w:r>
    </w:p>
    <w:p w:rsidR="00D01B81" w:rsidRPr="00E306F7" w:rsidRDefault="00D01B81" w:rsidP="00571D4E">
      <w:pPr>
        <w:pStyle w:val="Bullet0"/>
        <w:numPr>
          <w:ilvl w:val="0"/>
          <w:numId w:val="9"/>
        </w:numPr>
        <w:rPr>
          <w:rStyle w:val="None"/>
          <w:szCs w:val="24"/>
        </w:rPr>
      </w:pPr>
      <w:r w:rsidRPr="00E306F7">
        <w:rPr>
          <w:rStyle w:val="None"/>
          <w:b/>
        </w:rPr>
        <w:t>Целият езиков репертоар на учащия се</w:t>
      </w:r>
      <w:r w:rsidRPr="00E306F7">
        <w:rPr>
          <w:rStyle w:val="None"/>
        </w:rPr>
        <w:t xml:space="preserve"> </w:t>
      </w:r>
      <w:r w:rsidRPr="00E306F7">
        <w:rPr>
          <w:rStyle w:val="None"/>
          <w:b/>
        </w:rPr>
        <w:t>може да бъде оценен и подкрепян</w:t>
      </w:r>
      <w:r w:rsidRPr="00E306F7">
        <w:rPr>
          <w:rStyle w:val="None"/>
        </w:rPr>
        <w:t xml:space="preserve"> в училище, а освен това използван и като педагогически ресурс с бъдеща учебна цел за всички учащи се.</w:t>
      </w:r>
      <w:r w:rsidRPr="00E306F7">
        <w:rPr>
          <w:rStyle w:val="None"/>
          <w:b/>
        </w:rPr>
        <w:t xml:space="preserve"> </w:t>
      </w:r>
      <w:r w:rsidRPr="00E306F7">
        <w:rPr>
          <w:rStyle w:val="None"/>
        </w:rPr>
        <w:t xml:space="preserve">Учениците могат взаимно да си помагат в ученето, да обясняват своя език (или своите езици) на другите и да ги сравняват. </w:t>
      </w:r>
    </w:p>
    <w:p w:rsidR="00D01B81" w:rsidRPr="00E306F7" w:rsidRDefault="00D01B81" w:rsidP="00571D4E">
      <w:pPr>
        <w:pStyle w:val="Bullet0"/>
        <w:numPr>
          <w:ilvl w:val="0"/>
          <w:numId w:val="9"/>
        </w:numPr>
      </w:pPr>
      <w:r w:rsidRPr="00E306F7">
        <w:rPr>
          <w:b/>
        </w:rPr>
        <w:t>Училищата биха могли да предлагат по-широка гама от езици в допълнение към основните международни езици на общуване</w:t>
      </w:r>
      <w:r w:rsidRPr="00E306F7">
        <w:t xml:space="preserve">. Включването на повече езици може да е различно в зависимост от това дали една държава има два или повече официални езика или дали е налице изразен интерес да се насърчава изучаването на езика на съседна държава. </w:t>
      </w:r>
    </w:p>
    <w:p w:rsidR="00D01B81" w:rsidRPr="00E306F7" w:rsidRDefault="00D01B81" w:rsidP="00D01B81">
      <w:pPr>
        <w:pStyle w:val="Bullet0"/>
        <w:numPr>
          <w:ilvl w:val="0"/>
          <w:numId w:val="9"/>
        </w:numPr>
      </w:pPr>
      <w:r w:rsidRPr="00E306F7">
        <w:rPr>
          <w:b/>
        </w:rPr>
        <w:t>Създаването на двуезични детски градини и училища в граничните региони</w:t>
      </w:r>
      <w:r w:rsidRPr="00E306F7">
        <w:t xml:space="preserve"> ще насърчи децата да изучават езика на своите съседи от ранна възраст и ще намали езиковите бариери в трансграничните региони.</w:t>
      </w:r>
    </w:p>
    <w:p w:rsidR="00D01B81" w:rsidRPr="00E306F7" w:rsidRDefault="00D01B81" w:rsidP="0017308A">
      <w:pPr>
        <w:pStyle w:val="ManualHeading2"/>
      </w:pPr>
      <w:r w:rsidRPr="00E306F7">
        <w:t>2. Ефективно и новаторско преподаване за подобрено изучаване на езици</w:t>
      </w:r>
    </w:p>
    <w:p w:rsidR="00D01B81" w:rsidRPr="00E306F7" w:rsidRDefault="00D01B81" w:rsidP="00571D4E">
      <w:pPr>
        <w:pStyle w:val="Bullet0"/>
        <w:numPr>
          <w:ilvl w:val="0"/>
          <w:numId w:val="9"/>
        </w:numPr>
      </w:pPr>
      <w:r w:rsidRPr="00E306F7">
        <w:t xml:space="preserve"> Потенциалът на цифровите инструменти би следвало да бъде изцяло разгърнат, за да се подобри изучаването и преподаването на езици, както и тяхното оценяване. Технологията може да окаже мощна подкрепа за разширяване на избора от езици, може да предостави възможности за излагане на въздействието на езика и да бъде много полезна в подкрепа на езиците, които не се преподават в училищата. В този контекст развиването на критичното мислене и на медийната грамотност, както и на уменията за подходящо използване на технологията може да бъде важен образователен елемент. </w:t>
      </w:r>
    </w:p>
    <w:p w:rsidR="00D01B81" w:rsidRPr="00E306F7" w:rsidRDefault="00D01B81" w:rsidP="00571D4E">
      <w:pPr>
        <w:pStyle w:val="Bullet0"/>
        <w:numPr>
          <w:ilvl w:val="0"/>
          <w:numId w:val="9"/>
        </w:numPr>
      </w:pPr>
      <w:r w:rsidRPr="00E306F7">
        <w:rPr>
          <w:b/>
        </w:rPr>
        <w:t>Виртуалното сътрудничество между училищата</w:t>
      </w:r>
      <w:r w:rsidRPr="00E306F7">
        <w:t xml:space="preserve"> </w:t>
      </w:r>
      <w:r w:rsidRPr="00E306F7">
        <w:rPr>
          <w:b/>
        </w:rPr>
        <w:t>чрез eTwinning</w:t>
      </w:r>
      <w:r w:rsidRPr="00E306F7">
        <w:t xml:space="preserve"> може да позволи на младите хода да учат езици по-добре, да работят с партньори от друга държава и да се подготвят за мобилност с цел учене, обучение или доброволческа дейност в чужбина. </w:t>
      </w:r>
    </w:p>
    <w:p w:rsidR="00D01B81" w:rsidRPr="00E306F7" w:rsidRDefault="00D01B81" w:rsidP="00571D4E">
      <w:pPr>
        <w:pStyle w:val="Bullet0"/>
        <w:numPr>
          <w:ilvl w:val="0"/>
          <w:numId w:val="9"/>
        </w:numPr>
      </w:pPr>
      <w:r w:rsidRPr="00E306F7">
        <w:rPr>
          <w:b/>
        </w:rPr>
        <w:t>Мобилността на учениците, включително по програмата „Еразъм+“,</w:t>
      </w:r>
      <w:r w:rsidRPr="00E306F7">
        <w:t xml:space="preserve"> би могла да стане редовна част от учебния процес. Тя трябва да се разшири и да обхване виртуалната мобилност и мобилността на по-широкия кръг от персонал.</w:t>
      </w:r>
    </w:p>
    <w:p w:rsidR="00D01B81" w:rsidRPr="00E306F7" w:rsidRDefault="00D01B81" w:rsidP="00571D4E">
      <w:pPr>
        <w:pStyle w:val="Bullet0"/>
        <w:numPr>
          <w:ilvl w:val="0"/>
          <w:numId w:val="9"/>
        </w:numPr>
      </w:pPr>
      <w:r w:rsidRPr="00E306F7">
        <w:rPr>
          <w:b/>
        </w:rPr>
        <w:t>Комбинация от входно,</w:t>
      </w:r>
      <w:r w:rsidRPr="00E306F7">
        <w:t xml:space="preserve"> </w:t>
      </w:r>
      <w:r w:rsidRPr="00E306F7">
        <w:rPr>
          <w:b/>
        </w:rPr>
        <w:t>текущо и крайно оценяване</w:t>
      </w:r>
      <w:r w:rsidRPr="00E306F7">
        <w:t xml:space="preserve"> може да бъде използвана от учителите, обучителите и учащите се с цел мониторинг и оценка на развитието на езиковите умения; за да се проследява напредъкът, могат да се използват индивидуални езикови досиета, например чрез европейското езиково досие или езиковия паспорт „Европас“. </w:t>
      </w:r>
    </w:p>
    <w:p w:rsidR="00D01B81" w:rsidRPr="00E306F7" w:rsidRDefault="00D01B81" w:rsidP="0017308A">
      <w:pPr>
        <w:pStyle w:val="ManualHeading2"/>
      </w:pPr>
      <w:r w:rsidRPr="00E306F7">
        <w:t>3. Подкрепа за учителите и обучителите</w:t>
      </w:r>
    </w:p>
    <w:p w:rsidR="00D01B81" w:rsidRPr="00E306F7" w:rsidRDefault="00D01B81" w:rsidP="00571D4E">
      <w:pPr>
        <w:pStyle w:val="Bullet0"/>
        <w:numPr>
          <w:ilvl w:val="0"/>
          <w:numId w:val="9"/>
        </w:numPr>
      </w:pPr>
      <w:r w:rsidRPr="00E306F7">
        <w:rPr>
          <w:b/>
        </w:rPr>
        <w:t xml:space="preserve">Учителите по съвременни езици биха могли да бъдат насърчавани да участват в </w:t>
      </w:r>
      <w:r w:rsidRPr="00E306F7">
        <w:rPr>
          <w:rStyle w:val="None"/>
          <w:b/>
        </w:rPr>
        <w:t>схеми за обмен</w:t>
      </w:r>
      <w:r w:rsidRPr="00E306F7">
        <w:t xml:space="preserve"> с държави, в които се говори целевият им език, като част от първоначалното им образование и/или по-нататъшното им професионално развитие. Всеки новодипломирал се учител по език би могъл да преминава поне шест месеца обучение или преподаване в чужбина.</w:t>
      </w:r>
    </w:p>
    <w:p w:rsidR="00D01B81" w:rsidRPr="00E306F7" w:rsidRDefault="00D01B81" w:rsidP="00571D4E">
      <w:pPr>
        <w:pStyle w:val="Bullet0"/>
        <w:numPr>
          <w:ilvl w:val="0"/>
          <w:numId w:val="9"/>
        </w:numPr>
      </w:pPr>
      <w:r w:rsidRPr="00E306F7">
        <w:rPr>
          <w:b/>
        </w:rPr>
        <w:t>Учителите и обучителите по предмети, различни от съвременните езици, биха могли да придобият езикова осъзнатост</w:t>
      </w:r>
      <w:r w:rsidRPr="00E306F7">
        <w:t xml:space="preserve"> и познания по езикова дидактика и да усвоят стратегии за подкрепа на учащите се. </w:t>
      </w:r>
    </w:p>
    <w:p w:rsidR="00D01B81" w:rsidRPr="00E306F7" w:rsidRDefault="00D01B81" w:rsidP="00571D4E">
      <w:pPr>
        <w:pStyle w:val="Bullet0"/>
        <w:numPr>
          <w:ilvl w:val="0"/>
          <w:numId w:val="9"/>
        </w:numPr>
        <w:rPr>
          <w:rStyle w:val="None"/>
          <w:rFonts w:eastAsia="SimSun"/>
          <w:szCs w:val="24"/>
        </w:rPr>
      </w:pPr>
      <w:r w:rsidRPr="00E306F7">
        <w:rPr>
          <w:rStyle w:val="None"/>
          <w:b/>
        </w:rPr>
        <w:t>В преподаването на езици биха могли да бъдат включени езикови асистенти</w:t>
      </w:r>
      <w:r w:rsidRPr="00E306F7">
        <w:rPr>
          <w:rStyle w:val="None"/>
        </w:rPr>
        <w:t xml:space="preserve">, като се използват възможностите, предлагани чрез схемите за обмен между държавите членки. </w:t>
      </w:r>
    </w:p>
    <w:p w:rsidR="00D01B81" w:rsidRPr="00E306F7" w:rsidRDefault="00D01B81" w:rsidP="00571D4E">
      <w:pPr>
        <w:pStyle w:val="Bullet0"/>
        <w:numPr>
          <w:ilvl w:val="0"/>
          <w:numId w:val="9"/>
        </w:numPr>
        <w:rPr>
          <w:rStyle w:val="None"/>
          <w:rFonts w:eastAsia="SimSun"/>
          <w:szCs w:val="24"/>
        </w:rPr>
      </w:pPr>
      <w:r w:rsidRPr="00E306F7">
        <w:rPr>
          <w:rStyle w:val="None"/>
          <w:b/>
        </w:rPr>
        <w:t>Възможности за продължаващо професионално развитие</w:t>
      </w:r>
      <w:r w:rsidRPr="00E306F7">
        <w:rPr>
          <w:rStyle w:val="None"/>
        </w:rPr>
        <w:t xml:space="preserve"> </w:t>
      </w:r>
      <w:r w:rsidRPr="00E306F7">
        <w:rPr>
          <w:rStyle w:val="None"/>
          <w:b/>
        </w:rPr>
        <w:t xml:space="preserve">могат да бъдат предоставени на учителите </w:t>
      </w:r>
      <w:r w:rsidRPr="00E306F7">
        <w:rPr>
          <w:rStyle w:val="None"/>
        </w:rPr>
        <w:t xml:space="preserve">(чрез мрежи, практикуващи общности, масивни онлайн езикови курсове, експертни центрове, онлайн учене чрез сътрудничество, активна изследователска дейност на терен и др.), за да се поддържат актуални знанията им за последните нововъведения в сферата на педагогиката и да се повишава тяхната квалификация. </w:t>
      </w:r>
    </w:p>
    <w:p w:rsidR="00D01B81" w:rsidRPr="00E306F7" w:rsidRDefault="00D01B81" w:rsidP="0017308A">
      <w:pPr>
        <w:pStyle w:val="ManualHeading2"/>
      </w:pPr>
      <w:r w:rsidRPr="00E306F7">
        <w:t xml:space="preserve">4. Партньорства и връзки в рамките на по-широката училищна среда в подкрепа на изучаването на езици </w:t>
      </w:r>
    </w:p>
    <w:p w:rsidR="00D01B81" w:rsidRPr="00E306F7" w:rsidRDefault="00D01B81" w:rsidP="00571D4E">
      <w:pPr>
        <w:pStyle w:val="Bullet0"/>
        <w:numPr>
          <w:ilvl w:val="0"/>
          <w:numId w:val="9"/>
        </w:numPr>
        <w:rPr>
          <w:rStyle w:val="None"/>
          <w:rFonts w:eastAsia="SimSun"/>
          <w:b/>
        </w:rPr>
      </w:pPr>
      <w:r w:rsidRPr="00E306F7">
        <w:rPr>
          <w:rStyle w:val="None"/>
          <w:b/>
        </w:rPr>
        <w:t xml:space="preserve">Училищата и центровете за обучение биха могли да си сътрудничат с родителите </w:t>
      </w:r>
      <w:r w:rsidRPr="00E306F7">
        <w:rPr>
          <w:rStyle w:val="None"/>
        </w:rPr>
        <w:t>относно начините, по които те могат да съдействат на децата си в процеса на изучаването на езици, особено когато децата израстват с повече от един език или използват у дома език, различен от езика на обучение.</w:t>
      </w:r>
      <w:r w:rsidRPr="00E306F7">
        <w:rPr>
          <w:rStyle w:val="None"/>
          <w:b/>
        </w:rPr>
        <w:t xml:space="preserve"> </w:t>
      </w:r>
    </w:p>
    <w:p w:rsidR="00D01B81" w:rsidRPr="00E306F7" w:rsidRDefault="00D01B81" w:rsidP="00571D4E">
      <w:pPr>
        <w:pStyle w:val="Bullet0"/>
        <w:numPr>
          <w:ilvl w:val="0"/>
          <w:numId w:val="9"/>
        </w:numPr>
        <w:rPr>
          <w:rStyle w:val="None"/>
          <w:rFonts w:eastAsia="SimSun"/>
          <w:b/>
        </w:rPr>
      </w:pPr>
      <w:r w:rsidRPr="00E306F7">
        <w:rPr>
          <w:rStyle w:val="None"/>
          <w:b/>
        </w:rPr>
        <w:t xml:space="preserve">Училищата и центровете за обучение могат да развиват партньорства с езикови центрове/лаборатории, обществени библиотеки, културни центрове или други културни асоциации, университети и научноизследователски центрове </w:t>
      </w:r>
      <w:r w:rsidRPr="00E306F7">
        <w:rPr>
          <w:rStyle w:val="None"/>
        </w:rPr>
        <w:t>с цел да се създадат по-ангажиращи учебни среди, да се обогати изборът на включените езици и да се подобрят и модернизират чрез нововъведения практиките на преподаване.</w:t>
      </w:r>
    </w:p>
    <w:p w:rsidR="00D01B81" w:rsidRPr="00E306F7" w:rsidRDefault="00D01B81" w:rsidP="00571D4E">
      <w:pPr>
        <w:pStyle w:val="Bullet0"/>
        <w:numPr>
          <w:ilvl w:val="0"/>
          <w:numId w:val="9"/>
        </w:numPr>
        <w:rPr>
          <w:rStyle w:val="None"/>
          <w:rFonts w:eastAsia="SimSun"/>
          <w:b/>
        </w:rPr>
      </w:pPr>
      <w:r w:rsidRPr="00E306F7">
        <w:rPr>
          <w:rStyle w:val="None"/>
          <w:b/>
        </w:rPr>
        <w:t>Училищата, центровете за обучение и общините може да обединят ресурси</w:t>
      </w:r>
      <w:r w:rsidRPr="00E306F7">
        <w:rPr>
          <w:rStyle w:val="None"/>
        </w:rPr>
        <w:t xml:space="preserve">, за да създадат езикови центрове с по-голямо предлагане на езици с цел да се поддържат по-малко разпространените езици и/или езиците, които не се преподават в училище.  </w:t>
      </w:r>
    </w:p>
    <w:p w:rsidR="00D01B81" w:rsidRPr="00E306F7" w:rsidRDefault="00D01B81" w:rsidP="00571D4E">
      <w:pPr>
        <w:pStyle w:val="Bullet0"/>
        <w:numPr>
          <w:ilvl w:val="0"/>
          <w:numId w:val="9"/>
        </w:numPr>
        <w:rPr>
          <w:rStyle w:val="CommentReference"/>
          <w:rFonts w:eastAsia="SimSun"/>
          <w:b/>
          <w:sz w:val="24"/>
          <w:szCs w:val="22"/>
        </w:rPr>
      </w:pPr>
      <w:r w:rsidRPr="00E306F7">
        <w:rPr>
          <w:rStyle w:val="None"/>
          <w:b/>
        </w:rPr>
        <w:t>Сътрудничеството с работодателите</w:t>
      </w:r>
      <w:r w:rsidRPr="00E306F7">
        <w:rPr>
          <w:rStyle w:val="None"/>
        </w:rPr>
        <w:t xml:space="preserve"> в региона или извън него може да спомогне да се подобри разбирането за значението на езиковите компетентности в професионалния живот и да се гарантира, че придобитите езикови компетентности действително способстват за пригодността за заетост. </w:t>
      </w:r>
    </w:p>
    <w:p w:rsidR="00BA0A88" w:rsidRPr="00E306F7" w:rsidRDefault="00BA0A88" w:rsidP="00BA0A88">
      <w:pPr>
        <w:pStyle w:val="Bullet0"/>
        <w:numPr>
          <w:ilvl w:val="0"/>
          <w:numId w:val="9"/>
        </w:numPr>
        <w:rPr>
          <w:rStyle w:val="None"/>
        </w:rPr>
      </w:pPr>
      <w:r w:rsidRPr="00E306F7">
        <w:rPr>
          <w:rStyle w:val="None"/>
          <w:b/>
        </w:rPr>
        <w:t xml:space="preserve">Трансграничните партньорства между образователните и обучителните институции </w:t>
      </w:r>
      <w:r w:rsidRPr="00E306F7">
        <w:rPr>
          <w:rStyle w:val="None"/>
        </w:rPr>
        <w:t>в граничните региони биха могли да бъдат насърчавани.</w:t>
      </w:r>
      <w:r w:rsidRPr="00E306F7">
        <w:rPr>
          <w:rStyle w:val="None"/>
          <w:b/>
        </w:rPr>
        <w:t xml:space="preserve"> </w:t>
      </w:r>
      <w:r w:rsidRPr="00E306F7">
        <w:rPr>
          <w:rStyle w:val="None"/>
        </w:rPr>
        <w:t>Мобилността на учащите се, учителите, обучителите и административния персонал, както и на докторантите и изследователите би могла да бъде улеснена чрез предлагане на информация и курсове по езиците, които се говорят в съседната държава. Насърчаването на многоезичието в рамките на тези трансгранични партньорства може да позволи да се подготвят висшисти, които да стъпят на пазара на труда от двете страни на границата.</w:t>
      </w:r>
    </w:p>
    <w:sectPr w:rsidR="00BA0A88" w:rsidRPr="00E306F7" w:rsidSect="00D70061"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06" w:rsidRDefault="00E55E06" w:rsidP="00176577">
      <w:pPr>
        <w:spacing w:before="0" w:after="0"/>
      </w:pPr>
      <w:r>
        <w:separator/>
      </w:r>
    </w:p>
  </w:endnote>
  <w:endnote w:type="continuationSeparator" w:id="0">
    <w:p w:rsidR="00E55E06" w:rsidRDefault="00E55E06" w:rsidP="001765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61" w:rsidRPr="00D70061" w:rsidRDefault="00D70061" w:rsidP="00D700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273" w:rsidRPr="00D70061" w:rsidRDefault="00D70061" w:rsidP="00D70061">
    <w:pPr>
      <w:pStyle w:val="Footer"/>
      <w:rPr>
        <w:rFonts w:ascii="Arial" w:hAnsi="Arial" w:cs="Arial"/>
        <w:b/>
        <w:sz w:val="48"/>
      </w:rPr>
    </w:pPr>
    <w:r w:rsidRPr="00D70061">
      <w:rPr>
        <w:rFonts w:ascii="Arial" w:hAnsi="Arial" w:cs="Arial"/>
        <w:b/>
        <w:sz w:val="48"/>
      </w:rPr>
      <w:t>BG</w:t>
    </w:r>
    <w:r w:rsidRPr="00D70061">
      <w:rPr>
        <w:rFonts w:ascii="Arial" w:hAnsi="Arial" w:cs="Arial"/>
        <w:b/>
        <w:sz w:val="48"/>
      </w:rPr>
      <w:tab/>
    </w:r>
    <w:r w:rsidRPr="00D70061">
      <w:rPr>
        <w:rFonts w:ascii="Arial" w:hAnsi="Arial" w:cs="Arial"/>
        <w:b/>
        <w:sz w:val="48"/>
      </w:rPr>
      <w:tab/>
    </w:r>
    <w:r w:rsidRPr="00D70061">
      <w:tab/>
    </w:r>
    <w:r w:rsidRPr="00D70061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61" w:rsidRPr="00D70061" w:rsidRDefault="00D70061" w:rsidP="00D70061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61" w:rsidRPr="00D70061" w:rsidRDefault="00D70061" w:rsidP="00D70061">
    <w:pPr>
      <w:pStyle w:val="Footer"/>
      <w:rPr>
        <w:rFonts w:ascii="Arial" w:hAnsi="Arial" w:cs="Arial"/>
        <w:b/>
        <w:sz w:val="48"/>
      </w:rPr>
    </w:pPr>
    <w:r w:rsidRPr="00D70061">
      <w:rPr>
        <w:rFonts w:ascii="Arial" w:hAnsi="Arial" w:cs="Arial"/>
        <w:b/>
        <w:sz w:val="48"/>
      </w:rPr>
      <w:t>BG</w:t>
    </w:r>
    <w:r w:rsidRPr="00D70061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 w:rsidRPr="00D70061">
      <w:tab/>
    </w:r>
    <w:r w:rsidRPr="00D70061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61" w:rsidRPr="00D70061" w:rsidRDefault="00D70061" w:rsidP="00D700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06" w:rsidRDefault="00E55E06" w:rsidP="00176577">
      <w:pPr>
        <w:spacing w:before="0" w:after="0"/>
      </w:pPr>
      <w:r>
        <w:separator/>
      </w:r>
    </w:p>
  </w:footnote>
  <w:footnote w:type="continuationSeparator" w:id="0">
    <w:p w:rsidR="00E55E06" w:rsidRDefault="00E55E06" w:rsidP="0017657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61" w:rsidRPr="00D70061" w:rsidRDefault="00D70061" w:rsidP="00D700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61" w:rsidRPr="00D70061" w:rsidRDefault="00D70061" w:rsidP="00D7006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061" w:rsidRPr="00D70061" w:rsidRDefault="00D70061" w:rsidP="00D700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08259F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D0AE0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9DC4AA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AE2299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3406A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754EBD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AEADE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0324A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4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22 17:14:2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FFE98FD-4DDB-4806-A2C6-14A64CFCD884"/>
    <w:docVar w:name="LW_COVERPAGE_TYPE" w:val="1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74?\u1089?\u1077?\u1086?\u1073?\u1093?\u1074?\u1072?\u1090?\u1077?\u1085? \u1087?\u1086?\u1076?\u1093?\u1086?\u1076? \u1082?\u1098?\u1084? \u1087?\u1088?\u1077?\u1087?\u1086?\u1076?\u1072?\u1074?\u1072?\u1085?\u1077?\u1090?\u1086? \u1080? \u1080?\u1079?\u1091?\u1095?\u1072?\u1074?\u1072?\u1085?\u1077?\u1090?\u1086? \u1085?\u1072? \u1077?\u1079?\u1080?\u1094?\u1080?_x000b_"/>
    <w:docVar w:name="LW_OBJETACTEPRINCIPAL.CP" w:val="\u1086?\u1090?\u1085?\u1086?\u1089?\u1085?\u1086? \u1074?\u1089?\u1077?\u1086?\u1073?\u1093?\u1074?\u1072?\u1090?\u1077?\u1085? \u1087?\u1086?\u1076?\u1093?\u1086?\u1076? \u1082?\u1098?\u1084? \u1087?\u1088?\u1077?\u1087?\u1086?\u1076?\u1072?\u1074?\u1072?\u1085?\u1077?\u1090?\u1086? \u1080? \u1080?\u1079?\u1091?\u1095?\u1072?\u1074?\u1072?\u1085?\u1077?\u1090?\u1086? \u1085?\u1072? \u1077?\u1079?\u1080?\u1094?\u1080?_x000b_"/>
    <w:docVar w:name="LW_PART_NBR" w:val="1"/>
    <w:docVar w:name="LW_PART_NBR_TOTAL" w:val="1"/>
    <w:docVar w:name="LW_REF.INST.NEW" w:val="&lt;EMPTY&gt;"/>
    <w:docVar w:name="LW_REF.INST.NEW_ADOPTED" w:val="draft"/>
    <w:docVar w:name="LW_REF.INST.NEW_TEXT" w:val="(2018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 \u1085?\u1072? \u1057?\u1098?\u1074?\u1077?\u1090?\u1072?"/>
    <w:docVar w:name="LW_TYPEACTEPRINCIPAL.CP" w:val="\u1055?\u1088?\u1077?\u1087?\u1086?\u1088?\u1098?\u1082?\u1072? \u1085?\u1072? \u1057?\u1098?\u1074?\u1077?\u1090?\u1072?"/>
  </w:docVars>
  <w:rsids>
    <w:rsidRoot w:val="00176577"/>
    <w:rsid w:val="00017A2B"/>
    <w:rsid w:val="00067253"/>
    <w:rsid w:val="000858DA"/>
    <w:rsid w:val="000948CA"/>
    <w:rsid w:val="000B37BF"/>
    <w:rsid w:val="000D7C18"/>
    <w:rsid w:val="000E5B38"/>
    <w:rsid w:val="001045BA"/>
    <w:rsid w:val="00104E5B"/>
    <w:rsid w:val="00114BC0"/>
    <w:rsid w:val="00122543"/>
    <w:rsid w:val="001568F0"/>
    <w:rsid w:val="001642C8"/>
    <w:rsid w:val="0017308A"/>
    <w:rsid w:val="00176577"/>
    <w:rsid w:val="001839CA"/>
    <w:rsid w:val="00186B00"/>
    <w:rsid w:val="00187F75"/>
    <w:rsid w:val="00192FA3"/>
    <w:rsid w:val="001D3154"/>
    <w:rsid w:val="001E1317"/>
    <w:rsid w:val="001F35F2"/>
    <w:rsid w:val="0022714C"/>
    <w:rsid w:val="002437B0"/>
    <w:rsid w:val="00281F2E"/>
    <w:rsid w:val="0028738A"/>
    <w:rsid w:val="00287F2B"/>
    <w:rsid w:val="00297EF3"/>
    <w:rsid w:val="002B6C07"/>
    <w:rsid w:val="003133E7"/>
    <w:rsid w:val="00313FF0"/>
    <w:rsid w:val="003229EA"/>
    <w:rsid w:val="00323029"/>
    <w:rsid w:val="00340C68"/>
    <w:rsid w:val="003436CE"/>
    <w:rsid w:val="00351273"/>
    <w:rsid w:val="003600DE"/>
    <w:rsid w:val="00365745"/>
    <w:rsid w:val="00370681"/>
    <w:rsid w:val="00373781"/>
    <w:rsid w:val="0038334A"/>
    <w:rsid w:val="00384A3A"/>
    <w:rsid w:val="003A6120"/>
    <w:rsid w:val="003D03A4"/>
    <w:rsid w:val="003F28B8"/>
    <w:rsid w:val="003F317A"/>
    <w:rsid w:val="004126CF"/>
    <w:rsid w:val="004163C2"/>
    <w:rsid w:val="00422373"/>
    <w:rsid w:val="004642DC"/>
    <w:rsid w:val="004644AC"/>
    <w:rsid w:val="00471AF5"/>
    <w:rsid w:val="0048017C"/>
    <w:rsid w:val="0049377B"/>
    <w:rsid w:val="00497C52"/>
    <w:rsid w:val="004B5AFD"/>
    <w:rsid w:val="004E7FE3"/>
    <w:rsid w:val="004F6AEA"/>
    <w:rsid w:val="00541F33"/>
    <w:rsid w:val="00546159"/>
    <w:rsid w:val="00571D4E"/>
    <w:rsid w:val="005A05C9"/>
    <w:rsid w:val="005C1A0D"/>
    <w:rsid w:val="005F662F"/>
    <w:rsid w:val="005F7747"/>
    <w:rsid w:val="006028A9"/>
    <w:rsid w:val="00674194"/>
    <w:rsid w:val="0069385C"/>
    <w:rsid w:val="006B5EF0"/>
    <w:rsid w:val="006E03E5"/>
    <w:rsid w:val="006E46D2"/>
    <w:rsid w:val="00705695"/>
    <w:rsid w:val="00721ADA"/>
    <w:rsid w:val="0074417C"/>
    <w:rsid w:val="00755C8C"/>
    <w:rsid w:val="00761B93"/>
    <w:rsid w:val="007B4FB5"/>
    <w:rsid w:val="007C4763"/>
    <w:rsid w:val="007F15F3"/>
    <w:rsid w:val="008354AD"/>
    <w:rsid w:val="00845397"/>
    <w:rsid w:val="00863693"/>
    <w:rsid w:val="008640F0"/>
    <w:rsid w:val="0086716D"/>
    <w:rsid w:val="008A47D2"/>
    <w:rsid w:val="00900B64"/>
    <w:rsid w:val="009275D4"/>
    <w:rsid w:val="00967CBC"/>
    <w:rsid w:val="0098422F"/>
    <w:rsid w:val="00990F4E"/>
    <w:rsid w:val="009B3FE0"/>
    <w:rsid w:val="009B56D2"/>
    <w:rsid w:val="009B5915"/>
    <w:rsid w:val="00A15FAB"/>
    <w:rsid w:val="00A325A5"/>
    <w:rsid w:val="00AA0481"/>
    <w:rsid w:val="00AC5C07"/>
    <w:rsid w:val="00AE328C"/>
    <w:rsid w:val="00B00123"/>
    <w:rsid w:val="00B02A69"/>
    <w:rsid w:val="00B040D9"/>
    <w:rsid w:val="00B06327"/>
    <w:rsid w:val="00B247AB"/>
    <w:rsid w:val="00B27578"/>
    <w:rsid w:val="00B303CB"/>
    <w:rsid w:val="00B654B1"/>
    <w:rsid w:val="00B97144"/>
    <w:rsid w:val="00BA0A88"/>
    <w:rsid w:val="00BA1096"/>
    <w:rsid w:val="00BA50DE"/>
    <w:rsid w:val="00BB0129"/>
    <w:rsid w:val="00BB6040"/>
    <w:rsid w:val="00BC4C5D"/>
    <w:rsid w:val="00BE21F7"/>
    <w:rsid w:val="00BF5D0C"/>
    <w:rsid w:val="00C174C8"/>
    <w:rsid w:val="00C23124"/>
    <w:rsid w:val="00C36E0D"/>
    <w:rsid w:val="00C64FB6"/>
    <w:rsid w:val="00C77849"/>
    <w:rsid w:val="00C81142"/>
    <w:rsid w:val="00CA1768"/>
    <w:rsid w:val="00CE72B7"/>
    <w:rsid w:val="00CF1630"/>
    <w:rsid w:val="00D006F3"/>
    <w:rsid w:val="00D01B81"/>
    <w:rsid w:val="00D5029E"/>
    <w:rsid w:val="00D61A4E"/>
    <w:rsid w:val="00D6461A"/>
    <w:rsid w:val="00D70061"/>
    <w:rsid w:val="00D702CB"/>
    <w:rsid w:val="00D7433D"/>
    <w:rsid w:val="00D76899"/>
    <w:rsid w:val="00DD1784"/>
    <w:rsid w:val="00DE3511"/>
    <w:rsid w:val="00DF2E6F"/>
    <w:rsid w:val="00E13AD8"/>
    <w:rsid w:val="00E306F7"/>
    <w:rsid w:val="00E55E06"/>
    <w:rsid w:val="00E8747F"/>
    <w:rsid w:val="00E9078B"/>
    <w:rsid w:val="00E95E7E"/>
    <w:rsid w:val="00EA630D"/>
    <w:rsid w:val="00F2086E"/>
    <w:rsid w:val="00F32688"/>
    <w:rsid w:val="00F87CA5"/>
    <w:rsid w:val="00F95266"/>
    <w:rsid w:val="00F96904"/>
    <w:rsid w:val="00FE3537"/>
    <w:rsid w:val="00FE4541"/>
    <w:rsid w:val="00FF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471AF5"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471AF5"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471AF5"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471AF5"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ufzählung"/>
    <w:basedOn w:val="Normal"/>
    <w:uiPriority w:val="1"/>
    <w:qFormat/>
    <w:rsid w:val="00176577"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Body">
    <w:name w:val="Body"/>
    <w:rsid w:val="00176577"/>
    <w:pPr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aliases w:val="Char1"/>
    <w:unhideWhenUsed/>
    <w:rsid w:val="00176577"/>
    <w:rPr>
      <w:u w:val="single"/>
    </w:rPr>
  </w:style>
  <w:style w:type="paragraph" w:styleId="BodyText">
    <w:name w:val="Body Text"/>
    <w:link w:val="BodyTextChar"/>
    <w:uiPriority w:val="99"/>
    <w:rsid w:val="00176577"/>
    <w:pPr>
      <w:pBdr>
        <w:top w:val="nil"/>
        <w:left w:val="nil"/>
        <w:bottom w:val="nil"/>
        <w:right w:val="nil"/>
        <w:between w:val="nil"/>
        <w:bar w:val="nil"/>
      </w:pBdr>
      <w:spacing w:after="240" w:line="288" w:lineRule="auto"/>
      <w:jc w:val="both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uiPriority w:val="99"/>
    <w:rsid w:val="00176577"/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574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65745"/>
    <w:pPr>
      <w:spacing w:after="0"/>
    </w:pPr>
  </w:style>
  <w:style w:type="paragraph" w:styleId="ListBullet">
    <w:name w:val="List Bullet"/>
    <w:basedOn w:val="Normal"/>
    <w:uiPriority w:val="99"/>
    <w:unhideWhenUsed/>
    <w:rsid w:val="0036574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6574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6574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65745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365745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65745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65745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65745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semiHidden/>
    <w:unhideWhenUsed/>
    <w:rsid w:val="00B00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123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123"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12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23"/>
    <w:rPr>
      <w:rFonts w:ascii="Segoe UI" w:hAnsi="Segoe UI" w:cs="Segoe UI"/>
      <w:sz w:val="18"/>
      <w:szCs w:val="18"/>
      <w:lang w:val="bg-BG"/>
    </w:rPr>
  </w:style>
  <w:style w:type="paragraph" w:customStyle="1" w:styleId="text">
    <w:name w:val="text"/>
    <w:basedOn w:val="Normal"/>
    <w:autoRedefine/>
    <w:uiPriority w:val="99"/>
    <w:rsid w:val="00967CBC"/>
    <w:rPr>
      <w:rFonts w:eastAsia="Times New Roman"/>
      <w:b/>
      <w:szCs w:val="24"/>
    </w:rPr>
  </w:style>
  <w:style w:type="character" w:customStyle="1" w:styleId="None">
    <w:name w:val="None"/>
    <w:uiPriority w:val="99"/>
    <w:rsid w:val="00967CBC"/>
  </w:style>
  <w:style w:type="paragraph" w:styleId="Header">
    <w:name w:val="header"/>
    <w:basedOn w:val="Normal"/>
    <w:link w:val="HeaderChar"/>
    <w:uiPriority w:val="99"/>
    <w:semiHidden/>
    <w:unhideWhenUsed/>
    <w:rsid w:val="00471AF5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AF5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71AF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1AF5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AF5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AF5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71AF5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AF5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AF5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AF5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471AF5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471AF5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471AF5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471AF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471AF5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471A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rsid w:val="00471A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471AF5"/>
    <w:pPr>
      <w:ind w:left="850"/>
    </w:pPr>
  </w:style>
  <w:style w:type="paragraph" w:customStyle="1" w:styleId="Text2">
    <w:name w:val="Text 2"/>
    <w:basedOn w:val="Normal"/>
    <w:rsid w:val="00471AF5"/>
    <w:pPr>
      <w:ind w:left="1417"/>
    </w:pPr>
  </w:style>
  <w:style w:type="paragraph" w:customStyle="1" w:styleId="Text3">
    <w:name w:val="Text 3"/>
    <w:basedOn w:val="Normal"/>
    <w:rsid w:val="00471AF5"/>
    <w:pPr>
      <w:ind w:left="1984"/>
    </w:pPr>
  </w:style>
  <w:style w:type="paragraph" w:customStyle="1" w:styleId="Text4">
    <w:name w:val="Text 4"/>
    <w:basedOn w:val="Normal"/>
    <w:rsid w:val="00471AF5"/>
    <w:pPr>
      <w:ind w:left="2551"/>
    </w:pPr>
  </w:style>
  <w:style w:type="paragraph" w:customStyle="1" w:styleId="NormalCentered">
    <w:name w:val="Normal Centered"/>
    <w:basedOn w:val="Normal"/>
    <w:rsid w:val="00471AF5"/>
    <w:pPr>
      <w:jc w:val="center"/>
    </w:pPr>
  </w:style>
  <w:style w:type="paragraph" w:customStyle="1" w:styleId="NormalLeft">
    <w:name w:val="Normal Left"/>
    <w:basedOn w:val="Normal"/>
    <w:rsid w:val="00471AF5"/>
    <w:pPr>
      <w:jc w:val="left"/>
    </w:pPr>
  </w:style>
  <w:style w:type="paragraph" w:customStyle="1" w:styleId="NormalRight">
    <w:name w:val="Normal Right"/>
    <w:basedOn w:val="Normal"/>
    <w:rsid w:val="00471AF5"/>
    <w:pPr>
      <w:jc w:val="right"/>
    </w:pPr>
  </w:style>
  <w:style w:type="paragraph" w:customStyle="1" w:styleId="QuotedText">
    <w:name w:val="Quoted Text"/>
    <w:basedOn w:val="Normal"/>
    <w:rsid w:val="00471AF5"/>
    <w:pPr>
      <w:ind w:left="1417"/>
    </w:pPr>
  </w:style>
  <w:style w:type="paragraph" w:customStyle="1" w:styleId="Point0">
    <w:name w:val="Point 0"/>
    <w:basedOn w:val="Normal"/>
    <w:rsid w:val="00471AF5"/>
    <w:pPr>
      <w:ind w:left="850" w:hanging="850"/>
    </w:pPr>
  </w:style>
  <w:style w:type="paragraph" w:customStyle="1" w:styleId="Point1">
    <w:name w:val="Point 1"/>
    <w:basedOn w:val="Normal"/>
    <w:rsid w:val="00471AF5"/>
    <w:pPr>
      <w:ind w:left="1417" w:hanging="567"/>
    </w:pPr>
  </w:style>
  <w:style w:type="paragraph" w:customStyle="1" w:styleId="Point2">
    <w:name w:val="Point 2"/>
    <w:basedOn w:val="Normal"/>
    <w:rsid w:val="00471AF5"/>
    <w:pPr>
      <w:ind w:left="1984" w:hanging="567"/>
    </w:pPr>
  </w:style>
  <w:style w:type="paragraph" w:customStyle="1" w:styleId="Point3">
    <w:name w:val="Point 3"/>
    <w:basedOn w:val="Normal"/>
    <w:rsid w:val="00471AF5"/>
    <w:pPr>
      <w:ind w:left="2551" w:hanging="567"/>
    </w:pPr>
  </w:style>
  <w:style w:type="paragraph" w:customStyle="1" w:styleId="Point4">
    <w:name w:val="Point 4"/>
    <w:basedOn w:val="Normal"/>
    <w:rsid w:val="00471AF5"/>
    <w:pPr>
      <w:ind w:left="3118" w:hanging="567"/>
    </w:pPr>
  </w:style>
  <w:style w:type="paragraph" w:customStyle="1" w:styleId="Tiret0">
    <w:name w:val="Tiret 0"/>
    <w:basedOn w:val="Point0"/>
    <w:rsid w:val="00471AF5"/>
    <w:pPr>
      <w:numPr>
        <w:numId w:val="10"/>
      </w:numPr>
    </w:pPr>
  </w:style>
  <w:style w:type="paragraph" w:customStyle="1" w:styleId="Tiret1">
    <w:name w:val="Tiret 1"/>
    <w:basedOn w:val="Point1"/>
    <w:rsid w:val="00471AF5"/>
    <w:pPr>
      <w:numPr>
        <w:numId w:val="11"/>
      </w:numPr>
    </w:pPr>
  </w:style>
  <w:style w:type="paragraph" w:customStyle="1" w:styleId="Tiret2">
    <w:name w:val="Tiret 2"/>
    <w:basedOn w:val="Point2"/>
    <w:rsid w:val="00471AF5"/>
    <w:pPr>
      <w:numPr>
        <w:numId w:val="12"/>
      </w:numPr>
    </w:pPr>
  </w:style>
  <w:style w:type="paragraph" w:customStyle="1" w:styleId="Tiret3">
    <w:name w:val="Tiret 3"/>
    <w:basedOn w:val="Point3"/>
    <w:rsid w:val="00471AF5"/>
    <w:pPr>
      <w:numPr>
        <w:numId w:val="13"/>
      </w:numPr>
    </w:pPr>
  </w:style>
  <w:style w:type="paragraph" w:customStyle="1" w:styleId="Tiret4">
    <w:name w:val="Tiret 4"/>
    <w:basedOn w:val="Point4"/>
    <w:rsid w:val="00471AF5"/>
    <w:pPr>
      <w:numPr>
        <w:numId w:val="14"/>
      </w:numPr>
    </w:pPr>
  </w:style>
  <w:style w:type="paragraph" w:customStyle="1" w:styleId="PointDouble0">
    <w:name w:val="PointDouble 0"/>
    <w:basedOn w:val="Normal"/>
    <w:rsid w:val="00471AF5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471AF5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471AF5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471AF5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471AF5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471AF5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471AF5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471AF5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471AF5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471AF5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471AF5"/>
    <w:pPr>
      <w:numPr>
        <w:numId w:val="15"/>
      </w:numPr>
    </w:pPr>
  </w:style>
  <w:style w:type="paragraph" w:customStyle="1" w:styleId="NumPar2">
    <w:name w:val="NumPar 2"/>
    <w:basedOn w:val="Normal"/>
    <w:next w:val="Text1"/>
    <w:rsid w:val="00471AF5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rsid w:val="00471AF5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rsid w:val="00471AF5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rsid w:val="00471AF5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471AF5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471AF5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471AF5"/>
    <w:pPr>
      <w:ind w:left="850" w:hanging="850"/>
    </w:pPr>
  </w:style>
  <w:style w:type="paragraph" w:customStyle="1" w:styleId="QuotedNumPar">
    <w:name w:val="Quoted NumPar"/>
    <w:basedOn w:val="Normal"/>
    <w:rsid w:val="00471AF5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471AF5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471AF5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471AF5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471AF5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471AF5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471AF5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471AF5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471AF5"/>
    <w:pPr>
      <w:jc w:val="center"/>
    </w:pPr>
    <w:rPr>
      <w:b/>
    </w:rPr>
  </w:style>
  <w:style w:type="character" w:customStyle="1" w:styleId="Marker">
    <w:name w:val="Marker"/>
    <w:basedOn w:val="DefaultParagraphFont"/>
    <w:rsid w:val="00471AF5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471AF5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471AF5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471AF5"/>
    <w:pPr>
      <w:numPr>
        <w:numId w:val="17"/>
      </w:numPr>
    </w:pPr>
  </w:style>
  <w:style w:type="paragraph" w:customStyle="1" w:styleId="Point1number">
    <w:name w:val="Point 1 (number)"/>
    <w:basedOn w:val="Normal"/>
    <w:rsid w:val="00471AF5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rsid w:val="00471AF5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rsid w:val="00471AF5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rsid w:val="00471AF5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rsid w:val="00471AF5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rsid w:val="00471AF5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rsid w:val="00471AF5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rsid w:val="00471AF5"/>
    <w:pPr>
      <w:numPr>
        <w:ilvl w:val="8"/>
        <w:numId w:val="17"/>
      </w:numPr>
    </w:pPr>
  </w:style>
  <w:style w:type="paragraph" w:customStyle="1" w:styleId="Bullet0">
    <w:name w:val="Bullet 0"/>
    <w:basedOn w:val="Normal"/>
    <w:rsid w:val="00471AF5"/>
    <w:pPr>
      <w:numPr>
        <w:numId w:val="18"/>
      </w:numPr>
    </w:pPr>
  </w:style>
  <w:style w:type="paragraph" w:customStyle="1" w:styleId="Bullet1">
    <w:name w:val="Bullet 1"/>
    <w:basedOn w:val="Normal"/>
    <w:rsid w:val="00471AF5"/>
    <w:pPr>
      <w:numPr>
        <w:numId w:val="19"/>
      </w:numPr>
    </w:pPr>
  </w:style>
  <w:style w:type="paragraph" w:customStyle="1" w:styleId="Bullet2">
    <w:name w:val="Bullet 2"/>
    <w:basedOn w:val="Normal"/>
    <w:rsid w:val="00471AF5"/>
    <w:pPr>
      <w:numPr>
        <w:numId w:val="20"/>
      </w:numPr>
    </w:pPr>
  </w:style>
  <w:style w:type="paragraph" w:customStyle="1" w:styleId="Bullet3">
    <w:name w:val="Bullet 3"/>
    <w:basedOn w:val="Normal"/>
    <w:rsid w:val="00471AF5"/>
    <w:pPr>
      <w:numPr>
        <w:numId w:val="21"/>
      </w:numPr>
    </w:pPr>
  </w:style>
  <w:style w:type="paragraph" w:customStyle="1" w:styleId="Bullet4">
    <w:name w:val="Bullet 4"/>
    <w:basedOn w:val="Normal"/>
    <w:rsid w:val="00471AF5"/>
    <w:pPr>
      <w:numPr>
        <w:numId w:val="22"/>
      </w:numPr>
    </w:pPr>
  </w:style>
  <w:style w:type="paragraph" w:customStyle="1" w:styleId="Langue">
    <w:name w:val="Langue"/>
    <w:basedOn w:val="Normal"/>
    <w:next w:val="Rfrenceinterne"/>
    <w:rsid w:val="00471AF5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471AF5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471AF5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471AF5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471AF5"/>
    <w:pPr>
      <w:spacing w:before="0" w:after="0"/>
    </w:pPr>
  </w:style>
  <w:style w:type="paragraph" w:customStyle="1" w:styleId="Disclaimer">
    <w:name w:val="Disclaimer"/>
    <w:basedOn w:val="Normal"/>
    <w:rsid w:val="00471AF5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471AF5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471AF5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471AF5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471AF5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471AF5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rsid w:val="00471AF5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471AF5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471AF5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471AF5"/>
    <w:pPr>
      <w:keepNext/>
    </w:pPr>
  </w:style>
  <w:style w:type="paragraph" w:customStyle="1" w:styleId="Institutionquiagit">
    <w:name w:val="Institution qui agit"/>
    <w:basedOn w:val="Normal"/>
    <w:next w:val="Normal"/>
    <w:rsid w:val="00471AF5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471AF5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471AF5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471AF5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471AF5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471AF5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471AF5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471AF5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471AF5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471AF5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471AF5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471AF5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471AF5"/>
    <w:rPr>
      <w:i/>
      <w:caps/>
    </w:rPr>
  </w:style>
  <w:style w:type="paragraph" w:customStyle="1" w:styleId="Supertitre">
    <w:name w:val="Supertitre"/>
    <w:basedOn w:val="Normal"/>
    <w:next w:val="Normal"/>
    <w:rsid w:val="00471AF5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471AF5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471AF5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471AF5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471AF5"/>
  </w:style>
  <w:style w:type="paragraph" w:customStyle="1" w:styleId="StatutPagedecouverture">
    <w:name w:val="Statut (Page de couverture)"/>
    <w:basedOn w:val="Statut"/>
    <w:next w:val="TypedudocumentPagedecouverture"/>
    <w:rsid w:val="00471AF5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471AF5"/>
  </w:style>
  <w:style w:type="paragraph" w:customStyle="1" w:styleId="Volume">
    <w:name w:val="Volum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471AF5"/>
    <w:pPr>
      <w:spacing w:after="240"/>
    </w:pPr>
  </w:style>
  <w:style w:type="paragraph" w:customStyle="1" w:styleId="Accompagnant">
    <w:name w:val="Accompagnant"/>
    <w:basedOn w:val="Normal"/>
    <w:next w:val="Typeacteprincipal"/>
    <w:rsid w:val="00471AF5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471AF5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471AF5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471AF5"/>
  </w:style>
  <w:style w:type="paragraph" w:customStyle="1" w:styleId="AccompagnantPagedecouverture">
    <w:name w:val="Accompagnant (Page de couverture)"/>
    <w:basedOn w:val="Accompagnant"/>
    <w:next w:val="TypeacteprincipalPagedecouverture"/>
    <w:rsid w:val="00471AF5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471AF5"/>
  </w:style>
  <w:style w:type="paragraph" w:customStyle="1" w:styleId="ObjetacteprincipalPagedecouverture">
    <w:name w:val="Objet acte principal (Page de couverture)"/>
    <w:basedOn w:val="Objetacteprincipal"/>
    <w:next w:val="Rfrencecroise"/>
    <w:rsid w:val="00471AF5"/>
  </w:style>
  <w:style w:type="paragraph" w:customStyle="1" w:styleId="LanguesfaisantfoiPagedecouverture">
    <w:name w:val="Langues faisant foi (Page de couverture)"/>
    <w:basedOn w:val="Normal"/>
    <w:next w:val="Normal"/>
    <w:rsid w:val="00471AF5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rsid w:val="00471AF5"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471AF5"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471AF5"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471AF5"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ufzählung"/>
    <w:basedOn w:val="Normal"/>
    <w:uiPriority w:val="1"/>
    <w:qFormat/>
    <w:rsid w:val="00176577"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customStyle="1" w:styleId="Body">
    <w:name w:val="Body"/>
    <w:rsid w:val="00176577"/>
    <w:pPr>
      <w:pBdr>
        <w:top w:val="nil"/>
        <w:left w:val="nil"/>
        <w:bottom w:val="nil"/>
        <w:right w:val="nil"/>
        <w:between w:val="nil"/>
        <w:bar w:val="nil"/>
      </w:pBdr>
      <w:spacing w:after="0" w:line="264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aliases w:val="Char1"/>
    <w:unhideWhenUsed/>
    <w:rsid w:val="00176577"/>
    <w:rPr>
      <w:u w:val="single"/>
    </w:rPr>
  </w:style>
  <w:style w:type="paragraph" w:styleId="BodyText">
    <w:name w:val="Body Text"/>
    <w:link w:val="BodyTextChar"/>
    <w:uiPriority w:val="99"/>
    <w:rsid w:val="00176577"/>
    <w:pPr>
      <w:pBdr>
        <w:top w:val="nil"/>
        <w:left w:val="nil"/>
        <w:bottom w:val="nil"/>
        <w:right w:val="nil"/>
        <w:between w:val="nil"/>
        <w:bar w:val="nil"/>
      </w:pBdr>
      <w:spacing w:after="240" w:line="288" w:lineRule="auto"/>
      <w:jc w:val="both"/>
    </w:pPr>
    <w:rPr>
      <w:rFonts w:ascii="Arial" w:eastAsia="Arial Unicode MS" w:hAnsi="Arial Unicode MS" w:cs="Arial Unicode MS"/>
      <w:color w:val="000000"/>
      <w:sz w:val="20"/>
      <w:szCs w:val="2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uiPriority w:val="99"/>
    <w:rsid w:val="00176577"/>
    <w:rPr>
      <w:rFonts w:ascii="Arial" w:eastAsia="Arial Unicode MS" w:hAnsi="Arial Unicode MS" w:cs="Arial Unicode MS"/>
      <w:color w:val="000000"/>
      <w:sz w:val="20"/>
      <w:szCs w:val="20"/>
      <w:u w:color="000000"/>
      <w:bdr w:val="nil"/>
      <w:lang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574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365745"/>
    <w:pPr>
      <w:spacing w:after="0"/>
    </w:pPr>
  </w:style>
  <w:style w:type="paragraph" w:styleId="ListBullet">
    <w:name w:val="List Bullet"/>
    <w:basedOn w:val="Normal"/>
    <w:uiPriority w:val="99"/>
    <w:unhideWhenUsed/>
    <w:rsid w:val="0036574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6574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6574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65745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365745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65745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65745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65745"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semiHidden/>
    <w:unhideWhenUsed/>
    <w:rsid w:val="00B001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1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123"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01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0123"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12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123"/>
    <w:rPr>
      <w:rFonts w:ascii="Segoe UI" w:hAnsi="Segoe UI" w:cs="Segoe UI"/>
      <w:sz w:val="18"/>
      <w:szCs w:val="18"/>
      <w:lang w:val="bg-BG"/>
    </w:rPr>
  </w:style>
  <w:style w:type="paragraph" w:customStyle="1" w:styleId="text">
    <w:name w:val="text"/>
    <w:basedOn w:val="Normal"/>
    <w:autoRedefine/>
    <w:uiPriority w:val="99"/>
    <w:rsid w:val="00967CBC"/>
    <w:rPr>
      <w:rFonts w:eastAsia="Times New Roman"/>
      <w:b/>
      <w:szCs w:val="24"/>
    </w:rPr>
  </w:style>
  <w:style w:type="character" w:customStyle="1" w:styleId="None">
    <w:name w:val="None"/>
    <w:uiPriority w:val="99"/>
    <w:rsid w:val="00967CBC"/>
  </w:style>
  <w:style w:type="paragraph" w:styleId="Header">
    <w:name w:val="header"/>
    <w:basedOn w:val="Normal"/>
    <w:link w:val="HeaderChar"/>
    <w:uiPriority w:val="99"/>
    <w:semiHidden/>
    <w:unhideWhenUsed/>
    <w:rsid w:val="00471AF5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AF5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471AF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1AF5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AF5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AF5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471AF5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1AF5"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1AF5"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1AF5"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471AF5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471AF5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471AF5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471AF5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471AF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471AF5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471A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rsid w:val="00471A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471AF5"/>
    <w:pPr>
      <w:ind w:left="850"/>
    </w:pPr>
  </w:style>
  <w:style w:type="paragraph" w:customStyle="1" w:styleId="Text2">
    <w:name w:val="Text 2"/>
    <w:basedOn w:val="Normal"/>
    <w:rsid w:val="00471AF5"/>
    <w:pPr>
      <w:ind w:left="1417"/>
    </w:pPr>
  </w:style>
  <w:style w:type="paragraph" w:customStyle="1" w:styleId="Text3">
    <w:name w:val="Text 3"/>
    <w:basedOn w:val="Normal"/>
    <w:rsid w:val="00471AF5"/>
    <w:pPr>
      <w:ind w:left="1984"/>
    </w:pPr>
  </w:style>
  <w:style w:type="paragraph" w:customStyle="1" w:styleId="Text4">
    <w:name w:val="Text 4"/>
    <w:basedOn w:val="Normal"/>
    <w:rsid w:val="00471AF5"/>
    <w:pPr>
      <w:ind w:left="2551"/>
    </w:pPr>
  </w:style>
  <w:style w:type="paragraph" w:customStyle="1" w:styleId="NormalCentered">
    <w:name w:val="Normal Centered"/>
    <w:basedOn w:val="Normal"/>
    <w:rsid w:val="00471AF5"/>
    <w:pPr>
      <w:jc w:val="center"/>
    </w:pPr>
  </w:style>
  <w:style w:type="paragraph" w:customStyle="1" w:styleId="NormalLeft">
    <w:name w:val="Normal Left"/>
    <w:basedOn w:val="Normal"/>
    <w:rsid w:val="00471AF5"/>
    <w:pPr>
      <w:jc w:val="left"/>
    </w:pPr>
  </w:style>
  <w:style w:type="paragraph" w:customStyle="1" w:styleId="NormalRight">
    <w:name w:val="Normal Right"/>
    <w:basedOn w:val="Normal"/>
    <w:rsid w:val="00471AF5"/>
    <w:pPr>
      <w:jc w:val="right"/>
    </w:pPr>
  </w:style>
  <w:style w:type="paragraph" w:customStyle="1" w:styleId="QuotedText">
    <w:name w:val="Quoted Text"/>
    <w:basedOn w:val="Normal"/>
    <w:rsid w:val="00471AF5"/>
    <w:pPr>
      <w:ind w:left="1417"/>
    </w:pPr>
  </w:style>
  <w:style w:type="paragraph" w:customStyle="1" w:styleId="Point0">
    <w:name w:val="Point 0"/>
    <w:basedOn w:val="Normal"/>
    <w:rsid w:val="00471AF5"/>
    <w:pPr>
      <w:ind w:left="850" w:hanging="850"/>
    </w:pPr>
  </w:style>
  <w:style w:type="paragraph" w:customStyle="1" w:styleId="Point1">
    <w:name w:val="Point 1"/>
    <w:basedOn w:val="Normal"/>
    <w:rsid w:val="00471AF5"/>
    <w:pPr>
      <w:ind w:left="1417" w:hanging="567"/>
    </w:pPr>
  </w:style>
  <w:style w:type="paragraph" w:customStyle="1" w:styleId="Point2">
    <w:name w:val="Point 2"/>
    <w:basedOn w:val="Normal"/>
    <w:rsid w:val="00471AF5"/>
    <w:pPr>
      <w:ind w:left="1984" w:hanging="567"/>
    </w:pPr>
  </w:style>
  <w:style w:type="paragraph" w:customStyle="1" w:styleId="Point3">
    <w:name w:val="Point 3"/>
    <w:basedOn w:val="Normal"/>
    <w:rsid w:val="00471AF5"/>
    <w:pPr>
      <w:ind w:left="2551" w:hanging="567"/>
    </w:pPr>
  </w:style>
  <w:style w:type="paragraph" w:customStyle="1" w:styleId="Point4">
    <w:name w:val="Point 4"/>
    <w:basedOn w:val="Normal"/>
    <w:rsid w:val="00471AF5"/>
    <w:pPr>
      <w:ind w:left="3118" w:hanging="567"/>
    </w:pPr>
  </w:style>
  <w:style w:type="paragraph" w:customStyle="1" w:styleId="Tiret0">
    <w:name w:val="Tiret 0"/>
    <w:basedOn w:val="Point0"/>
    <w:rsid w:val="00471AF5"/>
    <w:pPr>
      <w:numPr>
        <w:numId w:val="10"/>
      </w:numPr>
    </w:pPr>
  </w:style>
  <w:style w:type="paragraph" w:customStyle="1" w:styleId="Tiret1">
    <w:name w:val="Tiret 1"/>
    <w:basedOn w:val="Point1"/>
    <w:rsid w:val="00471AF5"/>
    <w:pPr>
      <w:numPr>
        <w:numId w:val="11"/>
      </w:numPr>
    </w:pPr>
  </w:style>
  <w:style w:type="paragraph" w:customStyle="1" w:styleId="Tiret2">
    <w:name w:val="Tiret 2"/>
    <w:basedOn w:val="Point2"/>
    <w:rsid w:val="00471AF5"/>
    <w:pPr>
      <w:numPr>
        <w:numId w:val="12"/>
      </w:numPr>
    </w:pPr>
  </w:style>
  <w:style w:type="paragraph" w:customStyle="1" w:styleId="Tiret3">
    <w:name w:val="Tiret 3"/>
    <w:basedOn w:val="Point3"/>
    <w:rsid w:val="00471AF5"/>
    <w:pPr>
      <w:numPr>
        <w:numId w:val="13"/>
      </w:numPr>
    </w:pPr>
  </w:style>
  <w:style w:type="paragraph" w:customStyle="1" w:styleId="Tiret4">
    <w:name w:val="Tiret 4"/>
    <w:basedOn w:val="Point4"/>
    <w:rsid w:val="00471AF5"/>
    <w:pPr>
      <w:numPr>
        <w:numId w:val="14"/>
      </w:numPr>
    </w:pPr>
  </w:style>
  <w:style w:type="paragraph" w:customStyle="1" w:styleId="PointDouble0">
    <w:name w:val="PointDouble 0"/>
    <w:basedOn w:val="Normal"/>
    <w:rsid w:val="00471AF5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471AF5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471AF5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471AF5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471AF5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471AF5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471AF5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471AF5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471AF5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471AF5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471AF5"/>
    <w:pPr>
      <w:numPr>
        <w:numId w:val="15"/>
      </w:numPr>
    </w:pPr>
  </w:style>
  <w:style w:type="paragraph" w:customStyle="1" w:styleId="NumPar2">
    <w:name w:val="NumPar 2"/>
    <w:basedOn w:val="Normal"/>
    <w:next w:val="Text1"/>
    <w:rsid w:val="00471AF5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rsid w:val="00471AF5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rsid w:val="00471AF5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rsid w:val="00471AF5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471AF5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471AF5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471AF5"/>
    <w:pPr>
      <w:ind w:left="850" w:hanging="850"/>
    </w:pPr>
  </w:style>
  <w:style w:type="paragraph" w:customStyle="1" w:styleId="QuotedNumPar">
    <w:name w:val="Quoted NumPar"/>
    <w:basedOn w:val="Normal"/>
    <w:rsid w:val="00471AF5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471AF5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471AF5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471AF5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471AF5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471AF5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471AF5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471AF5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471AF5"/>
    <w:pPr>
      <w:jc w:val="center"/>
    </w:pPr>
    <w:rPr>
      <w:b/>
    </w:rPr>
  </w:style>
  <w:style w:type="character" w:customStyle="1" w:styleId="Marker">
    <w:name w:val="Marker"/>
    <w:basedOn w:val="DefaultParagraphFont"/>
    <w:rsid w:val="00471AF5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471AF5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471AF5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471AF5"/>
    <w:pPr>
      <w:numPr>
        <w:numId w:val="17"/>
      </w:numPr>
    </w:pPr>
  </w:style>
  <w:style w:type="paragraph" w:customStyle="1" w:styleId="Point1number">
    <w:name w:val="Point 1 (number)"/>
    <w:basedOn w:val="Normal"/>
    <w:rsid w:val="00471AF5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rsid w:val="00471AF5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rsid w:val="00471AF5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rsid w:val="00471AF5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rsid w:val="00471AF5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rsid w:val="00471AF5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rsid w:val="00471AF5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rsid w:val="00471AF5"/>
    <w:pPr>
      <w:numPr>
        <w:ilvl w:val="8"/>
        <w:numId w:val="17"/>
      </w:numPr>
    </w:pPr>
  </w:style>
  <w:style w:type="paragraph" w:customStyle="1" w:styleId="Bullet0">
    <w:name w:val="Bullet 0"/>
    <w:basedOn w:val="Normal"/>
    <w:rsid w:val="00471AF5"/>
    <w:pPr>
      <w:numPr>
        <w:numId w:val="18"/>
      </w:numPr>
    </w:pPr>
  </w:style>
  <w:style w:type="paragraph" w:customStyle="1" w:styleId="Bullet1">
    <w:name w:val="Bullet 1"/>
    <w:basedOn w:val="Normal"/>
    <w:rsid w:val="00471AF5"/>
    <w:pPr>
      <w:numPr>
        <w:numId w:val="19"/>
      </w:numPr>
    </w:pPr>
  </w:style>
  <w:style w:type="paragraph" w:customStyle="1" w:styleId="Bullet2">
    <w:name w:val="Bullet 2"/>
    <w:basedOn w:val="Normal"/>
    <w:rsid w:val="00471AF5"/>
    <w:pPr>
      <w:numPr>
        <w:numId w:val="20"/>
      </w:numPr>
    </w:pPr>
  </w:style>
  <w:style w:type="paragraph" w:customStyle="1" w:styleId="Bullet3">
    <w:name w:val="Bullet 3"/>
    <w:basedOn w:val="Normal"/>
    <w:rsid w:val="00471AF5"/>
    <w:pPr>
      <w:numPr>
        <w:numId w:val="21"/>
      </w:numPr>
    </w:pPr>
  </w:style>
  <w:style w:type="paragraph" w:customStyle="1" w:styleId="Bullet4">
    <w:name w:val="Bullet 4"/>
    <w:basedOn w:val="Normal"/>
    <w:rsid w:val="00471AF5"/>
    <w:pPr>
      <w:numPr>
        <w:numId w:val="22"/>
      </w:numPr>
    </w:pPr>
  </w:style>
  <w:style w:type="paragraph" w:customStyle="1" w:styleId="Langue">
    <w:name w:val="Langue"/>
    <w:basedOn w:val="Normal"/>
    <w:next w:val="Rfrenceinterne"/>
    <w:rsid w:val="00471AF5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471AF5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471AF5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471AF5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471AF5"/>
    <w:pPr>
      <w:spacing w:before="0" w:after="0"/>
    </w:pPr>
  </w:style>
  <w:style w:type="paragraph" w:customStyle="1" w:styleId="Disclaimer">
    <w:name w:val="Disclaimer"/>
    <w:basedOn w:val="Normal"/>
    <w:rsid w:val="00471AF5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471AF5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471AF5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471AF5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471AF5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471AF5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rsid w:val="00471AF5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rsid w:val="00471AF5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471AF5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471AF5"/>
    <w:pPr>
      <w:keepNext/>
    </w:pPr>
  </w:style>
  <w:style w:type="paragraph" w:customStyle="1" w:styleId="Institutionquiagit">
    <w:name w:val="Institution qui agit"/>
    <w:basedOn w:val="Normal"/>
    <w:next w:val="Normal"/>
    <w:rsid w:val="00471AF5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471AF5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471AF5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471AF5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471AF5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471AF5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471AF5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rsid w:val="00471AF5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rsid w:val="00471AF5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sid w:val="00471AF5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471AF5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471AF5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471AF5"/>
    <w:rPr>
      <w:i/>
      <w:caps/>
    </w:rPr>
  </w:style>
  <w:style w:type="paragraph" w:customStyle="1" w:styleId="Supertitre">
    <w:name w:val="Supertitre"/>
    <w:basedOn w:val="Normal"/>
    <w:next w:val="Normal"/>
    <w:rsid w:val="00471AF5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471AF5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471AF5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471AF5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  <w:rsid w:val="00471AF5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471AF5"/>
  </w:style>
  <w:style w:type="paragraph" w:customStyle="1" w:styleId="StatutPagedecouverture">
    <w:name w:val="Statut (Page de couverture)"/>
    <w:basedOn w:val="Statut"/>
    <w:next w:val="TypedudocumentPagedecouverture"/>
    <w:rsid w:val="00471AF5"/>
  </w:style>
  <w:style w:type="paragraph" w:customStyle="1" w:styleId="TypedudocumentPagedecouverture">
    <w:name w:val="Type du document (Page de couverture)"/>
    <w:basedOn w:val="Typedudocument"/>
    <w:next w:val="AccompagnantPagedecouverture"/>
    <w:rsid w:val="00471AF5"/>
  </w:style>
  <w:style w:type="paragraph" w:customStyle="1" w:styleId="Volume">
    <w:name w:val="Volume"/>
    <w:basedOn w:val="Normal"/>
    <w:next w:val="Confidentialit"/>
    <w:rsid w:val="00471AF5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471AF5"/>
    <w:pPr>
      <w:spacing w:after="240"/>
    </w:pPr>
  </w:style>
  <w:style w:type="paragraph" w:customStyle="1" w:styleId="Accompagnant">
    <w:name w:val="Accompagnant"/>
    <w:basedOn w:val="Normal"/>
    <w:next w:val="Typeacteprincipal"/>
    <w:rsid w:val="00471AF5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rsid w:val="00471AF5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471AF5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471AF5"/>
  </w:style>
  <w:style w:type="paragraph" w:customStyle="1" w:styleId="AccompagnantPagedecouverture">
    <w:name w:val="Accompagnant (Page de couverture)"/>
    <w:basedOn w:val="Accompagnant"/>
    <w:next w:val="TypeacteprincipalPagedecouverture"/>
    <w:rsid w:val="00471AF5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471AF5"/>
  </w:style>
  <w:style w:type="paragraph" w:customStyle="1" w:styleId="ObjetacteprincipalPagedecouverture">
    <w:name w:val="Objet acte principal (Page de couverture)"/>
    <w:basedOn w:val="Objetacteprincipal"/>
    <w:next w:val="Rfrencecroise"/>
    <w:rsid w:val="00471AF5"/>
  </w:style>
  <w:style w:type="paragraph" w:customStyle="1" w:styleId="LanguesfaisantfoiPagedecouverture">
    <w:name w:val="Langues faisant foi (Page de couverture)"/>
    <w:basedOn w:val="Normal"/>
    <w:next w:val="Normal"/>
    <w:rsid w:val="00471AF5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2607018-88AA-4576-A064-433324BBA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1</Pages>
  <Words>1264</Words>
  <Characters>7384</Characters>
  <Application>Microsoft Office Word</Application>
  <DocSecurity>0</DocSecurity>
  <Lines>135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POLITI Aristea (EAC)</dc:creator>
  <cp:lastModifiedBy>AKSENER Ivomira (DGT)</cp:lastModifiedBy>
  <cp:revision>3</cp:revision>
  <dcterms:created xsi:type="dcterms:W3CDTF">2018-05-22T15:14:00Z</dcterms:created>
  <dcterms:modified xsi:type="dcterms:W3CDTF">2018-05-22T15:14:00Z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