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5D93D87-8F3E-4041-A38A-C11028CB169A"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отмяна на Решение 2009/414/ЕО относно наличието на прекомерен дефицит във Франция</w:t>
      </w:r>
    </w:p>
    <w:p>
      <w:pPr>
        <w:pStyle w:val="Institutionquiagit"/>
        <w:rPr>
          <w:noProof/>
        </w:rPr>
      </w:pPr>
      <w:r>
        <w:rPr>
          <w:noProof/>
        </w:rPr>
        <w:t>СЪВЕТЪТ НА ЕВРОПЕЙСКИЯ СЪЮЗ,</w:t>
      </w:r>
    </w:p>
    <w:p>
      <w:pPr>
        <w:rPr>
          <w:noProof/>
        </w:rPr>
      </w:pPr>
      <w:r>
        <w:rPr>
          <w:rStyle w:val="Corpsdutexte"/>
          <w:noProof/>
        </w:rPr>
        <w:t>като взе предвид Договора за функционирането на Европейския съюз, и по-специално член 126, параграф 12 от него,</w:t>
      </w:r>
    </w:p>
    <w:p>
      <w:pPr>
        <w:rPr>
          <w:noProof/>
        </w:rPr>
      </w:pPr>
      <w:r>
        <w:rPr>
          <w:rStyle w:val="Corpsdutexte"/>
          <w:noProof/>
        </w:rPr>
        <w:t>като взе предвид препоръката на Комисията,</w:t>
      </w:r>
    </w:p>
    <w:p>
      <w:pPr>
        <w:rPr>
          <w:noProof/>
        </w:rPr>
      </w:pPr>
      <w:r>
        <w:rPr>
          <w:rStyle w:val="Corpsdutexte"/>
          <w:noProof/>
        </w:rPr>
        <w:t>като има предвид, че:</w:t>
      </w:r>
    </w:p>
    <w:p>
      <w:pPr>
        <w:pStyle w:val="ManualConsidrant"/>
        <w:rPr>
          <w:noProof/>
        </w:rPr>
      </w:pPr>
      <w:r>
        <w:t>(1)</w:t>
      </w:r>
      <w:r>
        <w:tab/>
      </w:r>
      <w:r>
        <w:rPr>
          <w:noProof/>
        </w:rPr>
        <w:t xml:space="preserve">На </w:t>
      </w:r>
      <w:r>
        <w:rPr>
          <w:rStyle w:val="Corpsdutexte"/>
          <w:noProof/>
        </w:rPr>
        <w:t>27 април 2009 г.</w:t>
      </w:r>
      <w:r>
        <w:rPr>
          <w:noProof/>
        </w:rPr>
        <w:t xml:space="preserve"> въз основа на препоръка, отправена от Комисията, с Решение </w:t>
      </w:r>
      <w:r>
        <w:rPr>
          <w:rStyle w:val="Corpsdutexte2"/>
          <w:noProof/>
        </w:rPr>
        <w:t>2009/414/ЕО</w:t>
      </w:r>
      <w:r>
        <w:rPr>
          <w:rStyle w:val="FootnoteReference"/>
          <w:noProof/>
        </w:rPr>
        <w:footnoteReference w:id="1"/>
      </w:r>
      <w:r>
        <w:rPr>
          <w:noProof/>
        </w:rPr>
        <w:t xml:space="preserve"> </w:t>
      </w:r>
      <w:r>
        <w:rPr>
          <w:rStyle w:val="Corpsdutexte"/>
          <w:noProof/>
        </w:rPr>
        <w:t>Съветът реши, в съответствие с член 126, параграф 6 от Договора, че във Франция е налице прекомерен дефицит</w:t>
      </w:r>
      <w:r>
        <w:rPr>
          <w:noProof/>
        </w:rPr>
        <w:t>.</w:t>
      </w:r>
      <w:r>
        <w:rPr>
          <w:rStyle w:val="Corpsdutexte"/>
          <w:noProof/>
        </w:rPr>
        <w:t xml:space="preserve"> Съветът отбеляза, че дефицитът по консолидирания държавен бюджет, за който е било подадено уведомление, е бил </w:t>
      </w:r>
      <w:r>
        <w:rPr>
          <w:noProof/>
        </w:rPr>
        <w:t>3,2 % от БВП през 2008 г., което надвишава заложената в Договора референтна стойност от 3 % от БВП. Консолидираният брутен държавен дълг (който от 2003 г. насам беше над референтната стойност от 60 % по Договора) се планираше да достигне 66,7 % от БВП през 2008 г.</w:t>
      </w:r>
    </w:p>
    <w:p>
      <w:pPr>
        <w:pStyle w:val="ManualConsidrant"/>
        <w:rPr>
          <w:rStyle w:val="Corpsdutexte"/>
          <w:noProof/>
        </w:rPr>
      </w:pPr>
      <w:r>
        <w:rPr>
          <w:rStyle w:val="Corpsdutexte"/>
        </w:rPr>
        <w:t>(2)</w:t>
      </w:r>
      <w:r>
        <w:rPr>
          <w:rStyle w:val="Corpsdutexte"/>
        </w:rPr>
        <w:tab/>
      </w:r>
      <w:r>
        <w:rPr>
          <w:noProof/>
        </w:rPr>
        <w:t>На същата дата, в съответствие с член 126, параграф 7 от Договора и член 3, параграф 4 от Регламент (ЕО) №1467/97</w:t>
      </w:r>
      <w:r>
        <w:rPr>
          <w:rStyle w:val="FootnoteReference"/>
          <w:noProof/>
        </w:rPr>
        <w:footnoteReference w:id="2"/>
      </w:r>
      <w:r>
        <w:rPr>
          <w:noProof/>
        </w:rPr>
        <w:t>, Съветът, въз основа на препоръка на Комисията, издаде препоръка към Франция за преодоляване на прекомерния дефицит най-късно до края на 2012 г</w:t>
      </w:r>
      <w:r>
        <w:rPr>
          <w:rStyle w:val="FootnoteReference"/>
          <w:noProof/>
        </w:rPr>
        <w:footnoteReference w:id="3"/>
      </w:r>
      <w:r>
        <w:rPr>
          <w:noProof/>
        </w:rPr>
        <w:t xml:space="preserve">. </w:t>
      </w:r>
      <w:r>
        <w:rPr>
          <w:rStyle w:val="Corpsdutexte"/>
          <w:noProof/>
        </w:rPr>
        <w:t>Съветът също така определи 27 октомври 2009 г. като краен срок за предприемане на ефективни действия.</w:t>
      </w:r>
    </w:p>
    <w:p>
      <w:pPr>
        <w:pStyle w:val="ManualConsidrant"/>
        <w:rPr>
          <w:noProof/>
        </w:rPr>
      </w:pPr>
      <w:r>
        <w:t>(3)</w:t>
      </w:r>
      <w:r>
        <w:tab/>
      </w:r>
      <w:r>
        <w:rPr>
          <w:noProof/>
        </w:rPr>
        <w:t xml:space="preserve">След това, на 2 декември 2009 г. Съветът отправи нова препоръка към Франция въз основа на член 126, параграф 7 от Договора, с която срокът за коригиране на прекомерния дефицит бе удължен до 2013 г. Съветът счете, че Франция е предприела ефективни действия, но са настъпили неочаквани неблагоприятни икономически събития със значими отрицателни последици за държавните финанси. </w:t>
      </w:r>
    </w:p>
    <w:p>
      <w:pPr>
        <w:pStyle w:val="ManualConsidrant"/>
        <w:rPr>
          <w:noProof/>
        </w:rPr>
      </w:pPr>
      <w:r>
        <w:t>(4)</w:t>
      </w:r>
      <w:r>
        <w:tab/>
      </w:r>
      <w:r>
        <w:rPr>
          <w:noProof/>
        </w:rPr>
        <w:t xml:space="preserve">На 21 юни 2013 г., въз основа на член 126, параграф 7 от Договора, Съветът отправи нова препоръка към Франция, с което срокът за коригиране на </w:t>
      </w:r>
      <w:r>
        <w:rPr>
          <w:noProof/>
        </w:rPr>
        <w:lastRenderedPageBreak/>
        <w:t xml:space="preserve">прекомерния дефицит бе удължен до 2015 г. Съветът счете, че наличните доказателства не позволяват да се направи заключение относно неефективни действия, но са настъпили неочаквани неблагоприятни икономически събития със значими отрицателни последици за държавните финанси. </w:t>
      </w:r>
    </w:p>
    <w:p>
      <w:pPr>
        <w:pStyle w:val="ManualConsidrant"/>
        <w:rPr>
          <w:noProof/>
        </w:rPr>
      </w:pPr>
      <w:r>
        <w:t>(5)</w:t>
      </w:r>
      <w:r>
        <w:tab/>
      </w:r>
      <w:r>
        <w:rPr>
          <w:noProof/>
        </w:rPr>
        <w:t>След това, на 10 март 2015 г. Съветът, в съответствие с член 126, параграф 7 от Договора, отправи нова препоръка към Франция с оглед съществуващият прекомерен дефицит да бъде преодолян до 2017 г. Съветът определи 10 юни 2015 г. като краен срок, в който Франция да докладва подробно относно предприетите действия.</w:t>
      </w:r>
    </w:p>
    <w:p>
      <w:pPr>
        <w:pStyle w:val="ManualConsidrant"/>
        <w:rPr>
          <w:rStyle w:val="Corpsdutexte"/>
          <w:noProof/>
          <w:shd w:val="clear" w:color="auto" w:fill="auto"/>
        </w:rPr>
      </w:pPr>
      <w:r>
        <w:rPr>
          <w:rStyle w:val="Corpsdutexte"/>
        </w:rPr>
        <w:t>(6)</w:t>
      </w:r>
      <w:r>
        <w:rPr>
          <w:rStyle w:val="Corpsdutexte"/>
        </w:rPr>
        <w:tab/>
      </w:r>
      <w:r>
        <w:rPr>
          <w:rStyle w:val="Corpsdutexte"/>
          <w:noProof/>
        </w:rPr>
        <w:t xml:space="preserve">На 1 юли 2015 г. Комисията заключи, че целите за номиналния дефицит на Франция се очаква да бъдат постигнати както през 2015, така и през 2016 г., докато за планираната фискална корекция бе предвидено, съгласно всички показатели,  да изостане от препоръчаното през 2015 г. и 2016 г. Поради това, според методиката за оценяване на ефективността на действията Комисията счете, че процедурата трябва да бъде временно прекратена. </w:t>
      </w:r>
    </w:p>
    <w:p>
      <w:pPr>
        <w:pStyle w:val="ManualConsidrant"/>
        <w:rPr>
          <w:noProof/>
        </w:rPr>
      </w:pPr>
      <w:r>
        <w:t>(7)</w:t>
      </w:r>
      <w:r>
        <w:tab/>
      </w:r>
      <w:r>
        <w:rPr>
          <w:rStyle w:val="Corpsdutexte"/>
          <w:noProof/>
        </w:rPr>
        <w:t>В съответствие с член 4 от Протокола относно процедурата при прекомерен дефицит, приложен към Договорите, Комисията предоставя данните за изпълнението на процедурата. Като част от прилагането на този протокол държавите членки трябва да предоставят данни за бюджетния дефицит и държавния дълг, както и за другите свързани с тях променливи два пъти годишно, а именно преди 1 април и преди 1 октомври, в съответствие с член 3 от Регламент (ЕО) № 479/2009</w:t>
      </w:r>
      <w:r>
        <w:rPr>
          <w:rStyle w:val="FootnoteReference"/>
          <w:noProof/>
        </w:rPr>
        <w:footnoteReference w:id="4"/>
      </w:r>
      <w:r>
        <w:rPr>
          <w:rStyle w:val="Corpsdutexte"/>
          <w:noProof/>
        </w:rPr>
        <w:t xml:space="preserve">. </w:t>
      </w:r>
    </w:p>
    <w:p>
      <w:pPr>
        <w:pStyle w:val="ManualConsidrant"/>
        <w:rPr>
          <w:noProof/>
        </w:rPr>
      </w:pPr>
      <w:r>
        <w:t>(8)</w:t>
      </w:r>
      <w:r>
        <w:tab/>
      </w:r>
      <w:r>
        <w:rPr>
          <w:rStyle w:val="Corpsdutexte"/>
          <w:noProof/>
        </w:rPr>
        <w:t>Съветът следва да вземе решение за отмяна на решение за наличие на прекомерен дефицит въз основа на предоставените данни. Същевременно дадено решение за наличие на прекомерен дефицит следва да се отмени само ако прогнозите на Комисията сочат, че през прогнозния период дефицитът няма да превиши заложената в Договора референтна стойност от 3 % от БВП</w:t>
      </w:r>
      <w:r>
        <w:rPr>
          <w:rStyle w:val="FootnoteReference"/>
          <w:noProof/>
        </w:rPr>
        <w:footnoteReference w:id="5"/>
      </w:r>
      <w:r>
        <w:rPr>
          <w:rStyle w:val="Corpsdutexte"/>
          <w:noProof/>
        </w:rPr>
        <w:t>.</w:t>
      </w:r>
    </w:p>
    <w:p>
      <w:pPr>
        <w:pStyle w:val="ManualConsidrant"/>
        <w:rPr>
          <w:noProof/>
        </w:rPr>
      </w:pPr>
      <w:r>
        <w:t>(9)</w:t>
      </w:r>
      <w:r>
        <w:tab/>
      </w:r>
      <w:r>
        <w:rPr>
          <w:rStyle w:val="Corpsdutexte"/>
          <w:noProof/>
        </w:rPr>
        <w:t>След уведомлението</w:t>
      </w:r>
      <w:r>
        <w:rPr>
          <w:rStyle w:val="FootnoteReference"/>
          <w:noProof/>
        </w:rPr>
        <w:footnoteReference w:id="6"/>
      </w:r>
      <w:r>
        <w:rPr>
          <w:rStyle w:val="Corpsdutexte"/>
          <w:noProof/>
        </w:rPr>
        <w:t>, изпратено от Франция през април 2018 г., и въз основа на данните, предоставени от Комисията (Евростат) в съответствие с член 14 от Регламент (ЕО) № 479/2018, програмата за стабилност и прогнозата на Комисията от пролетта на 2018 г. се налагат следните заключения:</w:t>
      </w:r>
    </w:p>
    <w:p>
      <w:pPr>
        <w:pStyle w:val="Tiret1"/>
        <w:numPr>
          <w:ilvl w:val="0"/>
          <w:numId w:val="2"/>
        </w:numPr>
        <w:rPr>
          <w:noProof/>
        </w:rPr>
      </w:pPr>
      <w:r>
        <w:rPr>
          <w:rStyle w:val="Corpsdutexte"/>
          <w:noProof/>
        </w:rPr>
        <w:t xml:space="preserve">След като достигна 3,4 % от БВП през 2016 г., дефицитът по консолидирания държавен бюджет намаля до 2,6 % от БВП през 2017 г. </w:t>
      </w:r>
      <w:r>
        <w:rPr>
          <w:noProof/>
        </w:rPr>
        <w:t>В сравнение с бюджетните цели за 2017 г.</w:t>
      </w:r>
      <w:r>
        <w:rPr>
          <w:rStyle w:val="Corpsdutexte"/>
          <w:noProof/>
        </w:rPr>
        <w:t xml:space="preserve"> намаляването на дефицита през тази година се дължи най-вече на нарасналите данъчни приходи</w:t>
      </w:r>
      <w:r>
        <w:rPr>
          <w:noProof/>
        </w:rPr>
        <w:t xml:space="preserve"> (0,7 % от БВП)</w:t>
      </w:r>
      <w:r>
        <w:rPr>
          <w:rStyle w:val="Corpsdutexte"/>
          <w:noProof/>
        </w:rPr>
        <w:t xml:space="preserve"> и, по-специално, на ДДС и корпоративните данъци</w:t>
      </w:r>
      <w:r>
        <w:rPr>
          <w:noProof/>
        </w:rPr>
        <w:t xml:space="preserve">. </w:t>
      </w:r>
    </w:p>
    <w:p>
      <w:pPr>
        <w:pStyle w:val="Tiret1"/>
        <w:rPr>
          <w:noProof/>
        </w:rPr>
      </w:pPr>
      <w:r>
        <w:rPr>
          <w:noProof/>
        </w:rPr>
        <w:lastRenderedPageBreak/>
        <w:t xml:space="preserve">Според програмата за стабилност за 2018—2022 г., представена от френското правителство на 25 април 2018 г., през 2018 г. се планира дефицитът по консолидирания държавен бюджет слабо да се увеличи до 2,3 % от БВП през 2019 г. и до 2,4 % от БВП през 2016 г. Прогнозата на Комисията от пролетта на 2018 г. предвижда дефицит в размер на 2,3 % от БВП през 2018 г. и 2,8 % от БВП през 2019 г., като по този начин той остава под заложената в Договора референтна стойност от 3 % от БВП. </w:t>
      </w:r>
    </w:p>
    <w:p>
      <w:pPr>
        <w:pStyle w:val="Tiret1"/>
        <w:rPr>
          <w:noProof/>
        </w:rPr>
      </w:pPr>
      <w:r>
        <w:rPr>
          <w:rStyle w:val="Corpsdutexte"/>
          <w:noProof/>
        </w:rPr>
        <w:t xml:space="preserve">През 2017 г. структурното салдо, т.е. салдото по консолидирания държавен бюджет, коригирано спрямо фазата на икономическия цикъл, минус еднократните и другите временни мерки, се е подобрило с 0,5 % от БВП. Общото подобрение на структурното салдо за 2015 г. възлиза на 0,7 % от БВП. </w:t>
      </w:r>
    </w:p>
    <w:p>
      <w:pPr>
        <w:pStyle w:val="Tiret1"/>
        <w:rPr>
          <w:rStyle w:val="Corpsdutexte"/>
          <w:noProof/>
        </w:rPr>
      </w:pPr>
      <w:r>
        <w:rPr>
          <w:rStyle w:val="Corpsdutexte"/>
          <w:noProof/>
        </w:rPr>
        <w:t xml:space="preserve">Съотношението на брутния държавен дълг към БВП нарасна от 96,6 % през 2016 г. до 97,0 % през 2017 г., което се дължи предимно на корекции наличности-потоци, тъй като плащанията по първичния дефицит и лихвите бяха до голяма степен компенсирани от въздействието на реалния растеж и инфлацията върху намаляването на дълга. В прогнозата на Комисията от пролетта на 2018 г. се предвижда съотношението на дълга да намалее до 96,4 % през 2018 г. и до 96,0 % през 2019 г. главно поради високия номинален растеж, който надхвърля плащанията по първичния дефицит и по лихвите. </w:t>
      </w:r>
    </w:p>
    <w:p>
      <w:pPr>
        <w:pStyle w:val="ManualConsidrant"/>
        <w:rPr>
          <w:noProof/>
        </w:rPr>
      </w:pPr>
      <w:r>
        <w:t>(10)</w:t>
      </w:r>
      <w:r>
        <w:tab/>
      </w:r>
      <w:r>
        <w:rPr>
          <w:rStyle w:val="Corpsdutexte"/>
          <w:noProof/>
        </w:rPr>
        <w:t>В съответствие с член 126, параграф 12 от Договора решенията на Съвета относно наличието на прекомерен дефицит се отменят, когато по мнение на Съвета прекомерният дефицит в съответната държава членка е бил коригиран.</w:t>
      </w:r>
    </w:p>
    <w:p>
      <w:pPr>
        <w:pStyle w:val="ManualConsidrant"/>
        <w:rPr>
          <w:rStyle w:val="Corpsdutexte"/>
          <w:noProof/>
        </w:rPr>
      </w:pPr>
      <w:r>
        <w:rPr>
          <w:rStyle w:val="Corpsdutexte"/>
        </w:rPr>
        <w:t>(11)</w:t>
      </w:r>
      <w:r>
        <w:rPr>
          <w:rStyle w:val="Corpsdutexte"/>
        </w:rPr>
        <w:tab/>
      </w:r>
      <w:r>
        <w:rPr>
          <w:rStyle w:val="Corpsdutexte"/>
          <w:noProof/>
        </w:rPr>
        <w:t>По мнение на Съвета прекомерният дефицит в Франция е бил коригиран и следователно Решение</w:t>
      </w:r>
      <w:r>
        <w:rPr>
          <w:noProof/>
        </w:rPr>
        <w:t xml:space="preserve"> </w:t>
      </w:r>
      <w:r>
        <w:rPr>
          <w:rStyle w:val="Corpsdutexte2"/>
          <w:noProof/>
        </w:rPr>
        <w:t>2009/414/ЕО</w:t>
      </w:r>
      <w:r>
        <w:rPr>
          <w:noProof/>
        </w:rPr>
        <w:t xml:space="preserve"> </w:t>
      </w:r>
      <w:r>
        <w:rPr>
          <w:rStyle w:val="Corpsdutexte"/>
          <w:noProof/>
        </w:rPr>
        <w:t>следва да бъде отменено</w:t>
      </w:r>
      <w:r>
        <w:rPr>
          <w:noProof/>
        </w:rPr>
        <w:t>.</w:t>
      </w:r>
    </w:p>
    <w:p>
      <w:pPr>
        <w:pStyle w:val="ManualConsidrant"/>
        <w:rPr>
          <w:rStyle w:val="Corpsdutexte"/>
          <w:noProof/>
        </w:rPr>
      </w:pPr>
      <w:r>
        <w:rPr>
          <w:rStyle w:val="Corpsdutexte"/>
        </w:rPr>
        <w:t>(12)</w:t>
      </w:r>
      <w:r>
        <w:rPr>
          <w:rStyle w:val="Corpsdutexte"/>
        </w:rPr>
        <w:tab/>
      </w:r>
      <w:r>
        <w:rPr>
          <w:rStyle w:val="Corpsdutexte"/>
          <w:noProof/>
        </w:rPr>
        <w:t xml:space="preserve">От 2018 г., т.е. годината след корекцията на прекомерния дефицит, по отношение на Франция се прилага предпазните мерки на Пакта за стабилност и растеж и тя следва да напредва с подходящ темп към постигането на средносрочната бюджетна цел, включително като спазва целевия показател за разходите и съблюдава критерия за дълга по член 2, параграф 1а от Регламент (ЕО) № 1467/97, </w:t>
      </w:r>
    </w:p>
    <w:p>
      <w:pPr>
        <w:rPr>
          <w:noProof/>
          <w:shd w:val="clear" w:color="auto" w:fill="FFFFF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rStyle w:val="Corpsdutexte"/>
          <w:noProof/>
        </w:rPr>
        <w:t>Въз основа на цялостна оценка прекомерният дефицит във Франция се счита за</w:t>
      </w:r>
      <w:r>
        <w:rPr>
          <w:noProof/>
        </w:rPr>
        <w:t xml:space="preserve"> </w:t>
      </w:r>
      <w:r>
        <w:rPr>
          <w:rStyle w:val="Corpsdutexte6"/>
          <w:noProof/>
        </w:rPr>
        <w:t>коригиран</w:t>
      </w:r>
      <w:r>
        <w:rPr>
          <w:noProof/>
        </w:rPr>
        <w:t>.</w:t>
      </w:r>
    </w:p>
    <w:p>
      <w:pPr>
        <w:pStyle w:val="Titrearticle"/>
        <w:rPr>
          <w:noProof/>
        </w:rPr>
      </w:pPr>
      <w:r>
        <w:rPr>
          <w:rStyle w:val="Corpsdutexte5"/>
          <w:noProof/>
        </w:rPr>
        <w:t>Член 2</w:t>
      </w:r>
    </w:p>
    <w:p>
      <w:pPr>
        <w:rPr>
          <w:noProof/>
        </w:rPr>
      </w:pPr>
      <w:r>
        <w:rPr>
          <w:rStyle w:val="Corpsdutexte"/>
          <w:noProof/>
        </w:rPr>
        <w:t>Решение</w:t>
      </w:r>
      <w:r>
        <w:rPr>
          <w:noProof/>
        </w:rPr>
        <w:t xml:space="preserve"> </w:t>
      </w:r>
      <w:r>
        <w:rPr>
          <w:rStyle w:val="Corpsdutexte2"/>
          <w:noProof/>
        </w:rPr>
        <w:t>2009/414/ЕО</w:t>
      </w:r>
      <w:r>
        <w:rPr>
          <w:noProof/>
        </w:rPr>
        <w:t xml:space="preserve"> </w:t>
      </w:r>
      <w:r>
        <w:rPr>
          <w:rStyle w:val="Corpsdutexte"/>
          <w:noProof/>
        </w:rPr>
        <w:t>се отменя</w:t>
      </w:r>
      <w:r>
        <w:rPr>
          <w:noProof/>
        </w:rPr>
        <w:t>.</w:t>
      </w:r>
    </w:p>
    <w:p>
      <w:pPr>
        <w:pStyle w:val="Titrearticle"/>
        <w:rPr>
          <w:noProof/>
        </w:rPr>
      </w:pPr>
      <w:r>
        <w:rPr>
          <w:rStyle w:val="Corpsdutexte5"/>
          <w:noProof/>
        </w:rPr>
        <w:lastRenderedPageBreak/>
        <w:t>Член 3</w:t>
      </w:r>
    </w:p>
    <w:p>
      <w:pPr>
        <w:keepNext/>
        <w:keepLines/>
        <w:rPr>
          <w:noProof/>
        </w:rPr>
      </w:pPr>
      <w:r>
        <w:rPr>
          <w:rStyle w:val="Corpsdutexte"/>
          <w:noProof/>
        </w:rPr>
        <w:t>Адресат на настоящото решение е Френската република.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2009/414/ЕО на Съвета от 27 април 2009 г. относно наличието на прекомерен дефицит във Франция (ОВ L 135, 30.5.2009 г., стр. 19).</w:t>
      </w:r>
    </w:p>
  </w:footnote>
  <w:footnote w:id="2">
    <w:p>
      <w:pPr>
        <w:pStyle w:val="FootnoteText"/>
      </w:pPr>
      <w:r>
        <w:rPr>
          <w:rStyle w:val="FootnoteReference"/>
        </w:rPr>
        <w:footnoteRef/>
      </w:r>
      <w:r>
        <w:tab/>
        <w:t>Регламент (ЕО) № 1467/97 на Съвета от 7 юли 1997 г. за определяне и изясняване на прилагането на процедурата при прекомерен дефицит (ОВ L 209, 2.8.1997, стр. 6).</w:t>
      </w:r>
    </w:p>
  </w:footnote>
  <w:footnote w:id="3">
    <w:p>
      <w:pPr>
        <w:pStyle w:val="FootnoteText"/>
      </w:pPr>
      <w:r>
        <w:rPr>
          <w:rStyle w:val="FootnoteReference"/>
        </w:rPr>
        <w:footnoteRef/>
      </w:r>
      <w:r>
        <w:tab/>
        <w:t>Всички документи, свързани с процедурата при прекомерен дефицит за Франция, са публикувани на следния уебсайт: https://ec.europa.eu/info/business-economy-euro/economic-and-fiscal-policy-coordination/eu-economic-governance-monitoring-prevention-correction/stability-and-growth-pact/corrective-arm-excessive-deficit-procedure/ongoing-excessive-deficit-procedures/france_en#ongoing-procedure.</w:t>
      </w:r>
    </w:p>
  </w:footnote>
  <w:footnote w:id="4">
    <w:p>
      <w:pPr>
        <w:pStyle w:val="FootnoteText"/>
      </w:pPr>
      <w:r>
        <w:rPr>
          <w:rStyle w:val="FootnoteReference"/>
        </w:rPr>
        <w:footnoteRef/>
      </w:r>
      <w:r>
        <w:tab/>
        <w:t xml:space="preserve">Регламент (ЕО) № 479/2009 на Съвета от 25 май 2009 г. за прилагане на Протокола за процедурата при прекомерен дефицит, приложен към Договора за създаване на Европейската общност </w:t>
      </w:r>
      <w:r>
        <w:rPr>
          <w:rStyle w:val="Corpsdutexte4"/>
        </w:rPr>
        <w:t>(ОВ L 145, 10.6.2009 г., стр. 1).</w:t>
      </w:r>
    </w:p>
  </w:footnote>
  <w:footnote w:id="5">
    <w:p>
      <w:pPr>
        <w:pStyle w:val="FootnoteText"/>
        <w:rPr>
          <w:rStyle w:val="Corpsdutexte4"/>
          <w:sz w:val="20"/>
          <w:szCs w:val="20"/>
        </w:rPr>
      </w:pPr>
      <w:r>
        <w:rPr>
          <w:rStyle w:val="FootnoteReference"/>
        </w:rPr>
        <w:footnoteRef/>
      </w:r>
      <w:r>
        <w:tab/>
      </w:r>
      <w:r>
        <w:rPr>
          <w:rStyle w:val="Corpsdutexte4"/>
          <w:sz w:val="20"/>
        </w:rPr>
        <w:t>Съгласно „Подробните указания за изпълнението на Пакта за стабилност и растеж и насоките относно формата и съдържанието на програмите за стабилност и за конвергенция“, приети от Икономическия и финансов комитет на 15 май 2017 г., достъпни на:</w:t>
      </w:r>
    </w:p>
    <w:p>
      <w:pPr>
        <w:pStyle w:val="FootnoteText"/>
        <w:ind w:firstLine="0"/>
      </w:pPr>
      <w:r>
        <w:t>http://data.consilium.europa.eu/doc/document/ST-9344-2017-INIT/en/pdf</w:t>
      </w:r>
    </w:p>
  </w:footnote>
  <w:footnote w:id="6">
    <w:p>
      <w:pPr>
        <w:pStyle w:val="FootnoteText"/>
      </w:pPr>
      <w:r>
        <w:rPr>
          <w:rStyle w:val="FootnoteReference"/>
        </w:rPr>
        <w:footnoteRef/>
      </w:r>
      <w:r>
        <w:tab/>
        <w:t>Евростат изрази резерви относно качеството на данните, докладвани от Франция. Първо, Евростат счита, че Agence Française de Développement следва да бъде зачислена към сектор „Държавно управление“, което би довело до увеличаване на държавния дълг. Второ, Евростат счита, че вливането на капитал от държавата в AREVA (0,1 % от БВП) през 2017 г. следва да се третира като капиталов трансфер с въздействие върху дефицита.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2ACB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0A18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AAA6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1EC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5EDD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AC48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4EE6BA0"/>
    <w:lvl w:ilvl="0">
      <w:start w:val="1"/>
      <w:numFmt w:val="decimal"/>
      <w:pStyle w:val="ListNumber"/>
      <w:lvlText w:val="%1."/>
      <w:lvlJc w:val="left"/>
      <w:pPr>
        <w:tabs>
          <w:tab w:val="num" w:pos="360"/>
        </w:tabs>
        <w:ind w:left="360" w:hanging="360"/>
      </w:pPr>
    </w:lvl>
  </w:abstractNum>
  <w:abstractNum w:abstractNumId="7">
    <w:nsid w:val="FFFFFF89"/>
    <w:multiLevelType w:val="singleLevel"/>
    <w:tmpl w:val="2166BE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ERKE Hauke (ECFIN)">
    <w15:presenceInfo w15:providerId="None" w15:userId="VIERKE Hauke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5 17:51: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5D93D87-8F3E-4041-A38A-C11028CB169A"/>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87?\u1086?\u1088?\u1098?\u1082?\u1072? \u1079?\u1072?"/>
    <w:docVar w:name="LW_SUPERTITRE" w:val="&lt;UNUSED&gt;"/>
    <w:docVar w:name="LW_TITRE.OBJ.CP" w:val="\u1079?\u1072? \u1086?\u1090?\u1084?\u1103?\u1085?\u1072? \u1085?\u1072? \u1056?\u1077?\u1096?\u1077?\u1085?\u1080?\u1077? 2009/414/\u1045?\u1054? \u1086?\u1090?\u1085?\u1086?\u1089?\u1085?\u1086? \u1085?\u1072?\u1083?\u1080?\u1095?\u1080?\u1077?\u1090?\u1086? \u1085?\u1072? \u1087?\u1088?\u1077?\u1082?\u1086?\u1084?\u1077?\u1088?\u1077?\u1085? \u1076?\u1077?\u1092?\u1080?\u1094?\u1080?\u1090? \u1074?\u1098?\u1074? \u1060?\u1088?\u1072?\u1085?\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shd w:val="clear" w:color="auto" w:fill="FFFFFF"/>
    </w:rPr>
  </w:style>
  <w:style w:type="paragraph" w:customStyle="1" w:styleId="Corpsdutexte20">
    <w:name w:val="Corps du texte (2)"/>
    <w:basedOn w:val="Normal"/>
    <w:link w:val="Corpsdutexte2"/>
    <w:pPr>
      <w:widowControl w:val="0"/>
      <w:shd w:val="clear" w:color="auto" w:fill="FFFFFF"/>
      <w:spacing w:before="1380" w:after="0" w:line="629" w:lineRule="exact"/>
      <w:jc w:val="center"/>
    </w:pPr>
    <w:rPr>
      <w:rFonts w:asciiTheme="minorHAnsi" w:hAnsiTheme="minorHAnsi" w:cstheme="minorBidi"/>
      <w:sz w:val="22"/>
    </w:rPr>
  </w:style>
  <w:style w:type="character" w:customStyle="1" w:styleId="Corpsdutexte">
    <w:name w:val="Corps du texte_"/>
    <w:basedOn w:val="DefaultParagraphFont"/>
    <w:link w:val="Corpsdutexte0"/>
    <w:rPr>
      <w:shd w:val="clear" w:color="auto" w:fill="FFFFFF"/>
    </w:rPr>
  </w:style>
  <w:style w:type="character" w:customStyle="1" w:styleId="Corpsdutexte4">
    <w:name w:val="Corps du texte (4)_"/>
    <w:basedOn w:val="DefaultParagraphFont"/>
    <w:link w:val="Corpsdutexte4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0" w:after="1380" w:line="274" w:lineRule="exact"/>
      <w:ind w:hanging="720"/>
      <w:jc w:val="left"/>
    </w:pPr>
    <w:rPr>
      <w:rFonts w:asciiTheme="minorHAnsi" w:hAnsiTheme="minorHAnsi" w:cstheme="minorBidi"/>
      <w:sz w:val="22"/>
    </w:rPr>
  </w:style>
  <w:style w:type="paragraph" w:customStyle="1" w:styleId="Corpsdutexte40">
    <w:name w:val="Corps du texte (4)"/>
    <w:basedOn w:val="Normal"/>
    <w:link w:val="Corpsdutexte4"/>
    <w:pPr>
      <w:widowControl w:val="0"/>
      <w:shd w:val="clear" w:color="auto" w:fill="FFFFFF"/>
      <w:spacing w:before="960" w:after="0" w:line="230" w:lineRule="exact"/>
    </w:pPr>
    <w:rPr>
      <w:rFonts w:asciiTheme="minorHAnsi" w:hAnsiTheme="minorHAnsi" w:cstheme="minorBidi"/>
      <w:sz w:val="19"/>
      <w:szCs w:val="19"/>
    </w:rPr>
  </w:style>
  <w:style w:type="character" w:customStyle="1" w:styleId="Corpsdutexte5">
    <w:name w:val="Corps du texte (5)_"/>
    <w:basedOn w:val="DefaultParagraphFont"/>
    <w:link w:val="Corpsdutexte50"/>
    <w:rPr>
      <w:sz w:val="23"/>
      <w:szCs w:val="23"/>
      <w:shd w:val="clear" w:color="auto" w:fill="FFFFFF"/>
    </w:rPr>
  </w:style>
  <w:style w:type="character" w:customStyle="1" w:styleId="Corpsdutexte6">
    <w:name w:val="Corps du texte (6)_"/>
    <w:basedOn w:val="DefaultParagraphFont"/>
    <w:link w:val="Corpsdutexte60"/>
    <w:rPr>
      <w:shd w:val="clear" w:color="auto" w:fill="FFFFFF"/>
    </w:rPr>
  </w:style>
  <w:style w:type="paragraph" w:customStyle="1" w:styleId="Corpsdutexte50">
    <w:name w:val="Corps du texte (5)"/>
    <w:basedOn w:val="Normal"/>
    <w:link w:val="Corpsdutexte5"/>
    <w:pPr>
      <w:widowControl w:val="0"/>
      <w:shd w:val="clear" w:color="auto" w:fill="FFFFFF"/>
      <w:spacing w:before="540" w:after="300" w:line="0" w:lineRule="atLeast"/>
      <w:jc w:val="left"/>
    </w:pPr>
    <w:rPr>
      <w:rFonts w:asciiTheme="minorHAnsi" w:hAnsiTheme="minorHAnsi" w:cstheme="minorBidi"/>
      <w:sz w:val="23"/>
      <w:szCs w:val="23"/>
    </w:rPr>
  </w:style>
  <w:style w:type="paragraph" w:customStyle="1" w:styleId="Corpsdutexte60">
    <w:name w:val="Corps du texte (6)"/>
    <w:basedOn w:val="Normal"/>
    <w:link w:val="Corpsdutexte6"/>
    <w:pPr>
      <w:widowControl w:val="0"/>
      <w:shd w:val="clear" w:color="auto" w:fill="FFFFFF"/>
      <w:spacing w:before="60" w:after="540" w:line="0" w:lineRule="atLeast"/>
      <w:ind w:hanging="720"/>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paragraph" w:customStyle="1" w:styleId="Bullets">
    <w:name w:val="Bullets"/>
    <w:basedOn w:val="Normal"/>
    <w:autoRedefine/>
    <w:pPr>
      <w:spacing w:before="0"/>
      <w:ind w:left="851"/>
    </w:pPr>
    <w:rPr>
      <w:rFonts w:eastAsia="Times New Roman"/>
      <w:b/>
      <w:i/>
      <w:noProof/>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Explanatory">
    <w:name w:val="Explanatory"/>
    <w:basedOn w:val="Typedudocument"/>
  </w:style>
  <w:style w:type="paragraph" w:customStyle="1" w:styleId="Expo">
    <w:name w:val="Expo"/>
    <w:basedOn w:val="Explanatory"/>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shd w:val="clear" w:color="auto" w:fill="FFFFFF"/>
    </w:rPr>
  </w:style>
  <w:style w:type="paragraph" w:customStyle="1" w:styleId="Corpsdutexte20">
    <w:name w:val="Corps du texte (2)"/>
    <w:basedOn w:val="Normal"/>
    <w:link w:val="Corpsdutexte2"/>
    <w:pPr>
      <w:widowControl w:val="0"/>
      <w:shd w:val="clear" w:color="auto" w:fill="FFFFFF"/>
      <w:spacing w:before="1380" w:after="0" w:line="629" w:lineRule="exact"/>
      <w:jc w:val="center"/>
    </w:pPr>
    <w:rPr>
      <w:rFonts w:asciiTheme="minorHAnsi" w:hAnsiTheme="minorHAnsi" w:cstheme="minorBidi"/>
      <w:sz w:val="22"/>
    </w:rPr>
  </w:style>
  <w:style w:type="character" w:customStyle="1" w:styleId="Corpsdutexte">
    <w:name w:val="Corps du texte_"/>
    <w:basedOn w:val="DefaultParagraphFont"/>
    <w:link w:val="Corpsdutexte0"/>
    <w:rPr>
      <w:shd w:val="clear" w:color="auto" w:fill="FFFFFF"/>
    </w:rPr>
  </w:style>
  <w:style w:type="character" w:customStyle="1" w:styleId="Corpsdutexte4">
    <w:name w:val="Corps du texte (4)_"/>
    <w:basedOn w:val="DefaultParagraphFont"/>
    <w:link w:val="Corpsdutexte4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0" w:after="1380" w:line="274" w:lineRule="exact"/>
      <w:ind w:hanging="720"/>
      <w:jc w:val="left"/>
    </w:pPr>
    <w:rPr>
      <w:rFonts w:asciiTheme="minorHAnsi" w:hAnsiTheme="minorHAnsi" w:cstheme="minorBidi"/>
      <w:sz w:val="22"/>
    </w:rPr>
  </w:style>
  <w:style w:type="paragraph" w:customStyle="1" w:styleId="Corpsdutexte40">
    <w:name w:val="Corps du texte (4)"/>
    <w:basedOn w:val="Normal"/>
    <w:link w:val="Corpsdutexte4"/>
    <w:pPr>
      <w:widowControl w:val="0"/>
      <w:shd w:val="clear" w:color="auto" w:fill="FFFFFF"/>
      <w:spacing w:before="960" w:after="0" w:line="230" w:lineRule="exact"/>
    </w:pPr>
    <w:rPr>
      <w:rFonts w:asciiTheme="minorHAnsi" w:hAnsiTheme="minorHAnsi" w:cstheme="minorBidi"/>
      <w:sz w:val="19"/>
      <w:szCs w:val="19"/>
    </w:rPr>
  </w:style>
  <w:style w:type="character" w:customStyle="1" w:styleId="Corpsdutexte5">
    <w:name w:val="Corps du texte (5)_"/>
    <w:basedOn w:val="DefaultParagraphFont"/>
    <w:link w:val="Corpsdutexte50"/>
    <w:rPr>
      <w:sz w:val="23"/>
      <w:szCs w:val="23"/>
      <w:shd w:val="clear" w:color="auto" w:fill="FFFFFF"/>
    </w:rPr>
  </w:style>
  <w:style w:type="character" w:customStyle="1" w:styleId="Corpsdutexte6">
    <w:name w:val="Corps du texte (6)_"/>
    <w:basedOn w:val="DefaultParagraphFont"/>
    <w:link w:val="Corpsdutexte60"/>
    <w:rPr>
      <w:shd w:val="clear" w:color="auto" w:fill="FFFFFF"/>
    </w:rPr>
  </w:style>
  <w:style w:type="paragraph" w:customStyle="1" w:styleId="Corpsdutexte50">
    <w:name w:val="Corps du texte (5)"/>
    <w:basedOn w:val="Normal"/>
    <w:link w:val="Corpsdutexte5"/>
    <w:pPr>
      <w:widowControl w:val="0"/>
      <w:shd w:val="clear" w:color="auto" w:fill="FFFFFF"/>
      <w:spacing w:before="540" w:after="300" w:line="0" w:lineRule="atLeast"/>
      <w:jc w:val="left"/>
    </w:pPr>
    <w:rPr>
      <w:rFonts w:asciiTheme="minorHAnsi" w:hAnsiTheme="minorHAnsi" w:cstheme="minorBidi"/>
      <w:sz w:val="23"/>
      <w:szCs w:val="23"/>
    </w:rPr>
  </w:style>
  <w:style w:type="paragraph" w:customStyle="1" w:styleId="Corpsdutexte60">
    <w:name w:val="Corps du texte (6)"/>
    <w:basedOn w:val="Normal"/>
    <w:link w:val="Corpsdutexte6"/>
    <w:pPr>
      <w:widowControl w:val="0"/>
      <w:shd w:val="clear" w:color="auto" w:fill="FFFFFF"/>
      <w:spacing w:before="60" w:after="540" w:line="0" w:lineRule="atLeast"/>
      <w:ind w:hanging="720"/>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paragraph" w:customStyle="1" w:styleId="Bullets">
    <w:name w:val="Bullets"/>
    <w:basedOn w:val="Normal"/>
    <w:autoRedefine/>
    <w:pPr>
      <w:spacing w:before="0"/>
      <w:ind w:left="851"/>
    </w:pPr>
    <w:rPr>
      <w:rFonts w:eastAsia="Times New Roman"/>
      <w:b/>
      <w:i/>
      <w:noProof/>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Explanatory">
    <w:name w:val="Explanatory"/>
    <w:basedOn w:val="Typedudocument"/>
  </w:style>
  <w:style w:type="paragraph" w:customStyle="1" w:styleId="Expo">
    <w:name w:val="Expo"/>
    <w:basedOn w:val="Explanatory"/>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2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EB46-ED6C-4922-AE23-752C82FC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1070</Words>
  <Characters>5526</Characters>
  <Application>Microsoft Office Word</Application>
  <DocSecurity>0</DocSecurity>
  <Lines>115</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2018-04-27T14:15:00Z</cp:lastPrinted>
  <dcterms:created xsi:type="dcterms:W3CDTF">2018-05-24T13:16:00Z</dcterms:created>
  <dcterms:modified xsi:type="dcterms:W3CDTF">2018-05-25T15:51:00Z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