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7EAD873-8071-43CA-A2F2-FF9DE4949B5F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b w:val="0"/>
          <w:noProof/>
          <w:szCs w:val="24"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  <w:r>
        <w:rPr>
          <w:noProof/>
        </w:rPr>
        <w:br/>
        <w:t xml:space="preserve">РАМКА ЗА КАЧЕСТВО НА </w:t>
      </w:r>
      <w:r>
        <w:rPr>
          <w:noProof/>
        </w:rPr>
        <w:br/>
        <w:t>ОБРАЗОВАНИЕТО И ГРИЖИТЕ В РАННА ДЕТСКА ВЪЗРАСТ</w:t>
      </w:r>
    </w:p>
    <w:p>
      <w:pPr>
        <w:ind w:firstLine="720"/>
        <w:rPr>
          <w:i/>
          <w:noProof/>
          <w:color w:val="404040"/>
          <w:szCs w:val="24"/>
        </w:rPr>
      </w:pPr>
    </w:p>
    <w:p>
      <w:pPr>
        <w:rPr>
          <w:i/>
          <w:noProof/>
          <w:color w:val="404040"/>
          <w:szCs w:val="24"/>
        </w:rPr>
      </w:pPr>
    </w:p>
    <w:p>
      <w:pPr>
        <w:rPr>
          <w:noProof/>
          <w:color w:val="404040"/>
          <w:szCs w:val="24"/>
        </w:rPr>
      </w:pPr>
      <w:r>
        <w:rPr>
          <w:i/>
          <w:noProof/>
          <w:color w:val="404040"/>
        </w:rPr>
        <w:t>Децата имат право на достъпно образование и грижи в ранна детска възраст с добро качество</w:t>
      </w:r>
      <w:r>
        <w:rPr>
          <w:rStyle w:val="FootnoteReference"/>
          <w:i/>
          <w:noProof/>
          <w:color w:val="404040"/>
        </w:rPr>
        <w:footnoteReference w:id="1"/>
      </w:r>
      <w:r>
        <w:rPr>
          <w:i/>
          <w:noProof/>
          <w:color w:val="404040"/>
        </w:rPr>
        <w:t>.</w:t>
      </w:r>
    </w:p>
    <w:p>
      <w:pPr>
        <w:ind w:firstLine="720"/>
        <w:jc w:val="right"/>
        <w:rPr>
          <w:b/>
          <w:i/>
          <w:noProof/>
          <w:color w:val="404040"/>
          <w:szCs w:val="24"/>
        </w:rPr>
      </w:pPr>
      <w:r>
        <w:rPr>
          <w:b/>
          <w:i/>
          <w:noProof/>
        </w:rPr>
        <w:t>Европейски стълб на социалните права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Ученето и образованието започват от раждането и първите години от живота на децата са най-определящи, тъй като поставят основите за тяхното по-нататъшно развитие. С тази рамка за качество се установяват ключови принципи и европейски подход към висококачествени системи за образование и грижи в ранна детска възраст, основани на добри практики в държавите — членки на ЕС, и на най-съвременните научни изследвания. Рамката съдържа десет позиции относно качеството, които са структурирани в пет по-широки области, свързани с качеството: достъп, работна сила, учебна програма, наблюдение и оценка, управление и финансиране. В десетте позиции относно качеството са описани основните характеристики на висококачествените услуги така, както са установени в практиката. Рамката за качество е инструмент за управление, чиято цел е да даде насоки за разработването и поддържането на системи за образование и грижи в ранна детска възраст. За целите на самооценката и по-нататъшния анализ тя съдържа също така списък с показатели, които могат да се използват на национално, регионално или местно равнище</w:t>
      </w:r>
    </w:p>
    <w:p>
      <w:pPr>
        <w:rPr>
          <w:noProof/>
          <w:szCs w:val="24"/>
        </w:rPr>
      </w:pPr>
      <w:r>
        <w:rPr>
          <w:noProof/>
        </w:rPr>
        <w:t>Основната цел на рамката е да осигури качествено образование и грижи в ранна детска възраст за всички деца и нейното разработване се основава на следните принципи: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567"/>
        </w:tabs>
        <w:ind w:left="567"/>
        <w:rPr>
          <w:noProof/>
        </w:rPr>
      </w:pPr>
      <w:r>
        <w:rPr>
          <w:noProof/>
        </w:rPr>
        <w:t>висококачествените услуги са от решаващо значение за насърчаване на развитието и ученето на децата и за повишаване на техните образователни възможности в дългосрочен план;</w:t>
      </w:r>
    </w:p>
    <w:p>
      <w:pPr>
        <w:pStyle w:val="Bullet1"/>
        <w:numPr>
          <w:ilvl w:val="0"/>
          <w:numId w:val="9"/>
        </w:numPr>
        <w:ind w:left="567"/>
        <w:rPr>
          <w:noProof/>
        </w:rPr>
      </w:pPr>
      <w:r>
        <w:rPr>
          <w:noProof/>
        </w:rPr>
        <w:t>участието на родителите като партньори в предоставянето на такива услуги е от съществено значение — семейството е най-важната среда, в която децата растат и се развиват, а родителите (и настойниците) са тези, които носят отговорност за благосъстоянието, здравето и развитието на всяко дете;</w:t>
      </w:r>
    </w:p>
    <w:p>
      <w:pPr>
        <w:pStyle w:val="Bullet1"/>
        <w:numPr>
          <w:ilvl w:val="0"/>
          <w:numId w:val="9"/>
        </w:numPr>
        <w:ind w:left="567"/>
        <w:rPr>
          <w:noProof/>
        </w:rPr>
      </w:pPr>
      <w:r>
        <w:rPr>
          <w:noProof/>
        </w:rPr>
        <w:t>услугите за образование и грижи в ранна детска възраст трябва да бъдат насочени към децата, да насърчават тяхното активно участие и да отчитат техните виждания.</w:t>
      </w:r>
    </w:p>
    <w:p>
      <w:pPr>
        <w:pStyle w:val="ManualHeading1"/>
        <w:spacing w:before="120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 xml:space="preserve">Рамка на ЕС за качество на образованието и грижите в ранна детска възраст </w:t>
      </w:r>
    </w:p>
    <w:p>
      <w:pPr>
        <w:rPr>
          <w:noProof/>
        </w:rPr>
      </w:pPr>
      <w:r>
        <w:rPr>
          <w:b/>
          <w:noProof/>
        </w:rPr>
        <w:t>ДОСТЪПЪТ</w:t>
      </w:r>
      <w:r>
        <w:rPr>
          <w:noProof/>
        </w:rPr>
        <w:t xml:space="preserve"> до качествени услуги за образование и грижи в ранна детска възраст </w:t>
      </w:r>
      <w:r>
        <w:rPr>
          <w:b/>
          <w:noProof/>
        </w:rPr>
        <w:t>за всички деца</w:t>
      </w:r>
      <w:r>
        <w:rPr>
          <w:noProof/>
        </w:rPr>
        <w:t xml:space="preserve"> допринася за тяхното здравословно развитие и успеха им в образованието, помага за намаляване на социалното неравенство и смекчава различията в компетенциите между децата с различен социално-икономически произход. Равнопоставеният достъп е от съществено значение, за да се осигурят гъвкави възможности за родителите, особено за жените, да се интегрират (отново) на пазара на труда.</w:t>
      </w:r>
    </w:p>
    <w:p>
      <w:pPr>
        <w:pStyle w:val="ManualHeading3"/>
        <w:rPr>
          <w:b/>
          <w:noProof/>
        </w:rPr>
      </w:pPr>
      <w:r>
        <w:rPr>
          <w:noProof/>
        </w:rPr>
        <w:t>Позиции относно качеството:</w:t>
      </w:r>
    </w:p>
    <w:p>
      <w:pPr>
        <w:pStyle w:val="NumPar1"/>
        <w:numPr>
          <w:ilvl w:val="0"/>
          <w:numId w:val="10"/>
        </w:numPr>
        <w:rPr>
          <w:b/>
          <w:noProof/>
        </w:rPr>
      </w:pPr>
      <w:r>
        <w:rPr>
          <w:b/>
          <w:noProof/>
        </w:rPr>
        <w:t>Услуги, които са налични и достъпни за всички семейства и техните деца.</w:t>
      </w:r>
    </w:p>
    <w:p>
      <w:pPr>
        <w:rPr>
          <w:noProof/>
        </w:rPr>
      </w:pPr>
      <w:r>
        <w:rPr>
          <w:noProof/>
        </w:rPr>
        <w:t>Универсалното законно право на образование и грижи в ранна детска възраст осигурява солидна основа за достигането до всяко дете. Данните за населението и проведените проучвания сред родители относно търсенето на места в заведения, предоставящи образование и грижи в ранна детска възраст, могат да послужат като основа за оценяването на по-нататъшните нужди и за адаптирането на капацитета.</w:t>
      </w:r>
    </w:p>
    <w:p>
      <w:pPr>
        <w:rPr>
          <w:noProof/>
        </w:rPr>
      </w:pPr>
      <w:r>
        <w:rPr>
          <w:noProof/>
        </w:rPr>
        <w:t>Добре организираното предоставяне на такива услуги може да допринесе за премахване на пречките, които възпрепятстват участието на семействата и децата. Това може да включва адаптиране на таксите за образование и грижи в ранна детска възраст, за да се улесни достъпът и за домакинства с ниски доходи. Изследванията сочат, че гъвкавото работно време на детските заведения и други улеснения могат да предоставят възможности за участие, особено на децата на работещи майки и от малцинствени групи или групи в неравностойно положение.</w:t>
      </w:r>
    </w:p>
    <w:p>
      <w:pPr>
        <w:rPr>
          <w:noProof/>
          <w:szCs w:val="24"/>
        </w:rPr>
      </w:pPr>
      <w:r>
        <w:rPr>
          <w:noProof/>
        </w:rPr>
        <w:t>Равномерното разпределение на детските заведения в градските и селските райони, в по-заможните и бедните квартали и области може да увеличи достъпа за социалните групи в неравностойно положение. Данните показват, че наличието на детски заведения с високо качество и на достъпна цена в кварталите, в които живеят бедни семейства, етнически малцинства или семейства от мигрантски произход, оказва най-голямо въздействие върху постигането на равнопоставеност и социално приобщаване.</w:t>
      </w:r>
    </w:p>
    <w:p>
      <w:pPr>
        <w:pStyle w:val="NumPar1"/>
        <w:rPr>
          <w:b/>
          <w:noProof/>
        </w:rPr>
      </w:pPr>
      <w:r>
        <w:rPr>
          <w:b/>
          <w:noProof/>
        </w:rPr>
        <w:t>Услуги, които насърчават участието, засилват социалното приобщаване и приветстват многообразието.</w:t>
      </w:r>
    </w:p>
    <w:p>
      <w:pPr>
        <w:rPr>
          <w:noProof/>
          <w:szCs w:val="24"/>
        </w:rPr>
      </w:pPr>
      <w:r>
        <w:rPr>
          <w:noProof/>
        </w:rPr>
        <w:t xml:space="preserve">Заведенията, предоставящи образование и грижи в ранна детска възраст, могат активно да насърчават участието, като включват родителите, семействата и лицата, които се грижат за децата, в процесите на вземане на решения (например чрез родителски комитети). Целенасочените инициативи за установяване на контакт със семействата, особено с жените и със семействата в неравностойно положение или с малцинствен или мигрантски произход, дават възможност на родителите да споделят своите нужди, а на детските заведения — да ги вземат предвид при адаптиране на услугите към изискванията на местните общности. </w:t>
      </w:r>
    </w:p>
    <w:p>
      <w:pPr>
        <w:rPr>
          <w:noProof/>
          <w:szCs w:val="24"/>
        </w:rPr>
      </w:pPr>
      <w:r>
        <w:rPr>
          <w:noProof/>
        </w:rPr>
        <w:t>Би могло също да се насърчи наемането на персонал от маргинализирани групи, мигрантски общности или малцинства, тъй като е доказано, че е от полза съставът на персонала в заведенията, предоставящи образование и грижи в ранна детска възраст, да отразява многообразието на общността.</w:t>
      </w:r>
    </w:p>
    <w:p>
      <w:pPr>
        <w:rPr>
          <w:noProof/>
          <w:szCs w:val="24"/>
        </w:rPr>
      </w:pPr>
      <w:r>
        <w:rPr>
          <w:noProof/>
        </w:rPr>
        <w:t xml:space="preserve">Създаването на доброжелателна среда, в която езикът и произходът на децата се ценят, допринася за развитието на чувството им за принадлежност. Чрез подходящо постоянно професионално развитие персоналът също се подготвя за добронамерено отношение и подкрепа на двуезичните деца. </w:t>
      </w:r>
    </w:p>
    <w:p>
      <w:pPr>
        <w:rPr>
          <w:noProof/>
          <w:szCs w:val="24"/>
        </w:rPr>
      </w:pPr>
      <w:r>
        <w:rPr>
          <w:noProof/>
        </w:rPr>
        <w:lastRenderedPageBreak/>
        <w:t xml:space="preserve">Заведенията, предлагащи образование и грижи в ранна детска възраст, могат да разработят добри практики за работа със семействата, които да улеснят плавния преход от домашната среда към детското заведение и да насърчат активното участие на родителите чрез организиране на конкретни инициативи. </w:t>
      </w:r>
    </w:p>
    <w:p>
      <w:pPr>
        <w:rPr>
          <w:noProof/>
        </w:rPr>
      </w:pPr>
      <w:r>
        <w:rPr>
          <w:b/>
          <w:noProof/>
        </w:rPr>
        <w:t>ПЕРСОНАЛЪТ</w:t>
      </w:r>
      <w:r>
        <w:rPr>
          <w:noProof/>
        </w:rPr>
        <w:t xml:space="preserve"> е най-важният фактор за благосъстоянието на децата и за резултатите от тяхното обучение и развитие. Именно затова условията на труд и професионалното развитие на персонала се разглеждат като основни компоненти на качеството.</w:t>
      </w:r>
    </w:p>
    <w:p>
      <w:pPr>
        <w:pStyle w:val="ManualHeading3"/>
        <w:rPr>
          <w:noProof/>
        </w:rPr>
      </w:pPr>
      <w:r>
        <w:rPr>
          <w:noProof/>
        </w:rPr>
        <w:t>Позиции относно качеството:</w:t>
      </w:r>
    </w:p>
    <w:p>
      <w:pPr>
        <w:pStyle w:val="NumPar1"/>
        <w:rPr>
          <w:b/>
          <w:noProof/>
        </w:rPr>
      </w:pPr>
      <w:r>
        <w:rPr>
          <w:b/>
          <w:noProof/>
        </w:rPr>
        <w:t xml:space="preserve">Добре квалифициран персонал, който преминава първоначално и постоянно обучение, позволяващо му да изпълнява своята професионална роля. </w:t>
      </w:r>
    </w:p>
    <w:p>
      <w:pPr>
        <w:rPr>
          <w:noProof/>
        </w:rPr>
      </w:pPr>
      <w:r>
        <w:rPr>
          <w:noProof/>
        </w:rPr>
        <w:t>Ефективните системи за образование и грижи в ранна детска възраст предвиждат мерки за повишаване на професионалния статут на персонала, който широко се признава за ключов фактор за качество, чрез повишаване на равнището на квалификация и осигуряване на гъвкави перспективи за кариерно развитие и алтернативни възможности за помощник-възпитателите. Това може да бъде подкрепено с цел да се изгради педагогически състав от професионалисти, притежаващи пълна професионална квалификация и специализация в областта на образованието в ранна детска възраст на ниво 6 съгласно Международната стандартна класификация на образованието (ISCED), в допълнение към помощния персонал.</w:t>
      </w:r>
    </w:p>
    <w:p>
      <w:pPr>
        <w:rPr>
          <w:noProof/>
        </w:rPr>
      </w:pPr>
      <w:r>
        <w:rPr>
          <w:noProof/>
        </w:rPr>
        <w:t xml:space="preserve">Съвременните програми за първоначално образование са създадени заедно с практикуващи специалисти и осигуряват добър баланс между теорията и практиката. Предимство е също образователните програми да подготвят по-добре персонала за работа в екип и за развиване на аналитичните способности. За успеха на такива програми би могло да е от полза също персоналът да усвои умения за работа с многообразни групи в езиково и културно отношение, с деца от малцинствен или мигрантски произход или от семейства с ниски доходи. </w:t>
      </w:r>
    </w:p>
    <w:p>
      <w:pPr>
        <w:rPr>
          <w:noProof/>
        </w:rPr>
      </w:pPr>
      <w:r>
        <w:rPr>
          <w:noProof/>
        </w:rPr>
        <w:t>Персонал, който е добре подготвен да следва потребностите на развитието на малките деца и е способен да идентифицира евентуални проблеми, може по-активно да подпомага детското развитие. Системните, специално разработени и постоянни възможности за професионално развитие са от полза за всички членове на екипа, включително за помощник-възпитателите и за помощния персонал.</w:t>
      </w:r>
    </w:p>
    <w:p>
      <w:pPr>
        <w:rPr>
          <w:noProof/>
        </w:rPr>
      </w:pPr>
      <w:r>
        <w:rPr>
          <w:noProof/>
        </w:rPr>
        <w:t>Що се отнася до необходимите познания в областта на детското развитие и психология, подготовката на персонала трябва да включва аспекти, свързани със закрилата на детето и по-общо с правата на детето.</w:t>
      </w:r>
    </w:p>
    <w:p>
      <w:pPr>
        <w:pStyle w:val="NumPar1"/>
        <w:rPr>
          <w:b/>
          <w:noProof/>
          <w:szCs w:val="24"/>
        </w:rPr>
      </w:pPr>
      <w:r>
        <w:rPr>
          <w:b/>
          <w:noProof/>
        </w:rPr>
        <w:t>Благоприятни условия на труд, включително професионално ръководство, което създава възможности за наблюдение, размисъл, планиране, работа в екип и сътрудничество с родителите.</w:t>
      </w:r>
    </w:p>
    <w:p>
      <w:pPr>
        <w:rPr>
          <w:noProof/>
        </w:rPr>
      </w:pPr>
      <w:r>
        <w:rPr>
          <w:noProof/>
        </w:rPr>
        <w:t>Системите за образование и грижи в ранна детска възраст, в които се полагат целенасочени усилия за по-добри условия на труд, включително по-адекватно заплащане, могат да направят работата в областта на образованието в ранна детска възраст по-привлекателна за по-висококвалифициран персонал, който търси подходящи възможности за кариерно развитие.</w:t>
      </w:r>
    </w:p>
    <w:p>
      <w:pPr>
        <w:rPr>
          <w:noProof/>
        </w:rPr>
      </w:pPr>
      <w:r>
        <w:rPr>
          <w:noProof/>
        </w:rPr>
        <w:t xml:space="preserve">Съотношението между възрастни и деца и числеността на групите са най-уместни, когато са определени въз основа на възрастта на децата и състава на групите, тъй като по-малките деца изискват повече внимание. </w:t>
      </w:r>
    </w:p>
    <w:p>
      <w:pPr>
        <w:rPr>
          <w:noProof/>
        </w:rPr>
      </w:pPr>
      <w:r>
        <w:rPr>
          <w:noProof/>
        </w:rPr>
        <w:lastRenderedPageBreak/>
        <w:t>Професионалните общности за обмен на знания, когато такива съществуват в рамките на едно и също детско заведение или обхващат няколко заведения, безспорно имат положителен ефект, тъй като позволяват да се отдели време и да се създадат условия за обмен на практики и съвместна работа между колеги.</w:t>
      </w:r>
    </w:p>
    <w:p>
      <w:pPr>
        <w:rPr>
          <w:noProof/>
        </w:rPr>
      </w:pPr>
      <w:r>
        <w:rPr>
          <w:noProof/>
        </w:rPr>
        <w:t>Наставничеството и наблюдението на новоназначени кадри в периода на въвеждането им в работата могат да им помогнат по-бързо да поемат професионалните си задължения.</w:t>
      </w:r>
    </w:p>
    <w:p>
      <w:pPr>
        <w:rPr>
          <w:noProof/>
        </w:rPr>
      </w:pPr>
      <w:r>
        <w:rPr>
          <w:b/>
          <w:noProof/>
        </w:rPr>
        <w:t>УЧЕБНАТА ПРОГРАМА</w:t>
      </w:r>
      <w:r>
        <w:rPr>
          <w:noProof/>
        </w:rPr>
        <w:t xml:space="preserve"> е мощно средство за подобряване на благосъстоянието, развитието и образователния опит на децата. В една широка педагогическа рамка се определят принципите за насърчаване на детското развитие чрез практики в областта на образованието и грижите, които отговарят на интересите, потребностите и потенциала на децата.</w:t>
      </w:r>
    </w:p>
    <w:p>
      <w:pPr>
        <w:pStyle w:val="ManualHeading3"/>
        <w:keepNext w:val="0"/>
        <w:rPr>
          <w:noProof/>
        </w:rPr>
      </w:pPr>
      <w:r>
        <w:rPr>
          <w:noProof/>
        </w:rPr>
        <w:t>Позиции относно качеството:</w:t>
      </w:r>
    </w:p>
    <w:p>
      <w:pPr>
        <w:pStyle w:val="NumPar1"/>
        <w:keepNext/>
        <w:rPr>
          <w:noProof/>
          <w:szCs w:val="24"/>
        </w:rPr>
      </w:pPr>
      <w:r>
        <w:rPr>
          <w:b/>
          <w:noProof/>
        </w:rPr>
        <w:t>Учебна програма, основана на педагогически цели, ценности и подходи, които дават възможност на децата да разгърнат пълния си потенциал в съответствие със своето социално, емоционално, когнитивно и физическо развитие и с оглед на тяхното благополучие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Педагогическите подходи, ориентирани към децата, могат по-ефективно да подпомогнат цялостното им развитие, да подкрепят усвояването на стратегии за учене и да насърчат когнитивното и некогнитивното им развитие чрез по-систематично използване на игрови методи, учене от опит и социални взаимодействия.</w:t>
      </w:r>
    </w:p>
    <w:p>
      <w:pPr>
        <w:rPr>
          <w:noProof/>
        </w:rPr>
      </w:pPr>
      <w:r>
        <w:rPr>
          <w:noProof/>
        </w:rPr>
        <w:t>Съществуват солидни доказателства, че наличието на ясно разписана учебна програма е предимство, тъй като тя може да осигури съгласувана рамка за грижи, образование и социализация като неразделна част от образованието и грижите в ранна детска възраст. В идеалния случай една такава рамка определя учебни цели, специфични за възрастта, като същевременно позволява на възпитателите да персонализират своя подход според индивидуалните потребности на децата, и може да даде насоки за изграждането на висококачествена учебна среда. В нея се обръща необходимото внимание на използването на книги и други печатни материали, за да се подпомогне развитието на грамотността на децата.</w:t>
      </w:r>
    </w:p>
    <w:p>
      <w:pPr>
        <w:rPr>
          <w:noProof/>
        </w:rPr>
      </w:pPr>
      <w:r>
        <w:rPr>
          <w:noProof/>
        </w:rPr>
        <w:t xml:space="preserve">Една ефективна учебна програма, която насърчава многообразието, равенството и езиковите умения, допринася за интеграцията на мигрантите. Тя може да подпомогне развитието както на майчиния език, така и на езика, на който се осъществява образованието.  </w:t>
      </w:r>
    </w:p>
    <w:p>
      <w:pPr>
        <w:pStyle w:val="NumPar1"/>
        <w:rPr>
          <w:b/>
          <w:noProof/>
          <w:szCs w:val="24"/>
        </w:rPr>
      </w:pPr>
      <w:r>
        <w:rPr>
          <w:b/>
          <w:noProof/>
        </w:rPr>
        <w:t>Учебна програма, която изисква персоналът да работи съвместно с децата, колегите и родителите и да анализира собствената си практика.</w:t>
      </w:r>
    </w:p>
    <w:p>
      <w:pPr>
        <w:rPr>
          <w:noProof/>
        </w:rPr>
      </w:pPr>
      <w:r>
        <w:rPr>
          <w:noProof/>
        </w:rPr>
        <w:t>Учебната програма може да помогне за по-доброто участие на родителите, заинтересованите страни и персонала и да гарантира, че учебният процес съответства по-адекватно на потребностите, интересите и потенциала на децата.</w:t>
      </w:r>
    </w:p>
    <w:p>
      <w:pPr>
        <w:rPr>
          <w:noProof/>
        </w:rPr>
      </w:pPr>
      <w:r>
        <w:rPr>
          <w:noProof/>
        </w:rPr>
        <w:t xml:space="preserve">В учебната програма могат да бъдат определени ролите и процесите за редовното сътрудничество на персонала с родителите, както и с колеги в други институции, предлагащи услуги за деца (в областта на здравеопазването, социалните грижи и образованието). </w:t>
      </w:r>
    </w:p>
    <w:p>
      <w:pPr>
        <w:rPr>
          <w:noProof/>
          <w:szCs w:val="24"/>
        </w:rPr>
      </w:pPr>
      <w:r>
        <w:rPr>
          <w:noProof/>
        </w:rPr>
        <w:t>Когато е възможно, в учебната програма могат да бъдат включени и насоки за взаимодействието между персонала на детското заведение и училищния персонал при прехода на децата към начално училище и/или предучилищна подготовка.</w:t>
      </w:r>
    </w:p>
    <w:p>
      <w:pPr>
        <w:rPr>
          <w:noProof/>
        </w:rPr>
      </w:pPr>
      <w:r>
        <w:rPr>
          <w:b/>
          <w:noProof/>
        </w:rPr>
        <w:t>НАБЛЮДЕНИЕТО И ОЦЕНКАТА</w:t>
      </w:r>
      <w:r>
        <w:rPr>
          <w:noProof/>
        </w:rPr>
        <w:t xml:space="preserve"> са фактори за устойчиво качество. Тези процеси могат да бъдат важен елемент от подобряването на качеството в системите за образование в ранна детска възраст, тъй като дават възможност да се откроят силните и слабите страни. Те могат да бъдат от полза също за заинтересованите страни и лицата, разработващи политики, които предприемат инициативи в отговор на потребностите на децата, родителите и местните общности.</w:t>
      </w:r>
    </w:p>
    <w:p>
      <w:pPr>
        <w:pStyle w:val="ManualHeading3"/>
        <w:rPr>
          <w:noProof/>
        </w:rPr>
      </w:pPr>
      <w:r>
        <w:rPr>
          <w:noProof/>
        </w:rPr>
        <w:t>Позиции относно качеството:</w:t>
      </w:r>
    </w:p>
    <w:p>
      <w:pPr>
        <w:pStyle w:val="NumPar1"/>
        <w:rPr>
          <w:noProof/>
        </w:rPr>
      </w:pPr>
      <w:r>
        <w:rPr>
          <w:b/>
          <w:noProof/>
        </w:rPr>
        <w:t>Наблюдението и оценката позволяват да се събере информация на съответното местно, регионално и/или национално равнище, въз основа на която да се планира по-нататъшното повишаване на качеството на политиките и практиките.</w:t>
      </w:r>
    </w:p>
    <w:p>
      <w:pPr>
        <w:rPr>
          <w:noProof/>
        </w:rPr>
      </w:pPr>
      <w:r>
        <w:rPr>
          <w:noProof/>
        </w:rPr>
        <w:t>Прозрачната информация за предоставяните услуги, за персонала на детските заведения или за прилагането на учебните програми на съответното национално, регионално или местно равнище може да допринесе за повишаване на качеството.</w:t>
      </w:r>
    </w:p>
    <w:p>
      <w:pPr>
        <w:rPr>
          <w:noProof/>
        </w:rPr>
      </w:pPr>
      <w:r>
        <w:rPr>
          <w:noProof/>
        </w:rPr>
        <w:t xml:space="preserve">Редовната обратна информация може да улесни процеса на оценка на политиките, включително като създаде условия за анализ на усвояването на публични средства и на това кои мерки са ефективни и в какъв контекст. </w:t>
      </w:r>
    </w:p>
    <w:p>
      <w:pPr>
        <w:rPr>
          <w:noProof/>
        </w:rPr>
      </w:pPr>
      <w:r>
        <w:rPr>
          <w:noProof/>
        </w:rPr>
        <w:t>За да могат да определят нуждите от обучение на персонала и да вземат правилните решения за това как най-добре може да се повиши качеството на услугата, ръководителите в областта на образованието в ранна детска възраст е добре да събират съответните данни навреме.</w:t>
      </w:r>
    </w:p>
    <w:p>
      <w:pPr>
        <w:pStyle w:val="NumPar1"/>
        <w:keepNext/>
        <w:rPr>
          <w:b/>
          <w:noProof/>
          <w:szCs w:val="24"/>
        </w:rPr>
      </w:pPr>
      <w:r>
        <w:rPr>
          <w:b/>
          <w:noProof/>
        </w:rPr>
        <w:t>Наблюдение и оценка, които са във висшия интерес на детето.</w:t>
      </w:r>
    </w:p>
    <w:p>
      <w:pPr>
        <w:rPr>
          <w:noProof/>
        </w:rPr>
      </w:pPr>
      <w:r>
        <w:rPr>
          <w:noProof/>
        </w:rPr>
        <w:t>За да се защитят правата на децата, в системата за ОГРДВ трябва бъдат въведени твърди политики за закрила/опазване на децата, които да ги предпазват от всякакви форми на насилие. Политиките за закрила на детето следва да обхващат четири широки области: (1) политика, (2) човешки ресурси, (3) процедури и (4) отчетност. Повече информация за тези области можете да намерите в публикацията „Child safeguarding standards and how to implement them“ [„Стандарти за закрила на детето и как да се прилагат“], издадена от организацията за опазване на децата „Keeping Children Safe“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Процесите на наблюдение и оценка могат да стимулират активното ангажиране и сътрудничество между всички заинтересовани страни. Всеки, загрижен за развитието на качеството, може да допринесе за подобряване на практиките за наблюдение и оценка и да се възползва от тях.</w:t>
      </w:r>
    </w:p>
    <w:p>
      <w:pPr>
        <w:rPr>
          <w:noProof/>
        </w:rPr>
      </w:pPr>
      <w:r>
        <w:rPr>
          <w:noProof/>
        </w:rPr>
        <w:t xml:space="preserve">Наличните данни показват, че комбинацията от методи за наблюдение (например преглед, документиране, описателна оценка на компетенциите на децата) може да предостави полезна информация и да представи опита и развитието на децата, а също и да подпомогне плавния преход към началното училище. </w:t>
      </w:r>
    </w:p>
    <w:p>
      <w:pPr>
        <w:rPr>
          <w:noProof/>
          <w:szCs w:val="24"/>
        </w:rPr>
      </w:pPr>
      <w:r>
        <w:rPr>
          <w:noProof/>
        </w:rPr>
        <w:t>Могат да бъдат създадени инструменти за наблюдение и процедури за оценка, предполагащи участие и от страна на децата, които да позволят на всяко дете да сподели впечатленията си от учебния процес и общуването в детското заведение и мнението му да бъде чуто.</w:t>
      </w:r>
    </w:p>
    <w:p>
      <w:pPr>
        <w:rPr>
          <w:noProof/>
        </w:rPr>
      </w:pPr>
      <w:r>
        <w:rPr>
          <w:b/>
          <w:noProof/>
        </w:rPr>
        <w:t>УПРАВЛЕНИЕТО И ФИНАНСИРАНЕТО</w:t>
      </w:r>
      <w:r>
        <w:rPr>
          <w:noProof/>
        </w:rPr>
        <w:t xml:space="preserve"> са от решаващо значение, за да се създадат условия образованието и грижите в ранна детска възраст да изиграят своята роля за личностното развитие на децата, за намаляване на различията в постиженията и за насърчаване на социалното сближаване. Управлението трябва да бъде част от цялостна система от съгласувани публични политики, които свързват образованието и грижите в ранна детска възраст с други услуги, отнасящи се до благосъстоянието на малките деца и техните семейства. </w:t>
      </w:r>
    </w:p>
    <w:p>
      <w:pPr>
        <w:pStyle w:val="ManualHeading3"/>
        <w:rPr>
          <w:noProof/>
        </w:rPr>
      </w:pPr>
      <w:r>
        <w:rPr>
          <w:noProof/>
        </w:rPr>
        <w:t>Позиции относно качеството:</w:t>
      </w:r>
    </w:p>
    <w:p>
      <w:pPr>
        <w:pStyle w:val="NumPar1"/>
        <w:rPr>
          <w:b/>
          <w:noProof/>
          <w:szCs w:val="24"/>
        </w:rPr>
      </w:pPr>
      <w:r>
        <w:rPr>
          <w:b/>
          <w:noProof/>
        </w:rPr>
        <w:t>Заинтересованите страни имат ясно и единно разбиране за своята роля и отговорности и знаят, че от тях се очаква да си сътрудничат с партньорски организации.</w:t>
      </w:r>
    </w:p>
    <w:p>
      <w:pPr>
        <w:rPr>
          <w:noProof/>
          <w:szCs w:val="24"/>
        </w:rPr>
      </w:pPr>
      <w:r>
        <w:rPr>
          <w:noProof/>
        </w:rPr>
        <w:t>Заведенията, предоставящи образование и грижи в ранна детска възраст, в идеалния случай трябва да си сътрудничат тясно с всички служби, работещи с деца, включително социални и здравни служби, училища и местни заинтересовани страни. Подобни междуинституционални връзки са доказано по-ефективни, ако се уреждат от съгласувана рамка относно политиката, която да насърчава активно сътрудничеството и дългосрочните инвестиции в местните общности.</w:t>
      </w:r>
    </w:p>
    <w:p>
      <w:pPr>
        <w:rPr>
          <w:noProof/>
          <w:szCs w:val="24"/>
        </w:rPr>
      </w:pPr>
      <w:r>
        <w:rPr>
          <w:noProof/>
        </w:rPr>
        <w:t>Участието на заинтересованите страни играе решаваща роля за разработването и предлагането на услуги за образование и грижи в ранна детска възраст.</w:t>
      </w:r>
    </w:p>
    <w:p>
      <w:pPr>
        <w:rPr>
          <w:noProof/>
          <w:szCs w:val="24"/>
        </w:rPr>
      </w:pPr>
      <w:r>
        <w:rPr>
          <w:noProof/>
        </w:rPr>
        <w:t>Отговорността за всички разпоредби относно образованието и грижите в ранна детска възраст и за тяхното финансиране в идеалния случай трябва да се носи от една и съща институция.</w:t>
      </w:r>
    </w:p>
    <w:p>
      <w:pPr>
        <w:pStyle w:val="NumPar1"/>
        <w:rPr>
          <w:b/>
          <w:noProof/>
          <w:szCs w:val="24"/>
        </w:rPr>
      </w:pPr>
      <w:r>
        <w:rPr>
          <w:b/>
          <w:noProof/>
        </w:rPr>
        <w:t>Законодателството, разппредбите и/или финансирането подпомагат напредъка към универсален достъп до образование и грижи в ранна детска възраст, субсидирани или финансирани с публични средства, и напредъкът към постигането на тази цел се докладва редовно на всички заинтересовани страни.</w:t>
      </w:r>
    </w:p>
    <w:p>
      <w:pPr>
        <w:rPr>
          <w:noProof/>
          <w:szCs w:val="24"/>
        </w:rPr>
      </w:pPr>
      <w:r>
        <w:rPr>
          <w:noProof/>
        </w:rPr>
        <w:t>Качеството на предоставяните услуги може да бъде подобрено по-ефективно за всички деца чрез постепенното установяване на универсално право, установено със закон. Може да е от полза да се направи оценка дали пазарно ориентираните услуги за образование и грижи в ранна детска възраст създават неравнопоставен достъп или водят до по-ниско качество за децата в неравностойно положение и, ако е необходимо, да се планират коригиращи действия.</w:t>
      </w:r>
    </w:p>
    <w:p>
      <w:pPr>
        <w:rPr>
          <w:noProof/>
          <w:szCs w:val="24"/>
        </w:rPr>
      </w:pPr>
      <w:r>
        <w:rPr>
          <w:noProof/>
        </w:rPr>
        <w:t>Тясната връзка с трудовите, здравните и социалните политики несъмнено би била предимство, тъй като може да допринесе за по-ефективното преразпределение на ресурсите чрез насочване на допълнителни средства към групи и квартали в неравностойно положение.</w:t>
      </w:r>
    </w:p>
    <w:p>
      <w:pPr>
        <w:rPr>
          <w:noProof/>
          <w:szCs w:val="24"/>
        </w:rPr>
      </w:pPr>
      <w:r>
        <w:rPr>
          <w:noProof/>
          <w:szCs w:val="24"/>
          <w:lang w:val="en-US" w:eastAsia="en-US" w:bidi="ar-SA"/>
        </w:rPr>
        <w:drawing>
          <wp:inline distT="0" distB="0" distL="0" distR="0">
            <wp:extent cx="5761355" cy="3726815"/>
            <wp:effectExtent l="0" t="76200" r="0" b="21653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tabs>
          <w:tab w:val="left" w:pos="6524"/>
        </w:tabs>
        <w:rPr>
          <w:noProof/>
          <w:szCs w:val="24"/>
        </w:rPr>
      </w:pPr>
      <w:r>
        <w:rPr>
          <w:noProof/>
        </w:rPr>
        <w:tab/>
      </w:r>
    </w:p>
    <w:sectPr>
      <w:footerReference w:type="default" r:id="rId21"/>
      <w:footerReference w:type="first" r:id="rId22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https://ec.europa.eu/commission/priorities/deeper-and-fairer-economic-and-monetary-union/european-pillar-social-rights/european-pillar-social-rights-20-principles_bg</w:t>
        </w:r>
      </w:hyperlink>
      <w:r>
        <w:t xml:space="preserve">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</w:rPr>
          <w:t>http://ec.europa.eu/justice/fundamental-rights/files/rights_child/standards_child_protection_kcsc_en.pdf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08259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D0AE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9DC4A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AE229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3406A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754EB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AEADE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324A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6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 Maria (EAC)">
    <w15:presenceInfo w15:providerId="None" w15:userId="DAVI Maria (E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5 19:21:1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7EAD873-8071-43CA-A2F2-FF9DE4949B5F"/>
    <w:docVar w:name="LW_COVERPAGE_TYPE" w:val="1"/>
    <w:docVar w:name="LW_CROSSREFERENCE" w:val="{SWD(2018) 173 final}"/>
    <w:docVar w:name="LW_DocType" w:val="ANNEX"/>
    <w:docVar w:name="LW_EMISSION" w:val="22.5.2018"/>
    <w:docVar w:name="LW_EMISSION_ISODATE" w:val="2018-05-2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74?\u1080?\u1089?\u1086?\u1082?\u1086?\u1082?\u1072?\u1095?\u1077?\u1089?\u1090?\u1074?\u1077?\u1085?\u1080? \u1089?\u1080?\u1089?\u1090?\u1077?\u1084?\u1080? \u1079?\u1072? \u1086?\u1073?\u1088?\u1072?\u1079?\u1086?\u1074?\u1072?\u1085?\u1080?\u1077? \u1080? \u1075?\u1088?\u1080?\u1078?\u1080? \u1074? \u1088?\u1072?\u1085?\u1085?\u1072? \u1076?\u1077?\u1090?\u1089?\u1082?\u1072? \u1074?\u1098?\u1079?\u1088?\u1072?\u1089?\u1090?"/>
    <w:docVar w:name="LW_OBJETACTEPRINCIPAL.CP" w:val="\u1079?\u1072? \u1074?\u1080?\u1089?\u1086?\u1082?\u1086?\u1082?\u1072?\u1095?\u1077?\u1089?\u1090?\u1074?\u1077?\u1085?\u1080? \u1089?\u1080?\u1089?\u1090?\u1077?\u1084?\u1080? \u1079?\u1072? \u1086?\u1073?\u1088?\u1072?\u1079?\u1086?\u1074?\u1072?\u1085?\u1080?\u1077? \u1080? \u1075?\u1088?\u1080?\u1078?\u1080? \u1074? \u1088?\u1072?\u1085?\u1085?\u1072? \u1076?\u1077?\u1090?\u1089?\u1082?\u1072? \u1074?\u1098?\u1079?\u1088?\u1072?\u1089?\u1090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85?\u1072? \u1057?\u1098?\u1074?\u1077?\u1090?\u1072?"/>
    <w:docVar w:name="LW_TYPEACTEPRINCIPAL.CP" w:val="\u1055?\u1088?\u1077?\u1087?\u1086?\u1088?\u1098?\u1082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fzählung"/>
    <w:basedOn w:val="Normal"/>
    <w:uiPriority w:val="1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aliases w:val="Char1"/>
    <w:unhideWhenUsed/>
    <w:rPr>
      <w:u w:val="single"/>
    </w:rPr>
  </w:style>
  <w:style w:type="paragraph" w:styleId="BodyText">
    <w:name w:val="Body Text"/>
    <w:link w:val="BodyTextChar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fzählung"/>
    <w:basedOn w:val="Normal"/>
    <w:uiPriority w:val="1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aliases w:val="Char1"/>
    <w:unhideWhenUsed/>
    <w:rPr>
      <w:u w:val="single"/>
    </w:rPr>
  </w:style>
  <w:style w:type="paragraph" w:styleId="BodyText">
    <w:name w:val="Body Text"/>
    <w:link w:val="BodyTextChar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diagramQuickStyle" Target="diagrams/quickStyle1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justice/fundamental-rights/files/rights_child/standards_child_protection_kcsc_en.pdf" TargetMode="External"/><Relationship Id="rId1" Type="http://schemas.openxmlformats.org/officeDocument/2006/relationships/hyperlink" Target="https://ec.europa.eu/commission/priorities/deeper-and-fairer-economic-and-monetary-union/european-pillar-social-rights/european-pillar-social-rights-20-principles_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2B0F10-E370-4CD9-BFF9-19DFE5EEC78F}" type="doc">
      <dgm:prSet loTypeId="urn:microsoft.com/office/officeart/2005/8/layout/radial3" loCatId="relationship" qsTypeId="urn:microsoft.com/office/officeart/2005/8/quickstyle/simple5" qsCatId="simple" csTypeId="urn:microsoft.com/office/officeart/2005/8/colors/colorful1#1" csCatId="colorful" phldr="1"/>
      <dgm:spPr/>
      <dgm:t>
        <a:bodyPr/>
        <a:lstStyle/>
        <a:p>
          <a:endParaRPr lang="el-GR"/>
        </a:p>
      </dgm:t>
    </dgm:pt>
    <dgm:pt modelId="{2E66D810-9CD7-4240-8043-52FBB7D8D271}">
      <dgm:prSet phldrT="[Text]" custT="1"/>
      <dgm:spPr>
        <a:xfrm>
          <a:off x="1856088" y="928904"/>
          <a:ext cx="2209391" cy="2209391"/>
        </a:xfrm>
        <a:gradFill rotWithShape="0">
          <a:gsLst>
            <a:gs pos="0">
              <a:srgbClr val="C0504D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bg-BG" sz="20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Рамка на ЕС за качество за ОГРДВ</a:t>
          </a:r>
          <a:r>
            <a:rPr lang="en-US" sz="25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el-GR" sz="25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1715FC9-C9C3-4B28-B9D7-0BE19A35AA27}" type="parTrans" cxnId="{12542133-E363-4CB2-95F1-4D048CBA6DB5}">
      <dgm:prSet/>
      <dgm:spPr/>
      <dgm:t>
        <a:bodyPr/>
        <a:lstStyle/>
        <a:p>
          <a:endParaRPr lang="el-GR"/>
        </a:p>
      </dgm:t>
    </dgm:pt>
    <dgm:pt modelId="{18D5CCD7-B018-4D1B-8C3E-224818067304}" type="sibTrans" cxnId="{12542133-E363-4CB2-95F1-4D048CBA6DB5}">
      <dgm:prSet/>
      <dgm:spPr/>
      <dgm:t>
        <a:bodyPr/>
        <a:lstStyle/>
        <a:p>
          <a:endParaRPr lang="el-GR"/>
        </a:p>
      </dgm:t>
    </dgm:pt>
    <dgm:pt modelId="{0FC6496B-77C2-4FF6-9D73-E78BBE964FAF}">
      <dgm:prSet phldrT="[Text]" custT="1"/>
      <dgm:spPr>
        <a:xfrm>
          <a:off x="2227088" y="-23374"/>
          <a:ext cx="1427918" cy="1403902"/>
        </a:xfrm>
        <a:gradFill rotWithShape="0">
          <a:gsLst>
            <a:gs pos="0">
              <a:srgbClr val="9BBB59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spcAft>
              <a:spcPts val="100"/>
            </a:spcAft>
          </a:pPr>
          <a:r>
            <a:rPr lang="bg-BG" sz="12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Достъп</a:t>
          </a:r>
          <a:r>
            <a:rPr lang="en-US" sz="14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bg-BG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налични,</a:t>
          </a:r>
          <a:r>
            <a:rPr lang="en-US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финансово достъпни за всички; насърчават участието и засилват приобщаването</a:t>
          </a:r>
          <a:r>
            <a:rPr lang="en-US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приветстват </a:t>
          </a:r>
          <a:r>
            <a:rPr lang="bg-BG" sz="900" spc="-30" baseline="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многообразието</a:t>
          </a:r>
          <a:endParaRPr lang="el-GR" sz="900" spc="-30" baseline="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849A4EE-4EB0-49B9-8A34-39A52DE5601D}" type="parTrans" cxnId="{F1FF722C-91BC-4085-980A-BFAC8D7A04B6}">
      <dgm:prSet/>
      <dgm:spPr/>
      <dgm:t>
        <a:bodyPr/>
        <a:lstStyle/>
        <a:p>
          <a:endParaRPr lang="el-GR"/>
        </a:p>
      </dgm:t>
    </dgm:pt>
    <dgm:pt modelId="{3C05CF60-F8B9-4257-B143-2159570AFB55}" type="sibTrans" cxnId="{F1FF722C-91BC-4085-980A-BFAC8D7A04B6}">
      <dgm:prSet/>
      <dgm:spPr/>
      <dgm:t>
        <a:bodyPr/>
        <a:lstStyle/>
        <a:p>
          <a:endParaRPr lang="el-GR"/>
        </a:p>
      </dgm:t>
    </dgm:pt>
    <dgm:pt modelId="{573A099E-4C15-4A60-82A4-2C7AE539C21F}">
      <dgm:prSet phldrT="[Text]" custT="1"/>
      <dgm:spPr>
        <a:xfrm>
          <a:off x="3669317" y="927491"/>
          <a:ext cx="1493891" cy="1368806"/>
        </a:xfrm>
        <a:gradFill rotWithShape="0">
          <a:gsLst>
            <a:gs pos="0">
              <a:srgbClr val="8064A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bg-BG" sz="12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Работна сила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професионална и добре квалифицирана</a:t>
          </a:r>
          <a:r>
            <a:rPr lang="en-US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ръководство</a:t>
          </a:r>
          <a:r>
            <a:rPr lang="en-US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благоприятни условия на труд</a:t>
          </a:r>
          <a:endParaRPr lang="el-GR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C50A137-15D3-490F-9954-8EFCE9AE3987}" type="parTrans" cxnId="{67212A07-1950-4A1A-A0A0-16320AB16214}">
      <dgm:prSet/>
      <dgm:spPr/>
      <dgm:t>
        <a:bodyPr/>
        <a:lstStyle/>
        <a:p>
          <a:endParaRPr lang="el-GR"/>
        </a:p>
      </dgm:t>
    </dgm:pt>
    <dgm:pt modelId="{8E93CC1D-FF4C-4703-B231-3E083B303DA1}" type="sibTrans" cxnId="{67212A07-1950-4A1A-A0A0-16320AB16214}">
      <dgm:prSet/>
      <dgm:spPr/>
      <dgm:t>
        <a:bodyPr/>
        <a:lstStyle/>
        <a:p>
          <a:endParaRPr lang="el-GR"/>
        </a:p>
      </dgm:t>
    </dgm:pt>
    <dgm:pt modelId="{F62690BD-1A48-447F-A8EA-5C1B3DE17ABF}">
      <dgm:prSet phldrT="[Text]" custT="1"/>
      <dgm:spPr>
        <a:xfrm>
          <a:off x="3152661" y="2446031"/>
          <a:ext cx="1472117" cy="1500729"/>
        </a:xfrm>
        <a:gradFill rotWithShape="0">
          <a:gsLst>
            <a:gs pos="0">
              <a:srgbClr val="4BACC6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bg-BG" sz="12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Оценка и наблюдение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редовни и прозрачни</a:t>
          </a:r>
          <a:r>
            <a:rPr lang="en-GB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във висшия интерес на детето</a:t>
          </a:r>
          <a:r>
            <a:rPr lang="en-GB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ефективно използване за създаването на политики</a:t>
          </a:r>
          <a:endParaRPr lang="el-GR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DF6A117-C7AC-4C91-9189-3A2EA1336766}" type="parTrans" cxnId="{297B1B42-6111-4713-99C0-B72BFF950785}">
      <dgm:prSet/>
      <dgm:spPr/>
      <dgm:t>
        <a:bodyPr/>
        <a:lstStyle/>
        <a:p>
          <a:endParaRPr lang="el-GR"/>
        </a:p>
      </dgm:t>
    </dgm:pt>
    <dgm:pt modelId="{FE53D14B-56A8-4011-975F-576001B83505}" type="sibTrans" cxnId="{297B1B42-6111-4713-99C0-B72BFF950785}">
      <dgm:prSet/>
      <dgm:spPr/>
      <dgm:t>
        <a:bodyPr/>
        <a:lstStyle/>
        <a:p>
          <a:endParaRPr lang="el-GR"/>
        </a:p>
      </dgm:t>
    </dgm:pt>
    <dgm:pt modelId="{8DAE7625-FB08-466B-9A42-D8A492E7A602}">
      <dgm:prSet phldrT="[Text]" custT="1"/>
      <dgm:spPr>
        <a:xfrm>
          <a:off x="1080449" y="2452283"/>
          <a:ext cx="1527904" cy="1488223"/>
        </a:xfrm>
        <a:gradFill rotWithShape="0">
          <a:gsLst>
            <a:gs pos="0">
              <a:srgbClr val="F79646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spcAft>
              <a:spcPts val="0"/>
            </a:spcAft>
          </a:pPr>
          <a:r>
            <a:rPr lang="bg-BG" sz="1200" b="1" spc="-30" baseline="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Управление и</a:t>
          </a:r>
          <a:r>
            <a:rPr lang="bg-BG" sz="12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финансиране</a:t>
          </a:r>
          <a:r>
            <a:rPr lang="en-US" sz="14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координирано законодателство и отговорности</a:t>
          </a:r>
          <a:r>
            <a:rPr lang="en-US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сътрудничество</a:t>
          </a:r>
          <a:r>
            <a:rPr lang="en-US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напредък към универсално право, установено със закон</a:t>
          </a:r>
          <a:endParaRPr lang="el-GR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09BC339-C506-4BA6-A66A-A2F29607F45B}" type="parTrans" cxnId="{7E15C551-2BC4-4BBC-80D0-559CCC8A35E3}">
      <dgm:prSet/>
      <dgm:spPr/>
      <dgm:t>
        <a:bodyPr/>
        <a:lstStyle/>
        <a:p>
          <a:endParaRPr lang="el-GR"/>
        </a:p>
      </dgm:t>
    </dgm:pt>
    <dgm:pt modelId="{1C80CC98-1A07-47CC-A3F0-9D543B0AD13F}" type="sibTrans" cxnId="{7E15C551-2BC4-4BBC-80D0-559CCC8A35E3}">
      <dgm:prSet/>
      <dgm:spPr/>
      <dgm:t>
        <a:bodyPr/>
        <a:lstStyle/>
        <a:p>
          <a:endParaRPr lang="el-GR"/>
        </a:p>
      </dgm:t>
    </dgm:pt>
    <dgm:pt modelId="{62AFF115-FE00-4361-9537-D0F0DE0A6503}">
      <dgm:prSet custT="1"/>
      <dgm:spPr>
        <a:xfrm>
          <a:off x="743384" y="902396"/>
          <a:ext cx="1462528" cy="1374119"/>
        </a:xfrm>
        <a:gradFill rotWithShape="0">
          <a:gsLst>
            <a:gs pos="0">
              <a:srgbClr val="C0504D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bg-BG" sz="12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Учебна програма</a:t>
          </a:r>
          <a:r>
            <a:rPr lang="bg-BG" sz="14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холистична</a:t>
          </a:r>
          <a:r>
            <a:rPr lang="en-GB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гъвкава</a:t>
          </a:r>
          <a:r>
            <a:rPr lang="en-GB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изискваща сътрудничество</a:t>
          </a:r>
          <a:r>
            <a:rPr lang="en-GB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редовно подобрявана/пре-разглеждана</a:t>
          </a:r>
          <a:endParaRPr lang="el-GR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9F5C9DB-BD4F-49D4-867F-D20A5444C744}" type="parTrans" cxnId="{45CCFCF8-460B-4675-8B42-AFBF29E83F08}">
      <dgm:prSet/>
      <dgm:spPr/>
      <dgm:t>
        <a:bodyPr/>
        <a:lstStyle/>
        <a:p>
          <a:endParaRPr lang="el-GR"/>
        </a:p>
      </dgm:t>
    </dgm:pt>
    <dgm:pt modelId="{3477746A-7964-4253-8FC8-B1D9106F272B}" type="sibTrans" cxnId="{45CCFCF8-460B-4675-8B42-AFBF29E83F08}">
      <dgm:prSet/>
      <dgm:spPr/>
      <dgm:t>
        <a:bodyPr/>
        <a:lstStyle/>
        <a:p>
          <a:endParaRPr lang="el-GR"/>
        </a:p>
      </dgm:t>
    </dgm:pt>
    <dgm:pt modelId="{F1DB5886-1C1C-4F1E-9A47-7D4BB9D13CD7}" type="pres">
      <dgm:prSet presAssocID="{3A2B0F10-E370-4CD9-BFF9-19DFE5EEC78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345061B2-A0A9-472E-B71C-83506F9D5616}" type="pres">
      <dgm:prSet presAssocID="{3A2B0F10-E370-4CD9-BFF9-19DFE5EEC78F}" presName="radial" presStyleCnt="0">
        <dgm:presLayoutVars>
          <dgm:animLvl val="ctr"/>
        </dgm:presLayoutVars>
      </dgm:prSet>
      <dgm:spPr/>
    </dgm:pt>
    <dgm:pt modelId="{06B9A756-DA7A-4FA7-AE28-8221E3643DAA}" type="pres">
      <dgm:prSet presAssocID="{2E66D810-9CD7-4240-8043-52FBB7D8D271}" presName="centerShape" presStyleLbl="vennNode1" presStyleIdx="0" presStyleCnt="6"/>
      <dgm:spPr>
        <a:prstGeom prst="ellipse">
          <a:avLst/>
        </a:prstGeom>
      </dgm:spPr>
      <dgm:t>
        <a:bodyPr/>
        <a:lstStyle/>
        <a:p>
          <a:endParaRPr lang="el-GR"/>
        </a:p>
      </dgm:t>
    </dgm:pt>
    <dgm:pt modelId="{84AB1ECA-27FB-47A7-95CC-F291CBFC2B44}" type="pres">
      <dgm:prSet presAssocID="{0FC6496B-77C2-4FF6-9D73-E78BBE964FAF}" presName="node" presStyleLbl="vennNode1" presStyleIdx="1" presStyleCnt="6" custScaleX="129259" custScaleY="127085" custRadScaleRad="94286" custRadScaleInc="-115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l-GR"/>
        </a:p>
      </dgm:t>
    </dgm:pt>
    <dgm:pt modelId="{121B2345-F3A0-4703-BFEE-F482F6C3A5BB}" type="pres">
      <dgm:prSet presAssocID="{573A099E-4C15-4A60-82A4-2C7AE539C21F}" presName="node" presStyleLbl="vennNode1" presStyleIdx="2" presStyleCnt="6" custScaleX="135231" custScaleY="123908" custRadScaleRad="105430" custRadScaleInc="255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l-GR"/>
        </a:p>
      </dgm:t>
    </dgm:pt>
    <dgm:pt modelId="{339C3EE6-F49D-40A9-87B4-87C4BA83370B}" type="pres">
      <dgm:prSet presAssocID="{F62690BD-1A48-447F-A8EA-5C1B3DE17ABF}" presName="node" presStyleLbl="vennNode1" presStyleIdx="3" presStyleCnt="6" custScaleX="133260" custScaleY="135850" custRadScaleRad="103505" custRadScaleInc="-35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l-GR"/>
        </a:p>
      </dgm:t>
    </dgm:pt>
    <dgm:pt modelId="{0F29F86C-B7B2-4C33-86FC-41BE56C2F6BA}" type="pres">
      <dgm:prSet presAssocID="{8DAE7625-FB08-466B-9A42-D8A492E7A602}" presName="node" presStyleLbl="vennNode1" presStyleIdx="4" presStyleCnt="6" custScaleX="138310" custScaleY="137222" custRadScaleRad="112646" custRadScaleInc="1054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l-GR"/>
        </a:p>
      </dgm:t>
    </dgm:pt>
    <dgm:pt modelId="{21D143EC-57F3-4F10-8E74-76BB8F9837C7}" type="pres">
      <dgm:prSet presAssocID="{62AFF115-FE00-4361-9537-D0F0DE0A6503}" presName="node" presStyleLbl="vennNode1" presStyleIdx="5" presStyleCnt="6" custScaleX="132392" custScaleY="124389" custRadScaleRad="107917" custRadScaleInc="-189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l-GR"/>
        </a:p>
      </dgm:t>
    </dgm:pt>
  </dgm:ptLst>
  <dgm:cxnLst>
    <dgm:cxn modelId="{297B1B42-6111-4713-99C0-B72BFF950785}" srcId="{2E66D810-9CD7-4240-8043-52FBB7D8D271}" destId="{F62690BD-1A48-447F-A8EA-5C1B3DE17ABF}" srcOrd="2" destOrd="0" parTransId="{9DF6A117-C7AC-4C91-9189-3A2EA1336766}" sibTransId="{FE53D14B-56A8-4011-975F-576001B83505}"/>
    <dgm:cxn modelId="{67212A07-1950-4A1A-A0A0-16320AB16214}" srcId="{2E66D810-9CD7-4240-8043-52FBB7D8D271}" destId="{573A099E-4C15-4A60-82A4-2C7AE539C21F}" srcOrd="1" destOrd="0" parTransId="{5C50A137-15D3-490F-9954-8EFCE9AE3987}" sibTransId="{8E93CC1D-FF4C-4703-B231-3E083B303DA1}"/>
    <dgm:cxn modelId="{12542133-E363-4CB2-95F1-4D048CBA6DB5}" srcId="{3A2B0F10-E370-4CD9-BFF9-19DFE5EEC78F}" destId="{2E66D810-9CD7-4240-8043-52FBB7D8D271}" srcOrd="0" destOrd="0" parTransId="{D1715FC9-C9C3-4B28-B9D7-0BE19A35AA27}" sibTransId="{18D5CCD7-B018-4D1B-8C3E-224818067304}"/>
    <dgm:cxn modelId="{83CB4957-10A2-439C-8079-63DEDB2805BB}" type="presOf" srcId="{62AFF115-FE00-4361-9537-D0F0DE0A6503}" destId="{21D143EC-57F3-4F10-8E74-76BB8F9837C7}" srcOrd="0" destOrd="0" presId="urn:microsoft.com/office/officeart/2005/8/layout/radial3"/>
    <dgm:cxn modelId="{D8D662AC-7232-4620-AFFC-5417FB858E08}" type="presOf" srcId="{2E66D810-9CD7-4240-8043-52FBB7D8D271}" destId="{06B9A756-DA7A-4FA7-AE28-8221E3643DAA}" srcOrd="0" destOrd="0" presId="urn:microsoft.com/office/officeart/2005/8/layout/radial3"/>
    <dgm:cxn modelId="{45CCFCF8-460B-4675-8B42-AFBF29E83F08}" srcId="{2E66D810-9CD7-4240-8043-52FBB7D8D271}" destId="{62AFF115-FE00-4361-9537-D0F0DE0A6503}" srcOrd="4" destOrd="0" parTransId="{59F5C9DB-BD4F-49D4-867F-D20A5444C744}" sibTransId="{3477746A-7964-4253-8FC8-B1D9106F272B}"/>
    <dgm:cxn modelId="{7E15C551-2BC4-4BBC-80D0-559CCC8A35E3}" srcId="{2E66D810-9CD7-4240-8043-52FBB7D8D271}" destId="{8DAE7625-FB08-466B-9A42-D8A492E7A602}" srcOrd="3" destOrd="0" parTransId="{409BC339-C506-4BA6-A66A-A2F29607F45B}" sibTransId="{1C80CC98-1A07-47CC-A3F0-9D543B0AD13F}"/>
    <dgm:cxn modelId="{9A3A74B1-0A01-4418-8D8E-5CE205CADFC6}" type="presOf" srcId="{F62690BD-1A48-447F-A8EA-5C1B3DE17ABF}" destId="{339C3EE6-F49D-40A9-87B4-87C4BA83370B}" srcOrd="0" destOrd="0" presId="urn:microsoft.com/office/officeart/2005/8/layout/radial3"/>
    <dgm:cxn modelId="{A38BA415-A41F-49BB-A764-4EA1C03E2CE7}" type="presOf" srcId="{0FC6496B-77C2-4FF6-9D73-E78BBE964FAF}" destId="{84AB1ECA-27FB-47A7-95CC-F291CBFC2B44}" srcOrd="0" destOrd="0" presId="urn:microsoft.com/office/officeart/2005/8/layout/radial3"/>
    <dgm:cxn modelId="{F1FF722C-91BC-4085-980A-BFAC8D7A04B6}" srcId="{2E66D810-9CD7-4240-8043-52FBB7D8D271}" destId="{0FC6496B-77C2-4FF6-9D73-E78BBE964FAF}" srcOrd="0" destOrd="0" parTransId="{4849A4EE-4EB0-49B9-8A34-39A52DE5601D}" sibTransId="{3C05CF60-F8B9-4257-B143-2159570AFB55}"/>
    <dgm:cxn modelId="{E4AB9CBD-A569-4042-8BC6-CB1E17DA83DA}" type="presOf" srcId="{573A099E-4C15-4A60-82A4-2C7AE539C21F}" destId="{121B2345-F3A0-4703-BFEE-F482F6C3A5BB}" srcOrd="0" destOrd="0" presId="urn:microsoft.com/office/officeart/2005/8/layout/radial3"/>
    <dgm:cxn modelId="{9B21B98D-7CBB-42C4-B28C-8A0514DCDA2F}" type="presOf" srcId="{3A2B0F10-E370-4CD9-BFF9-19DFE5EEC78F}" destId="{F1DB5886-1C1C-4F1E-9A47-7D4BB9D13CD7}" srcOrd="0" destOrd="0" presId="urn:microsoft.com/office/officeart/2005/8/layout/radial3"/>
    <dgm:cxn modelId="{C6664E53-3B48-4B45-B6BD-FBB319EBE0F8}" type="presOf" srcId="{8DAE7625-FB08-466B-9A42-D8A492E7A602}" destId="{0F29F86C-B7B2-4C33-86FC-41BE56C2F6BA}" srcOrd="0" destOrd="0" presId="urn:microsoft.com/office/officeart/2005/8/layout/radial3"/>
    <dgm:cxn modelId="{AD76283B-5A93-420D-AFC8-F6B69280DC39}" type="presParOf" srcId="{F1DB5886-1C1C-4F1E-9A47-7D4BB9D13CD7}" destId="{345061B2-A0A9-472E-B71C-83506F9D5616}" srcOrd="0" destOrd="0" presId="urn:microsoft.com/office/officeart/2005/8/layout/radial3"/>
    <dgm:cxn modelId="{A5AB1064-315B-4B50-AC91-EDF78CA3C59B}" type="presParOf" srcId="{345061B2-A0A9-472E-B71C-83506F9D5616}" destId="{06B9A756-DA7A-4FA7-AE28-8221E3643DAA}" srcOrd="0" destOrd="0" presId="urn:microsoft.com/office/officeart/2005/8/layout/radial3"/>
    <dgm:cxn modelId="{1355DCC0-DC7D-401F-8BBE-4BA54241880E}" type="presParOf" srcId="{345061B2-A0A9-472E-B71C-83506F9D5616}" destId="{84AB1ECA-27FB-47A7-95CC-F291CBFC2B44}" srcOrd="1" destOrd="0" presId="urn:microsoft.com/office/officeart/2005/8/layout/radial3"/>
    <dgm:cxn modelId="{1CEFDC5F-4271-49E0-9B64-4FB41A971B1A}" type="presParOf" srcId="{345061B2-A0A9-472E-B71C-83506F9D5616}" destId="{121B2345-F3A0-4703-BFEE-F482F6C3A5BB}" srcOrd="2" destOrd="0" presId="urn:microsoft.com/office/officeart/2005/8/layout/radial3"/>
    <dgm:cxn modelId="{5D58C052-2CBB-4ABD-A5ED-C7E6762BE86E}" type="presParOf" srcId="{345061B2-A0A9-472E-B71C-83506F9D5616}" destId="{339C3EE6-F49D-40A9-87B4-87C4BA83370B}" srcOrd="3" destOrd="0" presId="urn:microsoft.com/office/officeart/2005/8/layout/radial3"/>
    <dgm:cxn modelId="{4540B62F-E106-49B2-8177-BACEE905D189}" type="presParOf" srcId="{345061B2-A0A9-472E-B71C-83506F9D5616}" destId="{0F29F86C-B7B2-4C33-86FC-41BE56C2F6BA}" srcOrd="4" destOrd="0" presId="urn:microsoft.com/office/officeart/2005/8/layout/radial3"/>
    <dgm:cxn modelId="{F463BA00-0C70-43FB-92BD-604AE21937F4}" type="presParOf" srcId="{345061B2-A0A9-472E-B71C-83506F9D5616}" destId="{21D143EC-57F3-4F10-8E74-76BB8F9837C7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B9A756-DA7A-4FA7-AE28-8221E3643DAA}">
      <dsp:nvSpPr>
        <dsp:cNvPr id="0" name=""/>
        <dsp:cNvSpPr/>
      </dsp:nvSpPr>
      <dsp:spPr>
        <a:xfrm>
          <a:off x="1801246" y="897586"/>
          <a:ext cx="2143646" cy="2143646"/>
        </a:xfrm>
        <a:prstGeom prst="ellipse">
          <a:avLst/>
        </a:prstGeom>
        <a:gradFill rotWithShape="0">
          <a:gsLst>
            <a:gs pos="0">
              <a:srgbClr val="C0504D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20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Рамка на ЕС за качество за ОГРДВ</a:t>
          </a:r>
          <a:r>
            <a:rPr lang="en-US" sz="25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el-GR" sz="25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115176" y="1211516"/>
        <a:ext cx="1515786" cy="1515786"/>
      </dsp:txXfrm>
    </dsp:sp>
    <dsp:sp modelId="{84AB1ECA-27FB-47A7-95CC-F291CBFC2B44}">
      <dsp:nvSpPr>
        <dsp:cNvPr id="0" name=""/>
        <dsp:cNvSpPr/>
      </dsp:nvSpPr>
      <dsp:spPr>
        <a:xfrm>
          <a:off x="2161206" y="-26355"/>
          <a:ext cx="1385428" cy="1362126"/>
        </a:xfrm>
        <a:prstGeom prst="ellipse">
          <a:avLst/>
        </a:prstGeom>
        <a:gradFill rotWithShape="0">
          <a:gsLst>
            <a:gs pos="0">
              <a:srgbClr val="9BBB59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100"/>
            </a:spcAft>
          </a:pPr>
          <a:r>
            <a:rPr lang="bg-BG" sz="12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Достъп</a:t>
          </a:r>
          <a:r>
            <a:rPr lang="en-US" sz="14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bg-BG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налични,</a:t>
          </a:r>
          <a:r>
            <a:rPr lang="en-US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финансово достъпни за всички; насърчават участието и засилват приобщаването</a:t>
          </a:r>
          <a:r>
            <a:rPr lang="en-US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приветстват </a:t>
          </a:r>
          <a:r>
            <a:rPr lang="bg-BG" sz="900" kern="1200" spc="-30" baseline="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многообразието</a:t>
          </a:r>
          <a:endParaRPr lang="el-GR" sz="900" kern="1200" spc="-30" baseline="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64097" y="173124"/>
        <a:ext cx="979646" cy="963168"/>
      </dsp:txXfrm>
    </dsp:sp>
    <dsp:sp modelId="{121B2345-F3A0-4703-BFEE-F482F6C3A5BB}">
      <dsp:nvSpPr>
        <dsp:cNvPr id="0" name=""/>
        <dsp:cNvSpPr/>
      </dsp:nvSpPr>
      <dsp:spPr>
        <a:xfrm>
          <a:off x="3560519" y="896215"/>
          <a:ext cx="1449437" cy="1328074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2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Работна сила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професионална и добре квалифицирана</a:t>
          </a:r>
          <a:r>
            <a:rPr lang="en-US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ръководство</a:t>
          </a:r>
          <a:r>
            <a:rPr lang="en-US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благоприятни условия на труд</a:t>
          </a:r>
          <a:endParaRPr lang="el-GR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2784" y="1090707"/>
        <a:ext cx="1024907" cy="939090"/>
      </dsp:txXfrm>
    </dsp:sp>
    <dsp:sp modelId="{339C3EE6-F49D-40A9-87B4-87C4BA83370B}">
      <dsp:nvSpPr>
        <dsp:cNvPr id="0" name=""/>
        <dsp:cNvSpPr/>
      </dsp:nvSpPr>
      <dsp:spPr>
        <a:xfrm>
          <a:off x="3059237" y="2369568"/>
          <a:ext cx="1428311" cy="1456071"/>
        </a:xfrm>
        <a:prstGeom prst="ellipse">
          <a:avLst/>
        </a:prstGeom>
        <a:gradFill rotWithShape="0">
          <a:gsLst>
            <a:gs pos="0">
              <a:srgbClr val="4BACC6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2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Оценка и наблюдение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редовни и прозрачни</a:t>
          </a:r>
          <a:r>
            <a:rPr lang="en-GB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във висшия интерес на детето</a:t>
          </a:r>
          <a:r>
            <a:rPr lang="en-GB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ефективно използване за създаването на политики</a:t>
          </a:r>
          <a:endParaRPr lang="el-GR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68408" y="2582805"/>
        <a:ext cx="1009969" cy="1029597"/>
      </dsp:txXfrm>
    </dsp:sp>
    <dsp:sp modelId="{0F29F86C-B7B2-4C33-86FC-41BE56C2F6BA}">
      <dsp:nvSpPr>
        <dsp:cNvPr id="0" name=""/>
        <dsp:cNvSpPr/>
      </dsp:nvSpPr>
      <dsp:spPr>
        <a:xfrm>
          <a:off x="1048680" y="2362215"/>
          <a:ext cx="1482438" cy="1470777"/>
        </a:xfrm>
        <a:prstGeom prst="ellipse">
          <a:avLst/>
        </a:prstGeom>
        <a:gradFill rotWithShape="0">
          <a:gsLst>
            <a:gs pos="0">
              <a:srgbClr val="F79646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200" b="1" kern="1200" spc="-30" baseline="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Управление и</a:t>
          </a:r>
          <a:r>
            <a:rPr lang="bg-BG" sz="12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финансиране</a:t>
          </a:r>
          <a:r>
            <a:rPr lang="en-US" sz="14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координирано законодателство и отговорности</a:t>
          </a:r>
          <a:r>
            <a:rPr lang="en-US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сътрудничество</a:t>
          </a:r>
          <a:r>
            <a:rPr lang="en-US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напредък към универсално право, установено със закон</a:t>
          </a:r>
          <a:endParaRPr lang="el-GR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65778" y="2577605"/>
        <a:ext cx="1048242" cy="1039997"/>
      </dsp:txXfrm>
    </dsp:sp>
    <dsp:sp modelId="{21D143EC-57F3-4F10-8E74-76BB8F9837C7}">
      <dsp:nvSpPr>
        <dsp:cNvPr id="0" name=""/>
        <dsp:cNvSpPr/>
      </dsp:nvSpPr>
      <dsp:spPr>
        <a:xfrm>
          <a:off x="721653" y="871867"/>
          <a:ext cx="1419008" cy="1333230"/>
        </a:xfrm>
        <a:prstGeom prst="ellipse">
          <a:avLst/>
        </a:prstGeom>
        <a:gradFill rotWithShape="0">
          <a:gsLst>
            <a:gs pos="0">
              <a:srgbClr val="C0504D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2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Учебна програма</a:t>
          </a:r>
          <a:r>
            <a:rPr lang="bg-BG" sz="14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холистична</a:t>
          </a:r>
          <a:r>
            <a:rPr lang="en-GB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гъвкава</a:t>
          </a:r>
          <a:r>
            <a:rPr lang="en-GB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изискваща сътрудничество</a:t>
          </a:r>
          <a:r>
            <a:rPr lang="en-GB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; </a:t>
          </a:r>
          <a:r>
            <a:rPr lang="bg-BG" sz="900" kern="1200" dirty="0" smtClean="0">
              <a:solidFill>
                <a:srgbClr val="000000"/>
              </a:solidFill>
              <a:latin typeface="Calibri"/>
              <a:ea typeface="+mn-ea"/>
              <a:cs typeface="+mn-cs"/>
            </a:rPr>
            <a:t>редовно подобрявана/пре-разглеждана</a:t>
          </a:r>
          <a:endParaRPr lang="el-GR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929462" y="1067114"/>
        <a:ext cx="1003390" cy="942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23BABF-6097-4291-9236-8860FD40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8</Pages>
  <Words>2429</Words>
  <Characters>14578</Characters>
  <Application>Microsoft Office Word</Application>
  <DocSecurity>0</DocSecurity>
  <Lines>269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 Aristea (EAC)</dc:creator>
  <cp:lastModifiedBy>DIGIT/A3</cp:lastModifiedBy>
  <cp:revision>8</cp:revision>
  <cp:lastPrinted>2018-05-07T09:45:00Z</cp:lastPrinted>
  <dcterms:created xsi:type="dcterms:W3CDTF">2018-05-24T09:59:00Z</dcterms:created>
  <dcterms:modified xsi:type="dcterms:W3CDTF">2018-05-25T17:21:00Z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