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5240269-63CA-4F63-B442-26E674948E0C" style="width:450.75pt;height:351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spacing w:before="120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  <w:szCs w:val="24"/>
        </w:rPr>
      </w:pPr>
      <w:r>
        <w:rPr>
          <w:noProof/>
        </w:rPr>
        <w:t>Ранните години от живота на човека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са най-решаващите за развитието на основополагащи компетенции и нагласи към ученето, които оказват значително влияние върху по-нататъшните перспективи за образование и заетост и за по-общите постижения и удовлетвореността от живота.</w:t>
      </w:r>
    </w:p>
    <w:p>
      <w:pPr>
        <w:rPr>
          <w:noProof/>
          <w:szCs w:val="24"/>
        </w:rPr>
      </w:pPr>
      <w:r>
        <w:rPr>
          <w:noProof/>
        </w:rPr>
        <w:t>В Европейския стълб на социалните права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се посочва, че децата трябва да имат право на достъпно ранно образование и грижи с добро качество. По-нататък се казва, че децата в неравностойно положение следва да имат право на специални мерки за насърчаване на равните възможности. </w:t>
      </w:r>
    </w:p>
    <w:p>
      <w:pPr>
        <w:rPr>
          <w:noProof/>
          <w:szCs w:val="24"/>
        </w:rPr>
      </w:pPr>
      <w:r>
        <w:rPr>
          <w:noProof/>
        </w:rPr>
        <w:t>В своето съобщение „Укрепване на европейската идентичност чрез образование и култура“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Комисията излага виждането си за европейско пространство за образование, в което висококачественото приобщаващо образование, обучение и научни изследвания не са възпрепятствани от границите и хората могат да се възползват от богатите образователни възможности, предлагани в рамките на Съюза. Висококачественото образование и грижи в ранна детска възраст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са част от тази визия, тъй като полагат основите за по-нататъшно обучение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формиране на идентичност и гражданство. </w:t>
      </w:r>
    </w:p>
    <w:p>
      <w:pPr>
        <w:rPr>
          <w:noProof/>
          <w:szCs w:val="24"/>
        </w:rPr>
      </w:pPr>
      <w:r>
        <w:rPr>
          <w:noProof/>
        </w:rPr>
        <w:t>Висококачествените услуги играят решаваща роля за подобряване на резултатите от образованието, включително за развитието на социални компетенции.</w:t>
      </w:r>
      <w:r>
        <w:rPr>
          <w:noProof/>
          <w:color w:val="000000"/>
        </w:rPr>
        <w:t xml:space="preserve"> </w:t>
      </w:r>
      <w:r>
        <w:rPr>
          <w:noProof/>
        </w:rPr>
        <w:t>Изследванията сочат, че включването във висококачествено образование и грижи в ранна детска възраст води до постигането на по-добри основни умения и представлява сериозна мярка за предотвратяване на преждевременното напускане на училище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. Данните от PISA, програмата на ОИСР за международно оценяване на учениците, също показват, че учениците, които са посещавали предучилищно образование повече от една година, имат по-високи резултати по математика на 15-годишна възраст. При ученици, които </w:t>
      </w:r>
      <w:r>
        <w:rPr>
          <w:noProof/>
        </w:rPr>
        <w:lastRenderedPageBreak/>
        <w:t>не са посещавали заведения за предучилищно образование, има три пъти по-голяма вероятност да имат слаби резултати в сравнение с тези, които са посещавали такова заведение в продължение на повече от една година.</w:t>
      </w:r>
      <w:r>
        <w:rPr>
          <w:rStyle w:val="FootnoteReference"/>
          <w:noProof/>
        </w:rPr>
        <w:footnoteReference w:id="7"/>
      </w:r>
      <w:r>
        <w:rPr>
          <w:noProof/>
        </w:rPr>
        <w:t xml:space="preserve"> </w:t>
      </w:r>
    </w:p>
    <w:p>
      <w:pPr>
        <w:rPr>
          <w:noProof/>
          <w:szCs w:val="24"/>
        </w:rPr>
      </w:pPr>
      <w:r>
        <w:rPr>
          <w:noProof/>
        </w:rPr>
        <w:t>Приобщаващото образование и грижи в ранна детска възраст допринасят значително за справяне с проблемите на неравенството и социалното изключване. Без висококачествено образование в ранна детска възраст различията в развитието и компетенциите между децата, произхождащи от различни социално-икономически слоеве</w:t>
      </w:r>
      <w:r>
        <w:rPr>
          <w:rStyle w:val="FootnoteReference"/>
          <w:noProof/>
        </w:rPr>
        <w:footnoteReference w:id="8"/>
      </w:r>
      <w:r>
        <w:rPr>
          <w:noProof/>
        </w:rPr>
        <w:t>, се проявяват още на ранен етап, като по този начин се задълбочава тенденцията неравностойното положение да се предава от поколение на поколение. Достъпът до образование и грижи в ранна детска възраст е възможност да се предотврати и смекчи неравностойното положение на децата от ромските общности и на децата с мигрантски произход. Изследванията показват, че деца със сходен мигрантски произход, които са посещавали заведения за образование и грижи в ранна детска възраст в приемащата държава, постигат по-добри резултати в четенето</w:t>
      </w:r>
      <w:r>
        <w:rPr>
          <w:rStyle w:val="FootnoteReference"/>
          <w:noProof/>
        </w:rPr>
        <w:footnoteReference w:id="9"/>
      </w:r>
      <w:r>
        <w:rPr>
          <w:noProof/>
        </w:rPr>
        <w:t>. Наред с това висококачествените услуги за образование и грижи в ранна детска възраст имат положително въздействие върху участието на родителите на пазара на труда и безспорни ползи за постигането на по-голямо равенство между половете.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Целта на настоящото предложение за препоръка на Съвета е да се подкрепят държавите членки в усилията им да подобрят достъпа до системите си за образование и грижи в ранна детска възраст и тяхното качество, като същевременно се отчита, че отговорността в тази област пада основно върху държавите членки. Стремежът е да се установи общоевропейско разбиране за качество на образованието и грижите в ранна детска възраст. Предложението съдържа инструменти и примерни политики, които биха били от полза на държавите членки в усилията им да осигурят висококачествени приобщаващи системи и услуги. Един скорошен преглед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на политиките показва, че държавите със стратегически подход към качеството постигат по-голям напредък в развитието и подобряването на предлаганите от тях образование и грижи в ранна детска възраст от други. Само няколко държави членки обаче имат рамка за качество или равностоен документ за политиката, който да урежда предоставянето на такива услуги. Именно затова в настоящото предложение са изложени ключови елементи на </w:t>
      </w:r>
      <w:r>
        <w:rPr>
          <w:noProof/>
        </w:rPr>
        <w:lastRenderedPageBreak/>
        <w:t xml:space="preserve">рамката за качество на образованието и грижите в ранна детска възраст, които да насърчат държавите членки да мислят стратегически при осигуряването на тези услуги. </w:t>
      </w:r>
    </w:p>
    <w:p>
      <w:pPr>
        <w:rPr>
          <w:noProof/>
          <w:szCs w:val="24"/>
        </w:rPr>
      </w:pPr>
      <w:r>
        <w:rPr>
          <w:noProof/>
        </w:rPr>
        <w:t>В повечето страни от ЕС нито качеството, нито броят на местата отговарят на очакванията. Понастоящем в ЕС има повече от 32 милиона деца под възрастта за задължително започване на училище, но само около 15 милиона от тях посещават заведения за образование и грижи в ранна детска възраст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. Макар родителите да имат право да избират дали да се възползват от такива услуги, или не, търсенето на места е по-високо от предлагането навсякъде в Европа. </w:t>
      </w:r>
    </w:p>
    <w:p>
      <w:pPr>
        <w:rPr>
          <w:noProof/>
          <w:szCs w:val="24"/>
        </w:rPr>
      </w:pPr>
      <w:r>
        <w:rPr>
          <w:noProof/>
        </w:rPr>
        <w:t>Съгласно европейския критерий, определен в Стратегическата рамка за сътрудничество в областта на образованието и обучението</w:t>
      </w:r>
      <w:r>
        <w:rPr>
          <w:rStyle w:val="FootnoteReference"/>
          <w:noProof/>
        </w:rPr>
        <w:footnoteReference w:id="12"/>
      </w:r>
      <w:r>
        <w:rPr>
          <w:noProof/>
        </w:rPr>
        <w:t>, най-малко 95 % от децата между четири години и възрастта за започване на задължително начално образование трябва да участват в образованието в ранна детска възраст. Този критерий вече почти е постигнат</w:t>
      </w:r>
      <w:r>
        <w:rPr>
          <w:rStyle w:val="FootnoteReference"/>
          <w:noProof/>
        </w:rPr>
        <w:footnoteReference w:id="13"/>
      </w:r>
      <w:r>
        <w:rPr>
          <w:noProof/>
        </w:rPr>
        <w:t>. Целта, за която бе постигнато съгласие на Европейския съвет в Барселона през 2002 г. (с оглед подобряване на участието на жените на пазара на труда), е 33 % от децата под тригодишна възраст и 90 % от децата между три години и възрастта за задължително започване на училище да имат достъп до услуги. Оценка на постигането на тези цели е представена заедно с настоящото предложение</w:t>
      </w:r>
      <w:r>
        <w:rPr>
          <w:rStyle w:val="FootnoteReference"/>
          <w:noProof/>
        </w:rPr>
        <w:footnoteReference w:id="14"/>
      </w:r>
      <w:r>
        <w:rPr>
          <w:noProof/>
        </w:rPr>
        <w:t>.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Качеството на услугите често не е достатъчно добро и се различава значително в самите държави и между тях, между частни и публични заведения, между градски и селски или отдалечени райони, както и между възрастови групи (0–3 и 3–6 години)</w:t>
      </w:r>
      <w:r>
        <w:rPr>
          <w:rStyle w:val="FootnoteReference"/>
          <w:noProof/>
          <w:color w:val="000000"/>
        </w:rPr>
        <w:footnoteReference w:id="15"/>
      </w:r>
      <w:r>
        <w:rPr>
          <w:noProof/>
          <w:color w:val="000000"/>
        </w:rPr>
        <w:t xml:space="preserve">. </w:t>
      </w:r>
    </w:p>
    <w:p>
      <w:pPr>
        <w:rPr>
          <w:noProof/>
          <w:szCs w:val="24"/>
        </w:rPr>
      </w:pPr>
      <w:r>
        <w:rPr>
          <w:noProof/>
        </w:rPr>
        <w:t>Последиците от недостига на места на достъпна цена и ниското качество на услугите са много сериозни</w:t>
      </w:r>
      <w:r>
        <w:rPr>
          <w:rStyle w:val="FootnoteReference"/>
          <w:noProof/>
        </w:rPr>
        <w:footnoteReference w:id="16"/>
      </w:r>
      <w:r>
        <w:rPr>
          <w:noProof/>
        </w:rPr>
        <w:t xml:space="preserve">. Ограниченото предлагане на висококачествени услуги и/или </w:t>
      </w:r>
      <w:r>
        <w:rPr>
          <w:noProof/>
        </w:rPr>
        <w:lastRenderedPageBreak/>
        <w:t>недостъпната им цена представляват особено предизвикателство за децата, които започват живота си в неравностойно положение поради редица фактори като бедност, увреждане, дискриминация, ромски произход или мигрантски произход. Днес в Европа все още е по-малко вероятно децата, които израстват в бедност или социално изключване, да се справят добре в училище, да се радват на добро здраве и да реализират пълния си потенциал по-късно в живота, отколкото връстниците им в по-добро материално положение</w:t>
      </w:r>
      <w:r>
        <w:rPr>
          <w:rStyle w:val="FootnoteReference"/>
          <w:noProof/>
        </w:rPr>
        <w:footnoteReference w:id="17"/>
      </w:r>
      <w:r>
        <w:rPr>
          <w:noProof/>
        </w:rPr>
        <w:t>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rPr>
          <w:noProof/>
        </w:rPr>
      </w:pPr>
      <w:r>
        <w:rPr>
          <w:noProof/>
        </w:rPr>
        <w:t>Необходимостта от подобряване на достъпа и качеството на услугите, свързани с осигуряването на образование и грижи в ранна детска възраст, бе изрично подчертанa и в съобщението на Комисията относно училищното развитие и върховите постижения в областта на преподаването</w:t>
      </w:r>
      <w:r>
        <w:rPr>
          <w:rStyle w:val="FootnoteReference"/>
          <w:rFonts w:eastAsiaTheme="majorEastAsia"/>
          <w:noProof/>
        </w:rPr>
        <w:footnoteReference w:id="18"/>
      </w:r>
      <w:r>
        <w:rPr>
          <w:noProof/>
        </w:rPr>
        <w:t>, както и в свързаните с тях заключения на Съвета относно училищното развитие и върховите постижения в областта на преподаването</w:t>
      </w:r>
      <w:r>
        <w:rPr>
          <w:rStyle w:val="FootnoteReference"/>
          <w:rFonts w:eastAsiaTheme="majorEastAsia"/>
          <w:noProof/>
        </w:rPr>
        <w:footnoteReference w:id="19"/>
      </w:r>
      <w:r>
        <w:rPr>
          <w:noProof/>
        </w:rPr>
        <w:t xml:space="preserve">. </w:t>
      </w:r>
    </w:p>
    <w:p>
      <w:pPr>
        <w:rPr>
          <w:noProof/>
        </w:rPr>
      </w:pPr>
      <w:r>
        <w:rPr>
          <w:noProof/>
        </w:rPr>
        <w:t>В препоръката на Комисията „Инвестициите в децата — изход от порочния кръг на неравностойното положение“</w:t>
      </w:r>
      <w:r>
        <w:rPr>
          <w:rStyle w:val="FootnoteReference"/>
          <w:noProof/>
        </w:rPr>
        <w:footnoteReference w:id="20"/>
      </w:r>
      <w:r>
        <w:rPr>
          <w:noProof/>
        </w:rPr>
        <w:t xml:space="preserve"> се подчертава необходимостта от осигуряване на достъп до висококачествено и приобщаващо образование и грижи в ранна детска възраст, като се гарантира финансовата достъпност на предлаганите услуги и адаптирането им към нуждите на семействата и особено на децата в неравностойно положение. </w:t>
      </w:r>
    </w:p>
    <w:p>
      <w:pPr>
        <w:rPr>
          <w:bCs/>
          <w:noProof/>
        </w:rPr>
      </w:pPr>
      <w:r>
        <w:rPr>
          <w:noProof/>
        </w:rPr>
        <w:t>През януари 2018 г. Комисията прие предложение за препоръка на Съвета относно ключовите умения за учене през целия живот</w:t>
      </w:r>
      <w:r>
        <w:rPr>
          <w:rStyle w:val="FootnoteReference"/>
          <w:rFonts w:eastAsiaTheme="majorEastAsia"/>
          <w:noProof/>
        </w:rPr>
        <w:footnoteReference w:id="21"/>
      </w:r>
      <w:r>
        <w:rPr>
          <w:noProof/>
        </w:rPr>
        <w:t xml:space="preserve">, в която се обръща внимание на образованието и грижите в ранна детска възраст и на значението на дейностите, насърчаващи развитието на компетенции още в ранното образование с акцент върху социалните и емоционалните умения. </w:t>
      </w:r>
    </w:p>
    <w:p>
      <w:pPr>
        <w:rPr>
          <w:noProof/>
        </w:rPr>
      </w:pPr>
      <w:r>
        <w:rPr>
          <w:noProof/>
        </w:rPr>
        <w:t>Комисията прие също предложение за препоръка на Съвета относно общите ценности, приобщаващото образование и европейското измерение на преподаването</w:t>
      </w:r>
      <w:r>
        <w:rPr>
          <w:rStyle w:val="FootnoteReference"/>
          <w:noProof/>
        </w:rPr>
        <w:footnoteReference w:id="22"/>
      </w:r>
      <w:r>
        <w:rPr>
          <w:noProof/>
        </w:rPr>
        <w:t xml:space="preserve">, в което се </w:t>
      </w:r>
      <w:r>
        <w:rPr>
          <w:noProof/>
        </w:rPr>
        <w:lastRenderedPageBreak/>
        <w:t>подчертава значението на осигуряването на приобщаващо образование за всички учащи се още от ранна възраст.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rPr>
          <w:noProof/>
          <w:szCs w:val="24"/>
        </w:rPr>
      </w:pPr>
      <w:r>
        <w:rPr>
          <w:noProof/>
        </w:rPr>
        <w:t>Това предложение е тясно свързано с 11-ия принцип на Европейския стълб на социалните права</w:t>
      </w:r>
      <w:r>
        <w:rPr>
          <w:rStyle w:val="FootnoteReference"/>
          <w:noProof/>
        </w:rPr>
        <w:footnoteReference w:id="23"/>
      </w:r>
      <w:r>
        <w:rPr>
          <w:noProof/>
        </w:rPr>
        <w:t>, според който всички деца трябва да имат право на достъпно ранно образование и грижи с добро качество.</w:t>
      </w:r>
    </w:p>
    <w:p>
      <w:pPr>
        <w:rPr>
          <w:noProof/>
        </w:rPr>
      </w:pPr>
      <w:r>
        <w:rPr>
          <w:noProof/>
        </w:rPr>
        <w:t>Наличието и достъпността на висококачествени детски заведения на приемлива цена са също така ключови фактори, които дават възможност на родителите да участват на пазара на труда. Постигнатият напредък на държавите членки в изпълнение на договорените цели по време на Европейския съвет в Барселона през 2002 г. е оценен в доклад, публикуван от Европейската комисия</w:t>
      </w:r>
      <w:r>
        <w:rPr>
          <w:rStyle w:val="FootnoteReference"/>
          <w:noProof/>
        </w:rPr>
        <w:footnoteReference w:id="24"/>
      </w:r>
      <w:r>
        <w:rPr>
          <w:noProof/>
        </w:rPr>
        <w:t xml:space="preserve">. </w:t>
      </w:r>
    </w:p>
    <w:p>
      <w:pPr>
        <w:rPr>
          <w:noProof/>
          <w:szCs w:val="24"/>
        </w:rPr>
      </w:pPr>
      <w:r>
        <w:rPr>
          <w:noProof/>
        </w:rPr>
        <w:t>В съобщението на Комисията относно равновесието между професионалния и личния живот</w:t>
      </w:r>
      <w:r>
        <w:rPr>
          <w:rStyle w:val="FootnoteReference"/>
          <w:noProof/>
        </w:rPr>
        <w:footnoteReference w:id="25"/>
      </w:r>
      <w:r>
        <w:rPr>
          <w:noProof/>
        </w:rPr>
        <w:t xml:space="preserve"> се отчита необходимостта от предоставяне на качествени официални услуги за полагане на грижи за деца в цяла Европа с оглед премахване на пречките пред заетостта, особено за жените. Осигуряването на такива услуги може да допринесе за увеличаване на участието на жените на пазара на труда и за постигане на еднаква икономическа независимост на жените и мъжете, което е един от приоритетите, определени в Стратегическия ангажимент на Комисията за постигане на равенство между половете за периода 2016—2019 г.</w:t>
      </w:r>
      <w:r>
        <w:rPr>
          <w:rStyle w:val="FootnoteReference"/>
          <w:noProof/>
        </w:rPr>
        <w:footnoteReference w:id="26"/>
      </w:r>
      <w:r>
        <w:rPr>
          <w:noProof/>
        </w:rPr>
        <w:t xml:space="preserve"> По този начин инициативата допринася за постигането на залегналите в Договора цели</w:t>
      </w:r>
      <w:r>
        <w:rPr>
          <w:rStyle w:val="FootnoteReference"/>
          <w:noProof/>
        </w:rPr>
        <w:footnoteReference w:id="27"/>
      </w:r>
      <w:r>
        <w:rPr>
          <w:noProof/>
          <w:vertAlign w:val="superscript"/>
        </w:rPr>
        <w:t xml:space="preserve"> </w:t>
      </w:r>
      <w:r>
        <w:rPr>
          <w:noProof/>
        </w:rPr>
        <w:t>за равенство между мъжете и жените по отношение на възможностите на пазара на труда и насърчава високо равнище на заетост в Съюза.</w:t>
      </w:r>
    </w:p>
    <w:p>
      <w:pPr>
        <w:rPr>
          <w:noProof/>
        </w:rPr>
      </w:pPr>
      <w:r>
        <w:rPr>
          <w:noProof/>
        </w:rPr>
        <w:t>Рамката на ЕС за национални стратегии за интегриране на ромите</w:t>
      </w:r>
      <w:r>
        <w:rPr>
          <w:rStyle w:val="FootnoteReference"/>
          <w:noProof/>
        </w:rPr>
        <w:footnoteReference w:id="28"/>
      </w:r>
      <w:r>
        <w:rPr>
          <w:noProof/>
        </w:rPr>
        <w:t xml:space="preserve"> и Препоръката на Съвета от 2013 г. относно ефективни мерки за интегриране на ромите в държавите членки</w:t>
      </w:r>
      <w:r>
        <w:rPr>
          <w:rStyle w:val="FootnoteReference"/>
          <w:noProof/>
        </w:rPr>
        <w:footnoteReference w:id="29"/>
      </w:r>
      <w:r>
        <w:rPr>
          <w:noProof/>
        </w:rPr>
        <w:t xml:space="preserve"> приканват държавите членки да увеличат достъпа до ранно образование и грижи и да повишат качеството на предоставяните услуги, включително чрез целенасочена подкрепа за ромските деца. </w:t>
      </w:r>
    </w:p>
    <w:p>
      <w:pPr>
        <w:rPr>
          <w:noProof/>
          <w:szCs w:val="24"/>
        </w:rPr>
      </w:pPr>
      <w:r>
        <w:rPr>
          <w:noProof/>
        </w:rPr>
        <w:lastRenderedPageBreak/>
        <w:t>Основополагащото значение на образованието и грижите в ранна детска възраст за интегрирането на семейства и деца от трети държави се признава както в Плана за действие относно интеграцията на граждани на трети държави</w:t>
      </w:r>
      <w:r>
        <w:rPr>
          <w:rStyle w:val="FootnoteReference"/>
          <w:noProof/>
        </w:rPr>
        <w:footnoteReference w:id="30"/>
      </w:r>
      <w:r>
        <w:rPr>
          <w:noProof/>
        </w:rPr>
        <w:t>, така и в съобщението на Комисията относно закрилата на децата мигранти</w:t>
      </w:r>
      <w:r>
        <w:rPr>
          <w:rStyle w:val="FootnoteReference"/>
          <w:noProof/>
        </w:rPr>
        <w:footnoteReference w:id="31"/>
      </w:r>
      <w:r>
        <w:rPr>
          <w:noProof/>
        </w:rPr>
        <w:t>. Инициативата допринася за премахване на пречките пред участието на момичета и момчета от трети държави в образованието в ранна детска възраст, за осигуряване на възможности на всички деца да реализират пълния си потенциал и за подпомагане на интеграцията на децата мигранти.</w:t>
      </w:r>
    </w:p>
    <w:p>
      <w:pPr>
        <w:rPr>
          <w:noProof/>
          <w:szCs w:val="24"/>
        </w:rPr>
      </w:pPr>
      <w:r>
        <w:rPr>
          <w:noProof/>
        </w:rPr>
        <w:t>В рамките на Европейския семестър на преден план бе изведена важността на въпроса за образованието и грижите в ранна детска възраст и към няколко държави членки бяха отправени специфични препоръки относно грижите за децата и приобщаващото образование. Значението на достъпа до качествено образование и грижи на достъпна цена в ранна детска възраст се подчертава и в Насоките за заетостта. Неговата важност от гледна точка на равните възможности, социалното приобщаване и равновесието между професионалния и личния живот се изтъква също в Годишния обзор на растежа за 2018 г. Напредъкът на държавите членки в тази област се отбелязва и в Съвместния доклад за заетостта за 2018 г., в който е обърнато специално внимание на достъпа до образование и грижи в ранна детска възраст за деца под три години като един от показателите на социалния стълб</w:t>
      </w:r>
      <w:r>
        <w:rPr>
          <w:rStyle w:val="FootnoteReference"/>
          <w:noProof/>
        </w:rPr>
        <w:footnoteReference w:id="32"/>
      </w:r>
      <w:r>
        <w:rPr>
          <w:noProof/>
        </w:rPr>
        <w:t>. Съвместяването на професионалния и семейния живот трябва да се насърчава, по-специално чрез достъп до дългосрочни грижи и достъпно и качествено образование и грижи в ранна детска възраст.</w:t>
      </w:r>
    </w:p>
    <w:p>
      <w:pPr>
        <w:rPr>
          <w:noProof/>
          <w:szCs w:val="24"/>
        </w:rPr>
      </w:pPr>
      <w:r>
        <w:rPr>
          <w:noProof/>
        </w:rPr>
        <w:t>И накрая, структурните и инвестиционните фондове на ЕС също играят важна роля за насърчаване на инвестициите в достъпна и качествена инфраструктура и услуги на приемлива цена.</w:t>
      </w:r>
    </w:p>
    <w:p>
      <w:pPr>
        <w:pStyle w:val="ManualHeading1"/>
        <w:spacing w:before="120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noProof/>
          <w:szCs w:val="24"/>
        </w:rPr>
      </w:pPr>
      <w:r>
        <w:rPr>
          <w:noProof/>
        </w:rPr>
        <w:t xml:space="preserve">Инициативата е в съответствие с член 165 от Договора за функционирането на Европейския съюз. Член 165, параграф 1 от Договора за функционирането на Европейския съюз гласи: „Съюзът допринася за развитието на качествено обучение чрез насърчаване на сътрудничеството между държавите членки и, ако е необходимо, чрез подпомагане и допълване на техните действия, като напълно зачита отговорностите на държавите членки за съдържанието на учебния процес и организацията на образователните системи и тяхното културно и езиково разнообразие“.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Инициативата не предвижда разширяване на регулаторните правомощия на ЕС, нито обвързващи ангажименти за държавите членки. Държавите членки решават, съгласно националните си особености, как е най-уместно да приложат препоръката на Съвета.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 xml:space="preserve">Субсидиарност (извън областите на 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Комисията предприема действия за по-нататъшно насърчаване на сътрудничеството между държавите членки в областта на образованието и грижите в ранна детска възраст</w:t>
      </w:r>
      <w:r>
        <w:rPr>
          <w:rStyle w:val="FootnoteReference"/>
          <w:noProof/>
        </w:rPr>
        <w:footnoteReference w:id="33"/>
      </w:r>
      <w:r>
        <w:rPr>
          <w:noProof/>
        </w:rPr>
        <w:t>, надграждайки важните резултати, които вече са постигнати, включително експертното предложение от 2014 г. за рамка за качеството на образованието и грижите в ранна детска възраст</w:t>
      </w:r>
      <w:r>
        <w:rPr>
          <w:rStyle w:val="FootnoteReference"/>
          <w:noProof/>
        </w:rPr>
        <w:footnoteReference w:id="34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Добавената стойност от действията на равнището на ЕС се изразява в способността на Съюза:</w:t>
      </w:r>
    </w:p>
    <w:p>
      <w:pPr>
        <w:pStyle w:val="Bullet1"/>
        <w:numPr>
          <w:ilvl w:val="0"/>
          <w:numId w:val="4"/>
        </w:numPr>
        <w:rPr>
          <w:noProof/>
        </w:rPr>
      </w:pPr>
      <w:r>
        <w:rPr>
          <w:noProof/>
        </w:rPr>
        <w:t>да извлече ползи от знанията и опита в Съюза и да продължи сътрудничеството въз основа на предложената рамка за качество като общ референтен инструмент;</w:t>
      </w:r>
    </w:p>
    <w:p>
      <w:pPr>
        <w:pStyle w:val="Bullet1"/>
        <w:rPr>
          <w:noProof/>
        </w:rPr>
      </w:pPr>
      <w:r>
        <w:rPr>
          <w:noProof/>
        </w:rPr>
        <w:t xml:space="preserve">да продължи да подкрепя държавите членки в усилията им да реформират системите за предоставяне на такива услуги; </w:t>
      </w:r>
    </w:p>
    <w:p>
      <w:pPr>
        <w:pStyle w:val="Bullet1"/>
        <w:rPr>
          <w:noProof/>
        </w:rPr>
      </w:pPr>
      <w:r>
        <w:rPr>
          <w:noProof/>
        </w:rPr>
        <w:t>да подкрепи усилията на държавите членки, като им предостави европейски инструменти, например набор от позиции относно качеството.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В предложението се предвиждат препоръки, отговарящи на петте измерения на рамката за качество, придружени от възможни политики в отговор на основните предизвикателства в сектора. Това ще даде възможност на държавите членки да прилагат препоръката на Съвета в зависимост от специфичния си контекст. Всяка държава членка решава какъв подход да предприеме в стремежа си да подобри съответните си системи.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Препоръката на Съвета е подходящ инструмент в областта на образованието и обучението, в която компетентността на ЕС се ограничава до подпомагане на усилията на държавите членки. Този инструмент често се използва за действия на европейско равнище в сферата на образованието и обучението. Като правен инструмент тя представлява израз на ангажимента на държавите членки за прилагане на мерките, набелязани в текста, и дава по-солидна политическа основа за сътрудничество в тази област при пълно зачитане на компетентността на държавите членки в сферата на образованието и обучението.</w:t>
      </w:r>
    </w:p>
    <w:p>
      <w:pPr>
        <w:pStyle w:val="ManualHeading1"/>
        <w:spacing w:before="120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Неприложимо.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rFonts w:eastAsia="Arial Unicode MS"/>
          <w:noProof/>
          <w:szCs w:val="24"/>
        </w:rPr>
      </w:pPr>
      <w:r>
        <w:rPr>
          <w:noProof/>
          <w:color w:val="000000"/>
          <w:bdr w:val="none" w:sz="0" w:space="0" w:color="auto" w:frame="1"/>
        </w:rPr>
        <w:t xml:space="preserve">През декември 2016 г. бе проведена конференция на тема „Страхотен старт в живота! Най-доброто образование в ранна детска възраст“, в която взеха участие 250 експерти, длъжностни лица, разработващи политики, и професионалисти с практически опит. </w:t>
      </w:r>
      <w:r>
        <w:rPr>
          <w:noProof/>
        </w:rPr>
        <w:t xml:space="preserve">Заключенията </w:t>
      </w:r>
      <w:r>
        <w:rPr>
          <w:noProof/>
          <w:color w:val="000000"/>
          <w:bdr w:val="none" w:sz="0" w:space="0" w:color="auto" w:frame="1"/>
        </w:rPr>
        <w:t>от конференцията</w:t>
      </w:r>
      <w:r>
        <w:rPr>
          <w:rStyle w:val="FootnoteReference"/>
          <w:noProof/>
        </w:rPr>
        <w:footnoteReference w:id="35"/>
      </w:r>
      <w:r>
        <w:rPr>
          <w:noProof/>
          <w:color w:val="000000"/>
          <w:bdr w:val="none" w:sz="0" w:space="0" w:color="auto" w:frame="1"/>
        </w:rPr>
        <w:t xml:space="preserve"> бяха взети под внимание при изготвянето на това предложение</w:t>
      </w:r>
      <w:r>
        <w:rPr>
          <w:noProof/>
        </w:rPr>
        <w:t>.</w:t>
      </w:r>
      <w:r>
        <w:rPr>
          <w:noProof/>
          <w:color w:val="000000"/>
          <w:bdr w:val="none" w:sz="0" w:space="0" w:color="auto" w:frame="1"/>
        </w:rPr>
        <w:t xml:space="preserve"> Освен това бяха взети предвид съответните констатации от обществените консултации в рамките на инициативата „Равновесие между професионалния и личния живот“</w:t>
      </w:r>
      <w:r>
        <w:rPr>
          <w:rStyle w:val="FootnoteReference"/>
          <w:noProof/>
        </w:rPr>
        <w:footnoteReference w:id="36"/>
      </w:r>
      <w:r>
        <w:rPr>
          <w:noProof/>
          <w:color w:val="000000"/>
          <w:bdr w:val="none" w:sz="0" w:space="0" w:color="auto" w:frame="1"/>
        </w:rPr>
        <w:t xml:space="preserve"> и Европейския стълб на социалните права</w:t>
      </w:r>
      <w:r>
        <w:rPr>
          <w:rStyle w:val="FootnoteReference"/>
          <w:noProof/>
        </w:rPr>
        <w:footnoteReference w:id="37"/>
      </w:r>
      <w:r>
        <w:rPr>
          <w:noProof/>
          <w:color w:val="000000"/>
          <w:bdr w:val="none" w:sz="0" w:space="0" w:color="auto" w:frame="1"/>
        </w:rPr>
        <w:t>.</w:t>
      </w:r>
    </w:p>
    <w:p>
      <w:pPr>
        <w:rPr>
          <w:rFonts w:eastAsia="Arial Unicode MS"/>
          <w:noProof/>
          <w:color w:val="000000"/>
          <w:szCs w:val="24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t xml:space="preserve">След редица предишни консултации, свързани с </w:t>
      </w:r>
      <w:r>
        <w:rPr>
          <w:noProof/>
        </w:rPr>
        <w:t>предложения за основни принципи на рамката за качество на образованието и грижите в ранна детска възраст</w:t>
      </w:r>
      <w:r>
        <w:rPr>
          <w:rStyle w:val="FootnoteReference"/>
          <w:noProof/>
        </w:rPr>
        <w:footnoteReference w:id="38"/>
      </w:r>
      <w:r>
        <w:rPr>
          <w:i/>
          <w:noProof/>
        </w:rPr>
        <w:t>,</w:t>
      </w:r>
      <w:r>
        <w:rPr>
          <w:noProof/>
          <w:color w:val="000000"/>
          <w:bdr w:val="none" w:sz="0" w:space="0" w:color="auto" w:frame="1"/>
        </w:rPr>
        <w:t xml:space="preserve"> на 31 януари 2018 г. Комисията организира специална консултационна среща със заинтересовани страни. В нея участваха представители на широк кръг организации на гражданското общество, както и представители на организации от държавите членки, работещи в областта на образованието и ученето през целия живот, закрилата и правата на детето, родителски и семейни асоциации, мрежи за борба със социалното неравенство, специализирани образователни институции, агенции за хора с увреждания и учителски съюзи. Срещата на заинтересованите страни </w:t>
      </w:r>
      <w:r>
        <w:rPr>
          <w:noProof/>
        </w:rPr>
        <w:t>потвърди и приветства цялостния подход,</w:t>
      </w:r>
      <w:r>
        <w:rPr>
          <w:i/>
          <w:noProof/>
        </w:rPr>
        <w:t xml:space="preserve"> </w:t>
      </w:r>
      <w:r>
        <w:rPr>
          <w:noProof/>
        </w:rPr>
        <w:t>като предостави допълнителна информация за настоящите предизвикателства и за възможните решения в сектора</w:t>
      </w:r>
      <w:r>
        <w:rPr>
          <w:noProof/>
          <w:color w:val="000000"/>
          <w:bdr w:val="none" w:sz="0" w:space="0" w:color="auto" w:frame="1"/>
        </w:rPr>
        <w:t xml:space="preserve">. </w:t>
      </w:r>
    </w:p>
    <w:p>
      <w:pPr>
        <w:pStyle w:val="Bullet1"/>
        <w:rPr>
          <w:noProof/>
          <w:bdr w:val="none" w:sz="0" w:space="0" w:color="auto" w:frame="1"/>
        </w:rPr>
      </w:pPr>
      <w:r>
        <w:rPr>
          <w:noProof/>
        </w:rPr>
        <w:t xml:space="preserve">Заинтересованите страни подчертаха необходимостта от социално приобщаване и от набелязването на конкретни групи деца (или семейства), за да се гарантира, че те няма да останат в периферията. Те изтъкнаха също важността да се осигури еднакво качество навсякъде, включително в селските райони, да се обърне специално внимание върху </w:t>
      </w:r>
      <w:r>
        <w:rPr>
          <w:noProof/>
        </w:rPr>
        <w:lastRenderedPageBreak/>
        <w:t>нуждите на децата, да се набележат цели и задачи, подходящи за възрастта, както и да се отдаде по-голямо значение на ученето чрез игра.</w:t>
      </w:r>
    </w:p>
    <w:p>
      <w:pPr>
        <w:pStyle w:val="Bullet1"/>
        <w:rPr>
          <w:noProof/>
          <w:bdr w:val="none" w:sz="0" w:space="0" w:color="auto" w:frame="1"/>
        </w:rPr>
      </w:pPr>
      <w:r>
        <w:rPr>
          <w:noProof/>
        </w:rPr>
        <w:t>Наред с това заинтересованите страни подчертаха необходимостта да се отчете фактът, че рамката за качество има за цел не само да определи минимални стандарти, но и да насърчи държавите членки да предоставят висококачествени услуги. В допълнение препоръката на Съвета трябва да осигури подкрепа на ниво държава членка или система и да създаде условия за гъвкавост, която да даде възможност на различните държави да преразгледат собствения си подход към качеството.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rPr>
          <w:noProof/>
          <w:szCs w:val="24"/>
        </w:rPr>
      </w:pPr>
      <w:r>
        <w:rPr>
          <w:noProof/>
        </w:rPr>
        <w:t>През последните две години Комисията работи с ключови експерти в целия ЕС за определянето на фактори за качество</w:t>
      </w:r>
      <w:r>
        <w:rPr>
          <w:rStyle w:val="FootnoteReference"/>
          <w:noProof/>
        </w:rPr>
        <w:footnoteReference w:id="39"/>
      </w:r>
      <w:r>
        <w:rPr>
          <w:noProof/>
        </w:rPr>
        <w:t xml:space="preserve"> и за разработването на инструменти за самооценка. Други основни източници са посочени по-долу:</w:t>
      </w:r>
    </w:p>
    <w:p>
      <w:pPr>
        <w:pStyle w:val="Point1number"/>
        <w:numPr>
          <w:ilvl w:val="2"/>
          <w:numId w:val="5"/>
        </w:numPr>
        <w:rPr>
          <w:noProof/>
        </w:rPr>
      </w:pPr>
      <w:r>
        <w:rPr>
          <w:noProof/>
        </w:rPr>
        <w:t>Ще бъдат включени данни за достъпа, участието и качеството от доклада „Основни данни за образованието и грижите в ранна детска възраст“ на мрежата „Евридика“ (2016 г.), от Обзора на образованието и обучението (2017 г.), както и от публикацията на ОИСР (2017 г.) „Силно начало V: Основни индикатори за образованието и грижите в ранна детска възраст“.</w:t>
      </w:r>
    </w:p>
    <w:p>
      <w:pPr>
        <w:pStyle w:val="Point1number"/>
        <w:rPr>
          <w:noProof/>
        </w:rPr>
      </w:pPr>
      <w:r>
        <w:rPr>
          <w:noProof/>
        </w:rPr>
        <w:t xml:space="preserve">CARE (2016 г.), Анализ на качеството на учебния план и преглед на въздействието на европейското образование и грижи в ранна детска възраст, Препоръки за политиката по отношение на качеството. В резултат на този мултидисциплинарен европейски изследователски проект бяха изготвени заключения и препоръки относно учебния план, качеството, благосъстоянието, въздействието, достъпа, финансирането и управлението, както и относно ролята на професионалистите. </w:t>
      </w:r>
    </w:p>
    <w:p>
      <w:pPr>
        <w:pStyle w:val="Point1number"/>
        <w:rPr>
          <w:noProof/>
        </w:rPr>
      </w:pPr>
      <w:r>
        <w:rPr>
          <w:noProof/>
        </w:rPr>
        <w:t>Европейска експертна мрежа по икономика на образованието — EENEE (2017 г.), „Ползите от образованието и грижите в ранна детска възраст и условията, при които те могат да бъдат реализирани“. В този доклад се посочват различни видове фактори, които могат да повлияят върху реализирането на тези потенциални ползи.</w:t>
      </w:r>
    </w:p>
    <w:p>
      <w:pPr>
        <w:pStyle w:val="Point1number"/>
        <w:rPr>
          <w:noProof/>
        </w:rPr>
      </w:pPr>
      <w:r>
        <w:rPr>
          <w:noProof/>
        </w:rPr>
        <w:t xml:space="preserve">NESET (2017) Current state of national early childhood education and care quality frameworks, or equivalent strategic policy documents, governing early childhood education and care quality in EU Member States [Мрежа от експерти, работещи по социалните измерения на образованието и обучението – NESET (2017 г.), Настоящо състояние на националните рамки за качество на образованието и грижите в ранна детска възраст или равностойни стратегически документи за политиката, уреждащи качеството на образованието и грижите в ранна детска възраст в държавите — членки на ЕС].  </w:t>
      </w:r>
    </w:p>
    <w:p>
      <w:pPr>
        <w:pStyle w:val="Point1number"/>
        <w:rPr>
          <w:noProof/>
        </w:rPr>
      </w:pPr>
      <w:r>
        <w:rPr>
          <w:noProof/>
        </w:rPr>
        <w:lastRenderedPageBreak/>
        <w:t>Работен документ на службите на Европейската комисия относно изпълнението на препоръката „Инвестициите в децата“</w:t>
      </w:r>
      <w:r>
        <w:rPr>
          <w:rStyle w:val="FootnoteReference"/>
          <w:noProof/>
        </w:rPr>
        <w:footnoteReference w:id="40"/>
      </w:r>
      <w:r>
        <w:rPr>
          <w:noProof/>
        </w:rPr>
        <w:t>, публикувана заедно с Европейския стълб на социалните права.</w:t>
      </w:r>
    </w:p>
    <w:p>
      <w:pPr>
        <w:rPr>
          <w:noProof/>
        </w:rPr>
      </w:pPr>
      <w:r>
        <w:rPr>
          <w:noProof/>
        </w:rPr>
        <w:t>Добри практики при прилагането на препоръката за инвестиции в децата, основани на доказателства, и актуализирани профили на отделните държави по отношение на политиките за децата и семейството в ЕС могат да бъдат намерени също в Европейската платформа за инвестиции в децата (EPIC).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rPr>
          <w:noProof/>
          <w:szCs w:val="24"/>
        </w:rPr>
      </w:pPr>
      <w:r>
        <w:rPr>
          <w:noProof/>
        </w:rPr>
        <w:t>Предвид допълващата функция на дейностите към инициативите на държавите членки, доброволния характер на предложените дейности и приложното поле на очакваните въздействия, не беше извършена оценка на въздействието. Вместо това предложението беше изготвено въз основа на информация от предишни проучвания, консултации с държавите членки и консултации със заинтересовани страни.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Неприложимо.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rPr>
          <w:rFonts w:eastAsia="Arial Unicode MS"/>
          <w:noProof/>
        </w:rPr>
      </w:pPr>
      <w:r>
        <w:rPr>
          <w:noProof/>
        </w:rPr>
        <w:t>С настоящата препоръка се зачитат основните права и се съблюдават принципите, признати в Хартата на основните права на Европейския съюз, включително правото на образование, зачитането на културното, религиозното и езиковото многообразие и недопускането на дискриминация. По-специално с Препоръката се утвърждават правата на детето, установени в член 24, и се взимат под внимание разпоредбите на Конвенцията на ООН за правата на детето, по-специално член 29, параграф 1, буква в), в който се посочва, че образованието на детето трябва да бъде насочено към развитието на чувството на уважение към неговите родители, към неговата културна идентичност, език и ценности, към националните ценности на страната, в която детето живее, на страната, от която то произхожда, и на цивилизации, различни от неговата собствена</w:t>
      </w:r>
      <w:r>
        <w:rPr>
          <w:rStyle w:val="FootnoteReference"/>
          <w:noProof/>
        </w:rPr>
        <w:footnoteReference w:id="41"/>
      </w:r>
      <w:r>
        <w:rPr>
          <w:noProof/>
        </w:rPr>
        <w:t>. Настоящата препоръка трябва да се прилага в съответствие с тези права и принципи.</w:t>
      </w:r>
    </w:p>
    <w:p>
      <w:pPr>
        <w:pStyle w:val="ManualHeading1"/>
        <w:spacing w:before="120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 xml:space="preserve">Действията, предложени в настоящата препоръка, които имат отражение върху бюджета, ще бъдат подкрепени в рамките на съществуващите ресурси на програмата „Еразъм +“ и евентуално на програмата „Хоризонт 2020“ или на европейските структурни и инвестиционни фондове, при условие че такава подкрепа се предвижда в разпоредбите на съответните основни актове. Инициатива не предопределя хода на преговорите по следващата многогодишна финансова рамка, нито бъдещи програми.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Няма да са необходими допълнителни средства от бюджета на ЕС.</w:t>
      </w:r>
    </w:p>
    <w:p>
      <w:pPr>
        <w:pStyle w:val="ManualHeading1"/>
        <w:spacing w:before="120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 xml:space="preserve">Напредъкът ще се следи посредством заседанията на новосъздадената работна група за образование и грижи в ранна детска възраст в контекста на стратегическата рамка </w:t>
      </w:r>
      <w:r>
        <w:rPr>
          <w:noProof/>
        </w:rPr>
        <w:lastRenderedPageBreak/>
        <w:t xml:space="preserve">„Образование и обучение 2020“, които ще предоставят форум за взаимно обучение и обмен на добри практики.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Европейският семестър ще се запази основен инструмент за наблюдение на предоставянето на качествени услуги за образование и грижи в ранна детска възраст, също и по отношение на целта от Барселона</w:t>
      </w:r>
      <w:r>
        <w:rPr>
          <w:rStyle w:val="FootnoteReference"/>
          <w:noProof/>
        </w:rPr>
        <w:footnoteReference w:id="42"/>
      </w:r>
      <w:r>
        <w:rPr>
          <w:noProof/>
        </w:rPr>
        <w:t>, и ще дава допълнителни насоки на държавите членки, включително чрез отправяне на специфични за страната препоръки, където е уместно.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Евентуалното въвеждане на нов показател за предоставянето на услуги за образование и грижи в ранна детска възраст ще бъде предмет на по-нататъшни обсъждания с държавите членки. Това може да включва евентуално преразглеждане на целта от Барселона относно предоставянето на официални грижи за деца, сравнителен анализ в контекста на Европейския семестър, както и преразглеждане на критерия, определен в стратегическата рамка за европейско сътрудничество в областта на образованието и обучението („Образование и обучение 2020“)</w:t>
      </w:r>
      <w:r>
        <w:rPr>
          <w:rStyle w:val="FootnoteReference"/>
          <w:noProof/>
        </w:rPr>
        <w:footnoteReference w:id="43"/>
      </w:r>
      <w:r>
        <w:rPr>
          <w:noProof/>
        </w:rPr>
        <w:t xml:space="preserve">.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Комисията ще докладва на Съвета за напредъка в изпълнението на препоръката в съответствие с реда и условията за докладване на Стратегическата рамка за сътрудничество в областта на образованието и обучението.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Неприложимо.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отделните разпоредби на предложението</w:t>
      </w:r>
    </w:p>
    <w:p>
      <w:pPr>
        <w:rPr>
          <w:b/>
          <w:noProof/>
        </w:rPr>
      </w:pPr>
      <w:r>
        <w:rPr>
          <w:b/>
          <w:noProof/>
        </w:rPr>
        <w:t>Разпоредби, отнасящи се до държавите членки</w:t>
      </w:r>
    </w:p>
    <w:p>
      <w:pPr>
        <w:rPr>
          <w:noProof/>
        </w:rPr>
      </w:pPr>
      <w:r>
        <w:rPr>
          <w:noProof/>
        </w:rPr>
        <w:t xml:space="preserve">В предложението се препоръчва държавите членки да подобрят достъпа до образование и грижи в ранна детска възраст и да повишат тяхното качество. В приложението към предложението е представена рамката за качество на образованието и грижите в ранна детска възраст в ЕС. </w:t>
      </w:r>
    </w:p>
    <w:p>
      <w:pPr>
        <w:rPr>
          <w:rFonts w:eastAsiaTheme="minorEastAsia"/>
          <w:noProof/>
          <w:szCs w:val="24"/>
        </w:rPr>
      </w:pPr>
      <w:r>
        <w:rPr>
          <w:noProof/>
        </w:rPr>
        <w:t>В предложението се отправя призив към държавите членки да се справят с основните предизвикателства в сектора на образованието и грижите в ранна детска възраст и се излагат възможни политики, които имат за цел:</w:t>
      </w:r>
    </w:p>
    <w:p>
      <w:pPr>
        <w:pStyle w:val="Bullet1"/>
        <w:rPr>
          <w:noProof/>
        </w:rPr>
      </w:pPr>
      <w:r>
        <w:rPr>
          <w:noProof/>
        </w:rPr>
        <w:t>да гарантират, че услугите за образование и грижи в ранна детска възраст са достъпни, приобщаващи и на приемлива цена;</w:t>
      </w:r>
    </w:p>
    <w:p>
      <w:pPr>
        <w:pStyle w:val="Bullet1"/>
        <w:rPr>
          <w:noProof/>
        </w:rPr>
      </w:pPr>
      <w:r>
        <w:rPr>
          <w:noProof/>
        </w:rPr>
        <w:t xml:space="preserve">да подкрепят професионализацията на персонала в зависимост от съществуващото равнище на професионална квалификация и условията на труд; </w:t>
      </w:r>
    </w:p>
    <w:p>
      <w:pPr>
        <w:pStyle w:val="Bullet1"/>
        <w:rPr>
          <w:noProof/>
        </w:rPr>
      </w:pPr>
      <w:r>
        <w:rPr>
          <w:noProof/>
        </w:rPr>
        <w:t>да стимулират разработването на програми за обучение в ранна детска възраст, които да отговарят на потребностите на децата по отношение на благосъстоянието и образованието;</w:t>
      </w:r>
    </w:p>
    <w:p>
      <w:pPr>
        <w:pStyle w:val="Bullet1"/>
        <w:rPr>
          <w:noProof/>
        </w:rPr>
      </w:pPr>
      <w:r>
        <w:rPr>
          <w:noProof/>
        </w:rPr>
        <w:lastRenderedPageBreak/>
        <w:t>да насърчат прозрачно наблюдение и оценка на услугите на всички нива на управление;</w:t>
      </w:r>
    </w:p>
    <w:p>
      <w:pPr>
        <w:pStyle w:val="Bullet1"/>
        <w:rPr>
          <w:noProof/>
        </w:rPr>
      </w:pPr>
      <w:r>
        <w:rPr>
          <w:noProof/>
        </w:rPr>
        <w:t>да осигурят адекватно финансиране и подходяща правна рамка за предоставянето на услуги, включително чрез създаване и поддържане на адаптирани национални или регионални рамки за качество на образованието и грижите в ранна детска възраст.</w:t>
      </w:r>
    </w:p>
    <w:p>
      <w:pPr>
        <w:rPr>
          <w:b/>
          <w:noProof/>
        </w:rPr>
      </w:pPr>
      <w:r>
        <w:rPr>
          <w:b/>
          <w:noProof/>
        </w:rPr>
        <w:t>Разпоредби, отнасящи се до Комисията</w:t>
      </w:r>
    </w:p>
    <w:p>
      <w:pPr>
        <w:ind w:left="360"/>
        <w:rPr>
          <w:noProof/>
        </w:rPr>
      </w:pPr>
      <w:r>
        <w:rPr>
          <w:noProof/>
        </w:rPr>
        <w:t>Предлага се в препоръката да бъде приветствано намерението на Комисията:</w:t>
      </w:r>
    </w:p>
    <w:p>
      <w:pPr>
        <w:pStyle w:val="Bullet1"/>
        <w:rPr>
          <w:noProof/>
        </w:rPr>
      </w:pPr>
      <w:r>
        <w:rPr>
          <w:noProof/>
        </w:rPr>
        <w:t>да улесни обмена на опит и добри практики между държавите членки в контекста на стратегическата рамка за сътрудничество в областта на образованието и обучението („Образование и обучение 2020“);</w:t>
      </w:r>
    </w:p>
    <w:p>
      <w:pPr>
        <w:pStyle w:val="Bullet1"/>
        <w:rPr>
          <w:noProof/>
        </w:rPr>
      </w:pPr>
      <w:r>
        <w:rPr>
          <w:noProof/>
        </w:rPr>
        <w:t>да осигури финансиране от Европейския съюз в подкрепа на подобряването на предлагането и качеството на услугите, по-специално чрез програмата „Еразъм +“ и европейските структурни фондове и инвестиционни фондове;</w:t>
      </w:r>
    </w:p>
    <w:p>
      <w:pPr>
        <w:pStyle w:val="Bullet1"/>
        <w:rPr>
          <w:noProof/>
        </w:rPr>
      </w:pPr>
      <w:r>
        <w:rPr>
          <w:noProof/>
        </w:rPr>
        <w:t>да предложи преразглеждане на критерия, посочен в „Образование и обучение 2020“, и на целите от Барселона след консултации с държавите членки, както и евентуалното извършване на сравнителен анализ на образованието и грижите в ранна детска възраст в контекста на Европейския семестър и прилагането на стълба на социалните права.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2018/0127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ПРЕПОРЪКА НА СЪВЕТА</w:t>
      </w:r>
    </w:p>
    <w:p>
      <w:pPr>
        <w:pStyle w:val="Titreobjet"/>
        <w:rPr>
          <w:noProof/>
        </w:rPr>
      </w:pPr>
      <w:r>
        <w:rPr>
          <w:noProof/>
        </w:rPr>
        <w:t>за висококачествени системи за образование и грижи в ранна детска възраст</w:t>
      </w:r>
    </w:p>
    <w:p>
      <w:pPr>
        <w:pStyle w:val="Institutionquiagit"/>
        <w:spacing w:before="120"/>
        <w:rPr>
          <w:noProof/>
        </w:rPr>
      </w:pPr>
      <w:r>
        <w:rPr>
          <w:noProof/>
        </w:rPr>
        <w:t>СЪВЕТЪТ НА ЕВРОПЕЙСКИЯ СЪЮЗ,</w:t>
      </w:r>
    </w:p>
    <w:p>
      <w:pPr>
        <w:keepNext/>
        <w:rPr>
          <w:noProof/>
          <w:szCs w:val="24"/>
        </w:rPr>
      </w:pPr>
      <w:r>
        <w:rPr>
          <w:noProof/>
        </w:rPr>
        <w:t>като взе предвид Договора за функционирането на Европейския съюз, и по-специално член 165 от него,</w:t>
      </w:r>
    </w:p>
    <w:p>
      <w:pPr>
        <w:keepNext/>
        <w:rPr>
          <w:noProof/>
          <w:szCs w:val="24"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keepNext/>
        <w:rPr>
          <w:noProof/>
          <w:szCs w:val="24"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Съгласно 11-ия принцип на Европейския стълб на социалните права</w:t>
      </w:r>
      <w:r>
        <w:rPr>
          <w:rStyle w:val="FootnoteReference"/>
          <w:noProof/>
        </w:rPr>
        <w:footnoteReference w:id="44"/>
      </w:r>
      <w:r>
        <w:rPr>
          <w:noProof/>
        </w:rPr>
        <w:t xml:space="preserve"> всички деца имат право на достъпно ранно образование и грижи с добро качество. Това е в съответствие с Хартата на основните права на ЕС</w:t>
      </w:r>
      <w:r>
        <w:rPr>
          <w:rStyle w:val="FootnoteReference"/>
          <w:noProof/>
        </w:rPr>
        <w:footnoteReference w:id="45"/>
      </w:r>
      <w:r>
        <w:rPr>
          <w:noProof/>
        </w:rPr>
        <w:t>, в която образованието е признато за право, както и с цел 4.2 за устойчиво развитие на Организацията на обединените нации</w:t>
      </w:r>
      <w:r>
        <w:rPr>
          <w:rStyle w:val="FootnoteReference"/>
          <w:noProof/>
        </w:rPr>
        <w:footnoteReference w:id="46"/>
      </w:r>
      <w:r>
        <w:rPr>
          <w:noProof/>
        </w:rPr>
        <w:t>, според която до 2030 г. всички момичета и момчета трябва да имат достъп до качествени възможности за развитие и грижи в ранна детска възраст и предучилищно образование.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своето съобщение „Укрепване на европейската идентичност чрез образование и култура“</w:t>
      </w:r>
      <w:r>
        <w:rPr>
          <w:rStyle w:val="FootnoteReference"/>
          <w:noProof/>
        </w:rPr>
        <w:footnoteReference w:id="47"/>
      </w:r>
      <w:r>
        <w:rPr>
          <w:noProof/>
        </w:rPr>
        <w:t xml:space="preserve"> Комисията излага виждането си за европейско пространство за образование, като признава ролята на образованието и грижите в ранна детска възраст за поставянето на солидни основи за учене в училище и през целия живот. Съществената роля, която образованието и грижите в ранна детска възраст могат да играят за насърчаване на ученето, благополучието и развитието на всички деца, бе потвърдена и в заключенията на Съвета относно училищното развитие и върховите постижения в областта на преподаването</w:t>
      </w:r>
      <w:r>
        <w:rPr>
          <w:rStyle w:val="FootnoteReference"/>
          <w:noProof/>
        </w:rPr>
        <w:footnoteReference w:id="48"/>
      </w:r>
      <w:r>
        <w:rPr>
          <w:noProof/>
        </w:rPr>
        <w:t>, както и в предложението на Комисията</w:t>
      </w:r>
      <w:r>
        <w:rPr>
          <w:rStyle w:val="FootnoteReference"/>
          <w:noProof/>
        </w:rPr>
        <w:footnoteReference w:id="49"/>
      </w:r>
      <w:r>
        <w:rPr>
          <w:noProof/>
        </w:rPr>
        <w:t xml:space="preserve"> за препоръка на Съвета относно ключовите умения за учене през целия живот.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Както лицата, разработващи политики, така и изследователите отчитат, че децата изграждат основата и капацитета си за учене през целия живот именно в </w:t>
      </w:r>
      <w:r>
        <w:rPr>
          <w:noProof/>
        </w:rPr>
        <w:lastRenderedPageBreak/>
        <w:t>ранна детска възраст</w:t>
      </w:r>
      <w:r>
        <w:rPr>
          <w:rStyle w:val="FootnoteReference"/>
          <w:noProof/>
        </w:rPr>
        <w:footnoteReference w:id="50"/>
      </w:r>
      <w:r>
        <w:rPr>
          <w:noProof/>
        </w:rPr>
        <w:t>. Ученето е процес на надграждане; полагането на стабилна основа още в ранна детска възраст е предпоставка за развиването на по-високо ниво на компетенции и за успех в образованието и има съществено значение за здравето и благополучието на децата. Ето защо образованието и грижите в ранна детска възраст трябва да се разглеждат като основата на системите за образование и обучение и да бъдат неразделна част от образователния процес.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Участието в образование и грижи в ранна детска възраст е от полза за всички деца и особено за децата в неравностойно положение. То помага да се предотврати появата на пропуски в уменията в ранна детска възраст и представлява важен инструмент за борба с неравенството и бедността в сферата на образованието. Осигуряването на образование и грижи в ранна детска възраст трябва да бъде част от интегриран пакет от политики и мерки, основани на правата на децата, чиято цел е да се подобрят резултатите за децата и да се прекрати порочният кръг на предаване на неравностойното положение между поколенията. Следователно по-доброто предоставяне на такива услуги допринася за изпълнение на ангажиментите, поети в препоръката на Комисията „Инвестициите в децата — изход от порочния кръг на неравностойното положение“</w:t>
      </w:r>
      <w:r>
        <w:rPr>
          <w:rStyle w:val="FootnoteReference"/>
          <w:noProof/>
        </w:rPr>
        <w:footnoteReference w:id="51"/>
      </w:r>
      <w:r>
        <w:rPr>
          <w:noProof/>
        </w:rPr>
        <w:t xml:space="preserve"> и Препоръката на Съвета от 2013 г. относно ефективни мерки за интегриране на ромите в държавите членки</w:t>
      </w:r>
      <w:r>
        <w:rPr>
          <w:rStyle w:val="FootnoteReference"/>
          <w:noProof/>
        </w:rPr>
        <w:footnoteReference w:id="5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Участието в образование и грижи в ранна детска възраст има множество предимства</w:t>
      </w:r>
      <w:r>
        <w:rPr>
          <w:rStyle w:val="FootnoteReference"/>
          <w:noProof/>
        </w:rPr>
        <w:footnoteReference w:id="53"/>
      </w:r>
      <w:r>
        <w:rPr>
          <w:noProof/>
        </w:rPr>
        <w:t xml:space="preserve"> както за отделните хора, така и за обществото като цяло – от по-добри постижения в училище и по-добра реализация на пазара на труда до по-малко социални и образователни интервенции и по-сплотени и приобщаващи общества. Деца, които са посещавали форми на образование в ранна детска възраст повече от една година, постигат по-високи резултати по математика на 15-годишна възраст в изследванията на PISA</w:t>
      </w:r>
      <w:r>
        <w:rPr>
          <w:rStyle w:val="FootnoteReference"/>
          <w:noProof/>
        </w:rPr>
        <w:footnoteReference w:id="54"/>
      </w:r>
      <w:r>
        <w:rPr>
          <w:noProof/>
        </w:rPr>
        <w:t>. Установено е също, че участието в качествено образование и грижи в ранна детска възраст е важен фактор за предотвратяване на преждевременното напускане на училище</w:t>
      </w:r>
      <w:r>
        <w:rPr>
          <w:rStyle w:val="FootnoteReference"/>
          <w:noProof/>
        </w:rPr>
        <w:footnoteReference w:id="55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Образованието от най-ранен етап играе съществена роля за това децата да се научат да живеят заедно в разнородни общества. Детските заведения могат да укрепят социалното сближаване и приобщаване по много начини. Те могат да </w:t>
      </w:r>
      <w:r>
        <w:rPr>
          <w:noProof/>
        </w:rPr>
        <w:lastRenderedPageBreak/>
        <w:t>служат като място за среща на семействата. Могат също да допринесат за развиване на езиковите умения на децата както на езика, който се говори в детското заведение, така и на майчиния език. Чрез развиването на социални и емоционални умения образованието и грижите в ранна детска възраст могат да дадат възможност на децата да се научат как да проявяват съчувствие към другите, както и да се запознаят със своите права и да разберат смисъла на понятия като равенство, толерантност и многообразие.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Възвръщаемостта на инвестициите в ранните етапи на образование е най-висока сред всички образователни степени, особено за деца в неравностойно положение</w:t>
      </w:r>
      <w:r>
        <w:rPr>
          <w:rStyle w:val="FootnoteReference"/>
          <w:noProof/>
        </w:rPr>
        <w:footnoteReference w:id="56"/>
      </w:r>
      <w:r>
        <w:rPr>
          <w:noProof/>
        </w:rPr>
        <w:t xml:space="preserve">. Разходите за образование и грижи в ранна детска възраст са своевременни инвестиции в човешки капитал с висока възвращаемост. 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Наличието и достъпността на висококачествени детски заведения на приемлива цена са и сред ключовите фактори, които дават възможност на жените, а също и на мъжете, които се грижат за малки деца, да участват на пазара на труда. Този факт бе отчетен по време на Европейския съвет в Барселона през 2002 г. и се признава в Европейския пакт за равенство между половете</w:t>
      </w:r>
      <w:r>
        <w:rPr>
          <w:rStyle w:val="FootnoteReference"/>
          <w:noProof/>
        </w:rPr>
        <w:footnoteReference w:id="57"/>
      </w:r>
      <w:r>
        <w:rPr>
          <w:noProof/>
        </w:rPr>
        <w:t>, както и в съобщението на Комисията относно равновесието между професионалния и личния живот, прието на 26 април 2017 г.</w:t>
      </w:r>
      <w:r>
        <w:rPr>
          <w:rStyle w:val="FootnoteReference"/>
          <w:noProof/>
        </w:rPr>
        <w:footnoteReference w:id="58"/>
      </w:r>
      <w:r>
        <w:rPr>
          <w:noProof/>
        </w:rPr>
        <w:t xml:space="preserve"> Заетостта на жените допринася пряко за подобряване на социално-икономическото положение на домакинствата и за икономическия растеж.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Инвестициите в образование и грижи в ранна детска възраст са добри инвестиции само ако услугите са с високо качество, достъпни, приобщаващи и на приемлива цена. Данните сочат, че само висококачествените услуги за образование и грижи в ранна детска възраст носят ползи, докато услугите с ниско качество имат значително отрицателно влияние върху децата и върху обществото като цяло</w:t>
      </w:r>
      <w:r>
        <w:rPr>
          <w:rStyle w:val="FootnoteReference"/>
          <w:noProof/>
        </w:rPr>
        <w:footnoteReference w:id="59"/>
      </w:r>
      <w:r>
        <w:rPr>
          <w:noProof/>
        </w:rPr>
        <w:t>. Съображенията, свързани с качеството, трябва да имат приоритет при разработването на политики и мерки и при провеждането на реформи.</w:t>
      </w:r>
    </w:p>
    <w:p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Като цяло държавите членки изразходват значително по-малко средства за образование и грижи в ранна детска възраст, отколкото за начално образование. Както става ясно от доклада за оценка на напредъка по изпълнението на целите от Барселона</w:t>
      </w:r>
      <w:r>
        <w:rPr>
          <w:rStyle w:val="FootnoteReference"/>
          <w:noProof/>
        </w:rPr>
        <w:footnoteReference w:id="60"/>
      </w:r>
      <w:r>
        <w:rPr>
          <w:noProof/>
        </w:rPr>
        <w:t xml:space="preserve">, понастоящем местата в заведенията, предлагащи образование и </w:t>
      </w:r>
      <w:r>
        <w:rPr>
          <w:noProof/>
        </w:rPr>
        <w:lastRenderedPageBreak/>
        <w:t>грижи в ранна детска възраст, са недостатъчни, а търсенето надхвърля предлагането в почти всички страни. Недостигът на места, ограниченият достъп и високата цена са една от основните пречки пред ползването на тези услуги</w:t>
      </w:r>
      <w:r>
        <w:rPr>
          <w:rStyle w:val="FootnoteReference"/>
          <w:noProof/>
        </w:rPr>
        <w:footnoteReference w:id="61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>В своята резолюция от 14 септември 2017 г. относно нова европейска програма за умения</w:t>
      </w:r>
      <w:r>
        <w:rPr>
          <w:rStyle w:val="FootnoteReference"/>
          <w:noProof/>
        </w:rPr>
        <w:footnoteReference w:id="62"/>
      </w:r>
      <w:r>
        <w:rPr>
          <w:noProof/>
        </w:rPr>
        <w:t xml:space="preserve"> Европейският парламент призовава държавите членки да подобрят качеството и да разширят достъпа до образование и грижи в ранна детска възраст, да преодолеят липсата на достатъчна инфраструктура, която да предлага качествени и достъпни грижи за деца за всички равнища на доходи, както и да разгледат възможността за предоставяне на безплатен достъп за семействата, живеещи в условия на бедност и социално изключване;</w:t>
      </w:r>
    </w:p>
    <w:p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Услугите за образование и грижи в ранна детска възраст трябва да са насочени към детето; децата учат най-добре в среда, която разчита на участието на децата и интереса им към ученето. Организацията, изборът на дейности и предметите, които ще бъдат изучавани, често се избират във взаимодействие между възпитателите и децата. Детските заведения трябва да предлагат безопасна, грижовна и насърчаваща среда и да осигуряват социално, културно и физическо пространство с редица възможности за развитие на потенциала на децата. Предлаганите услуги се организират най-добре, когато се изхожда от разбирането, че образованието и грижите са неделими.</w:t>
      </w:r>
    </w:p>
    <w:p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 xml:space="preserve">В един контекст, който се определя от национални, регионални или местни разпоредби, семействата трябва да участват във всички аспекти на образованието и грижите за децата си. Семейството е първата и най-важната среда, в която децата растат и се развиват, а родителите и настойниците са тези, които носят отговорност за благосъстоянието, здравето и развитието на всяко дете. Заведенията, предлагащи образование и грижи в ранна детска възраст, осигуряват идеална възможност за установяване на интегриран подход, тъй като създават условия за първи личен контакт с родителите. На родителите, които срещат проблеми, могат да бъдат предложени индивидуални консултации по време на домашни посещения. За да се превърне участието на родителите в реалност, услугите за образование и грижи в ранна детска възраст трябва да </w:t>
      </w:r>
      <w:r>
        <w:rPr>
          <w:noProof/>
        </w:rPr>
        <w:lastRenderedPageBreak/>
        <w:t>бъдат разработени в партньорство със семействата и да се основават на доверие и взаимно уважение</w:t>
      </w:r>
      <w:r>
        <w:rPr>
          <w:rStyle w:val="FootnoteReference"/>
          <w:noProof/>
        </w:rPr>
        <w:footnoteReference w:id="63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(14)</w:t>
      </w:r>
      <w:r>
        <w:tab/>
      </w:r>
      <w:r>
        <w:rPr>
          <w:noProof/>
        </w:rPr>
        <w:t xml:space="preserve">Участието в образование и грижи в ранна детска възраст може да бъде ефективен инструмент за постигане на равнопоставеност в образованието за деца в неравностойно положение като някои деца от мигрантски или малцинствен етнически произход (например роми), деца бежанци, деца със специални потребности или с увреждания, деца, отглеждани във форми на алтернативни грижи, и бездомни деца, деца, чиито родители са лишени от свобода, както и деца от домакинства, които са изложени на особено голям риск от бедност и социално изключване, например от семействата с един родител или от големи домакинства. Децата бежанци се нуждаят от засилена подкрепа поради уязвимото си положение. Бедността, физическият и емоционалният стрес, травмите и липсващите езикови умения могат да попречат на бъдещите им перспективи за образование и успешната им интеграция в едно ново общество. Участието в образование и грижи в ранна детска възраст може да помогне за смекчаване на тези рискови фактори. </w:t>
      </w:r>
    </w:p>
    <w:p>
      <w:pPr>
        <w:pStyle w:val="ManualConsidrant"/>
        <w:rPr>
          <w:noProof/>
        </w:rPr>
      </w:pPr>
      <w:r>
        <w:t>(15)</w:t>
      </w:r>
      <w:r>
        <w:tab/>
      </w:r>
      <w:r>
        <w:rPr>
          <w:noProof/>
        </w:rPr>
        <w:t>Осигуряването на приобщаващо образование и грижи в ранна детска възраст може да допринесе за изпълнение на ангажиментите, поети от държавите членки по силата на конвенциите на ООН за правата на детето</w:t>
      </w:r>
      <w:r>
        <w:rPr>
          <w:rStyle w:val="FootnoteReference"/>
          <w:noProof/>
        </w:rPr>
        <w:footnoteReference w:id="64"/>
      </w:r>
      <w:r>
        <w:rPr>
          <w:noProof/>
        </w:rPr>
        <w:t xml:space="preserve"> и за правата на хората с увреждания</w:t>
      </w:r>
      <w:r>
        <w:rPr>
          <w:rStyle w:val="FootnoteReference"/>
          <w:noProof/>
        </w:rPr>
        <w:footnoteReference w:id="65"/>
      </w:r>
      <w:r>
        <w:rPr>
          <w:noProof/>
        </w:rPr>
        <w:t>, подписани от всички държави членки.</w:t>
      </w:r>
    </w:p>
    <w:p>
      <w:pPr>
        <w:pStyle w:val="ManualConsidrant"/>
        <w:rPr>
          <w:noProof/>
        </w:rPr>
      </w:pPr>
      <w:r>
        <w:t>(16)</w:t>
      </w:r>
      <w:r>
        <w:tab/>
      </w:r>
      <w:r>
        <w:rPr>
          <w:noProof/>
        </w:rPr>
        <w:t>Публикуваното през 2014 г. предложение за ключови принципи на рамката за качество</w:t>
      </w:r>
      <w:r>
        <w:rPr>
          <w:rStyle w:val="FootnoteReference"/>
          <w:noProof/>
        </w:rPr>
        <w:footnoteReference w:id="66"/>
      </w:r>
      <w:r>
        <w:rPr>
          <w:noProof/>
        </w:rPr>
        <w:t xml:space="preserve"> бе първото становище на европейски експерти от 25 държави относно качеството на образованието и грижите в ранна детска възраст. Изложените в него позиции се основават на пет измерения: достъп; работна сила; учебна програма; наблюдение и оценка; и управление и финансиране. Бяха формулирани общо десет позиции, отнасящи се до повишаването на качеството на образованието и грижите в ранна детска възраст. Документът бе разпространен в много държави от местни заинтересовани страни, ангажирани с инициативи за отстояване на политики, научни изследвания и обучение. В тези страни проектът за рамка изигра ролята на мощен катализатор на промяна, подпомагайки процесите на консултация относно политиката, които послужиха като основа на съществуващите процеси на реформи.</w:t>
      </w:r>
    </w:p>
    <w:p>
      <w:pPr>
        <w:pStyle w:val="ManualConsidrant"/>
        <w:rPr>
          <w:noProof/>
        </w:rPr>
      </w:pPr>
      <w:r>
        <w:lastRenderedPageBreak/>
        <w:t>(17)</w:t>
      </w:r>
      <w:r>
        <w:tab/>
      </w:r>
      <w:r>
        <w:rPr>
          <w:noProof/>
        </w:rPr>
        <w:t>И петте измерения на рамката за качество са от съществено значение за гарантиране на висококачествени услуги. Работата на професионалистите в областта на образованието и грижите в ранна детска възраст оказва особено дълготраен ефект върху живота на децата. Въпреки това в много страни тази професия не се смята за престижна и има доста нисък статут</w:t>
      </w:r>
      <w:r>
        <w:rPr>
          <w:rStyle w:val="FootnoteReference"/>
          <w:noProof/>
        </w:rPr>
        <w:footnoteReference w:id="67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(18)</w:t>
      </w:r>
      <w:r>
        <w:tab/>
      </w:r>
      <w:r>
        <w:rPr>
          <w:noProof/>
        </w:rPr>
        <w:t>За да изпълнят професионалната си роля в подпомагането на децата и техните семейства, работещите в сферата на образованието и грижите в ранна детска възраст трябва да притежават комплексни знания и умения, както и задълбочено разбиране за развитието на детето. Професионализацията на персонала е от ключово значение, тъй като по-високото равнище на подготовка несъмнено води до по-качествена услуга, по-високо качество на взаимодействието между персонала и децата, а оттам и до по-добри резултати в развитието на децата</w:t>
      </w:r>
      <w:r>
        <w:rPr>
          <w:rStyle w:val="FootnoteReference"/>
          <w:noProof/>
        </w:rPr>
        <w:footnoteReference w:id="68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(19)</w:t>
      </w:r>
      <w:r>
        <w:tab/>
      </w:r>
      <w:r>
        <w:rPr>
          <w:noProof/>
        </w:rPr>
        <w:t>Много доставчици на услуги работят с помощници, чиято основна роля е да подпомагат възпитателите, работещи пряко с децата и семействата. Те обикновено притежават по-ниска квалификация от възпитателите и в много държави няма никакви изисквания за тяхната професионална подготовка. Поради това е необходима професионализация на персонала, включително на помощниците</w:t>
      </w:r>
      <w:r>
        <w:rPr>
          <w:rStyle w:val="FootnoteReference"/>
          <w:noProof/>
        </w:rPr>
        <w:footnoteReference w:id="69"/>
      </w:r>
      <w:r>
        <w:rPr>
          <w:noProof/>
        </w:rPr>
        <w:t>. Продължаващото професионално развитие е неразделна част от повишаването на компетенциите на помощниците.</w:t>
      </w:r>
    </w:p>
    <w:p>
      <w:pPr>
        <w:pStyle w:val="ManualConsidrant"/>
        <w:rPr>
          <w:noProof/>
        </w:rPr>
      </w:pPr>
      <w:r>
        <w:t>(20)</w:t>
      </w:r>
      <w:r>
        <w:tab/>
      </w:r>
      <w:r>
        <w:rPr>
          <w:noProof/>
        </w:rPr>
        <w:t>Една рамка за качество или равностоен документ може да бъде ефективна съставна част от доброто управление в образованието и грижите в ранна детска възраст. По мнение на експерти и според неотдавнашен преглед на политиките</w:t>
      </w:r>
      <w:r>
        <w:rPr>
          <w:rStyle w:val="FootnoteReference"/>
          <w:noProof/>
        </w:rPr>
        <w:footnoteReference w:id="70"/>
      </w:r>
      <w:r>
        <w:rPr>
          <w:noProof/>
        </w:rPr>
        <w:t xml:space="preserve"> държавите, които разработват и прилагат рамки за качество, имат по-всеобхватен и по-последователен подход към реформите.</w:t>
      </w:r>
    </w:p>
    <w:p>
      <w:pPr>
        <w:pStyle w:val="ManualConsidrant"/>
        <w:rPr>
          <w:noProof/>
        </w:rPr>
      </w:pPr>
      <w:r>
        <w:t>(21)</w:t>
      </w:r>
      <w:r>
        <w:tab/>
      </w:r>
      <w:r>
        <w:rPr>
          <w:noProof/>
        </w:rPr>
        <w:t>Държавите членки са определили критерии и цели за участието на децата в образование и грижи в ранна детска възраст. През 2002 г., Европейският съвет в Барселона определи цели</w:t>
      </w:r>
      <w:r>
        <w:rPr>
          <w:rStyle w:val="FootnoteReference"/>
          <w:noProof/>
        </w:rPr>
        <w:footnoteReference w:id="71"/>
      </w:r>
      <w:r>
        <w:rPr>
          <w:noProof/>
        </w:rPr>
        <w:t xml:space="preserve"> за предоставянето на официални грижи в ранна детска възраст, според които до 2010 г. най-малко 90 % от децата в Съюза между тригодишна възраст и задължителната възраст за започване на училище и най-</w:t>
      </w:r>
      <w:r>
        <w:rPr>
          <w:noProof/>
        </w:rPr>
        <w:lastRenderedPageBreak/>
        <w:t>малко 33 % от децата на възраст под три години трябва да имат достъп до такива услуги. Тези цели бяха потвърдени в Европейския пакт за равенство между половете за периода 2011—2020 г. Анализ на напредъка в изпълнението на тези критерии е представен подробно в доклада на Комисията относно целите от Барселона</w:t>
      </w:r>
      <w:r>
        <w:rPr>
          <w:rStyle w:val="FootnoteReference"/>
          <w:noProof/>
        </w:rPr>
        <w:footnoteReference w:id="72"/>
      </w:r>
      <w:r>
        <w:rPr>
          <w:noProof/>
        </w:rPr>
        <w:t>. Критерият, залегнал в Стратегическата рамка за европейско сътрудничество в областта на образованието и обучението,</w:t>
      </w:r>
      <w:r>
        <w:rPr>
          <w:rStyle w:val="FootnoteReference"/>
          <w:noProof/>
        </w:rPr>
        <w:footnoteReference w:id="73"/>
      </w:r>
      <w:r>
        <w:rPr>
          <w:noProof/>
        </w:rPr>
        <w:t xml:space="preserve"> е 95-процентно участие на децата между четиригодишна възраст и възрастта за започване на начално училище. </w:t>
      </w:r>
    </w:p>
    <w:p>
      <w:pPr>
        <w:pStyle w:val="ManualConsidrant"/>
        <w:rPr>
          <w:noProof/>
        </w:rPr>
      </w:pPr>
      <w:r>
        <w:t>(22)</w:t>
      </w:r>
      <w:r>
        <w:tab/>
      </w:r>
      <w:r>
        <w:rPr>
          <w:noProof/>
        </w:rPr>
        <w:t>През последните години държавите членки като цяло са постигнали добър напредък в подобряването на наличието на услуги за образование и грижи в ранна детска възраст. Критерият по „Образование и обучение 2020“ и целта от Барселона за деца под 3-годишна възраст са постигнати. Целта от Барселона за деца от 3-годишна възраст до навършване на задължителната възраст за започване на училище все още не е реализирана въпреки постигнатия напредък от 2011 г. насам. През 2016 г. 86,3 % от децата в тази възрастова група са участвали във форми на образование и грижи в ранна детска възраст. Тези средни стойности обаче крият значителни различия между отделните държави членки, региони и социални групи</w:t>
      </w:r>
      <w:r>
        <w:rPr>
          <w:rStyle w:val="FootnoteReference"/>
          <w:noProof/>
        </w:rPr>
        <w:footnoteReference w:id="74"/>
      </w:r>
      <w:r>
        <w:rPr>
          <w:noProof/>
        </w:rPr>
        <w:t>. Необходими са допълнителни усилия, за да се гарантира, че всички деца ще имат достъп до висококачествено образование и грижи в ранна детска възраст от момента, в който родителите решат. По-специално, необходими са конкретни мерки за осигуряване на по-голям достъп за децата в неравностойно положение</w:t>
      </w:r>
      <w:r>
        <w:rPr>
          <w:rStyle w:val="FootnoteReference"/>
          <w:noProof/>
        </w:rPr>
        <w:footnoteReference w:id="75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(23)</w:t>
      </w:r>
      <w:r>
        <w:tab/>
      </w:r>
      <w:r>
        <w:rPr>
          <w:noProof/>
        </w:rPr>
        <w:t>Целта на настоящата препоръка е да се установи общоевропейско разбиране за качество на образованието и грижите в ранна детска възраст. В нея се набелязват възможните действия, които правителствата могат да разгледат за предприемане в зависимост от конкретните обстоятелства във всяка държава. Препоръката е насочена и към родители, институции и организации, включително социални партньори и организации на гражданското общество, които полагат усилия за подобряване на сектора.</w:t>
      </w:r>
    </w:p>
    <w:p>
      <w:pPr>
        <w:pStyle w:val="ManualConsidrant"/>
        <w:rPr>
          <w:noProof/>
        </w:rPr>
      </w:pPr>
      <w:r>
        <w:lastRenderedPageBreak/>
        <w:t>(24)</w:t>
      </w:r>
      <w:r>
        <w:tab/>
      </w:r>
      <w:r>
        <w:rPr>
          <w:noProof/>
        </w:rPr>
        <w:t>В настоящата препоръка</w:t>
      </w:r>
      <w:r>
        <w:rPr>
          <w:rStyle w:val="FootnoteReference"/>
          <w:noProof/>
        </w:rPr>
        <w:footnoteReference w:id="76"/>
      </w:r>
      <w:r>
        <w:rPr>
          <w:noProof/>
        </w:rPr>
        <w:t xml:space="preserve"> под образование и грижи в ранна детска възраст се разбира всяка регулирана мярка, чрез която се предоставят образование и грижи за деца от раждането до задължителната възраст за започване на начално училище, независимо от обстановката, финансирането, работното време или съдържанието на програмата, като се включват дневните грижи в център или в семейна среда; услугите по предоставяне на грижи, които са субсидирани с публични или частни средства; детската градина и предучилищното образование. </w:t>
      </w:r>
    </w:p>
    <w:p>
      <w:pPr>
        <w:pStyle w:val="ManualConsidrant"/>
        <w:rPr>
          <w:noProof/>
        </w:rPr>
      </w:pPr>
      <w:r>
        <w:t>(25)</w:t>
      </w:r>
      <w:r>
        <w:tab/>
      </w:r>
      <w:r>
        <w:rPr>
          <w:noProof/>
        </w:rPr>
        <w:t>Настоящата препоръка е в пълно съответствие с принципите на субсидиарност и на пропорционалност.</w:t>
      </w:r>
    </w:p>
    <w:p>
      <w:pPr>
        <w:pStyle w:val="Formuledadoption"/>
        <w:rPr>
          <w:noProof/>
        </w:rPr>
      </w:pPr>
      <w:r>
        <w:rPr>
          <w:noProof/>
        </w:rPr>
        <w:t xml:space="preserve">ПРЕПОРЪЧВА НА ДЪРЖАВИТЕ ЧЛЕНКИ: </w:t>
      </w:r>
    </w:p>
    <w:p>
      <w:pPr>
        <w:rPr>
          <w:i/>
          <w:noProof/>
          <w:szCs w:val="24"/>
        </w:rPr>
      </w:pPr>
    </w:p>
    <w:p>
      <w:pPr>
        <w:rPr>
          <w:i/>
          <w:noProof/>
          <w:szCs w:val="24"/>
        </w:rPr>
      </w:pPr>
      <w:r>
        <w:rPr>
          <w:i/>
          <w:noProof/>
        </w:rPr>
        <w:t>В съответствие с националното и европейското законодателство, наличните ресурси и националния контекст и в тясно сътрудничество с всички заитересовани страни:</w:t>
      </w:r>
    </w:p>
    <w:p>
      <w:pPr>
        <w:rPr>
          <w:noProof/>
          <w:szCs w:val="24"/>
        </w:rPr>
      </w:pP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Да подобрят достъпа до висококачествени системи за образование и грижи в ранна детска възраст в съответствие с позициите, изразени в Рамката за качество на образованието и грижите в ранна детска възраст, представена в приложението към настоящата препоръка, и с 11-ия принцип на Европейския стълб на социалните права;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Да се стремят да гарантират, че услугите за образование и грижи в ранна детска възраст са достъпни, приобщаващи и на приемлива цена. Би могло да се помисли също за: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анализ на предлагането и търсенето от страна на семействата с цел по-добро адаптиране на предлагането на услуги за образование и грижи в ранна детска възраст към техните потребности, като се уважава изборът на родителите;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анализ и справяне с всички пречки, пред които могат да бъдат изправени семействата, като например разходи, пречки, свързани с бедността, географското положение, неудобното работно време на детските заведения, културните и езиковите бариери, дискриминацията, както и липсата на информация;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установяване на контакт с всички семейства, и особено със семействата в неравностойно положение, с цел те да бъдат информирани за ползите от образованието и грижите в ранна детска възраст и да се изгради доверие в детските заведения; 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предприемане на мерки, с които да се гарантира, че всички деца ще имат достъп до образование и грижи в ранна детска възраст на приемлива цена и с добро качество, като в идеалния случай се работи с управленските структури на съответното ниво за гарантиране на правото на качествено образование и грижи в ранна детска възраст;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осигуряване на приобщаващи услуги за образование и грижи в ранна детска възраст за всички деца, включително за деца с различен произход, </w:t>
      </w:r>
      <w:r>
        <w:rPr>
          <w:noProof/>
        </w:rPr>
        <w:lastRenderedPageBreak/>
        <w:t>специални образователни потребности или увреждания, избягване на сегрегацията и стимулиране на тяхното участие, независимо от ситуацията на техните родители или на лицата, които се грижат за тях, на пазара на труда;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подпомагане на всички деца в усвояването на езика, на който се осъществява обучението, като същевременно се уважава и цени майчиният език на децата;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Да подкрепят професионализацията на лицата, заети в сферата на образованието и грижите в ранна детска възраст. В зависимост от съществуващото равнище на професионална квалификация и условията на труд успешните усилия могат да включват: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издигане на професионалния авторитет на лицата, заети в сферата на образованието и грижите в ранна детска възраст, чрез установяване на професионални стандарти, приравняване на квалификационните изисквания, професионалния статут и перспективите за кариерно развитие на възпитателите, предоставящи образование и грижи в ранна детска възраст, към тези на началните учители и създаване на възможности за професионализация на персонала с ниска квалификация или без квалификация, както и специфични възможности за квалификация на помощниците;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подобряване на първоначалното образование и продължаващото професионално развитие при отчитане в пълна степен на потребностите на децата, свързани с тяхното благосъстояние, учене и развитие, и на съответните тенденции в развитието на обществото, както и при пълно разбиране на правата на детето;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осигуряване на време на персонала за професионални дейности като обмисляне, планиране, работа с родителите и сътрудничество с други професионалисти и колеги;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целенасочено развитие на компетенции у персонала за удовлетворяване на индивидуалните нужди на деца с различен произход или със специални образователни потребности или увреждане, подготовка на персонала за работа с разнородни групи.</w:t>
      </w:r>
    </w:p>
    <w:p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>Да стимулират разработването на програми за обучение в ранна детска възраст, които да отговарят на благосъстоянието и образователните потребности на децата. Подходите за насърчаване на разработването на учебни програми и на социалните, емоционалните и езиковите компетенции на децата, както и на техните умения за учене, могат да включват: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балансирано развитие на социалните и емоционалните компетенции, благоденствието и уменията за учене на децата, отчитане на значението на играта, контакта с природата, ролята на музиката, изкуството и физическата активност;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насърчаване на съпричастност и състрадание, както и на разбиране на понятия като равенство и многообразие;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създаване на възможности за ранно езиково обучение и учене чрез игрови дейности и евентуално въвеждане на двуезични програми за образование в ранна детска възраст;</w:t>
      </w:r>
    </w:p>
    <w:p>
      <w:pPr>
        <w:pStyle w:val="Point1"/>
        <w:rPr>
          <w:noProof/>
        </w:rPr>
      </w:pPr>
      <w:r>
        <w:rPr>
          <w:noProof/>
        </w:rPr>
        <w:lastRenderedPageBreak/>
        <w:t>г)</w:t>
      </w:r>
      <w:r>
        <w:rPr>
          <w:noProof/>
        </w:rPr>
        <w:tab/>
        <w:t>предоставяне на насоки на доставчиците на услуги относно подходящото за възрастта използване на цифрови приложения и нови технологии;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насърчаване на по-нататъшната интеграция на образованието и грижите в ранна детска възраст в образователния процес и стимулиране на сътрудничество между лицата, заети в образованието и грижите в ранна детска възраст, и работещите в началното училище, за да се осигури плавен преход на децата към началното образование.</w:t>
      </w:r>
    </w:p>
    <w:p>
      <w:pPr>
        <w:pStyle w:val="ManualNumPar1"/>
        <w:rPr>
          <w:noProof/>
        </w:rPr>
      </w:pPr>
      <w:r>
        <w:t>5.</w:t>
      </w:r>
      <w:r>
        <w:tab/>
      </w:r>
      <w:r>
        <w:rPr>
          <w:noProof/>
        </w:rPr>
        <w:t>Да насърчат прозрачно и последователно наблюдение и оценка на услугите за образование и грижи в ранна детска възраст на всички нива с оглед на разработването на политики. Ефективните подходи биха могли да включват: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използване на инструменти за самооценка, въпросници, насоки за наблюдение като част от управлението на качеството на системно равнище и в рамките на всяко детско заведение;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прилагане на адекватни и подходящи за възрастта методи за насърчаване на участието на децата, за зачитане на тяхното мнение, тревоги и идеи и за вземането им предвид в процеса на оценяване;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прилагане на съществуващи инструменти за подобряване на степента на приобщаване в образованието и грижите в ранна детска възраст, като Инструмента за самоанализ на средата за приобщаващо образование в ранна детска възраст, разработен от Европейската агенция за специални образователни потребности и приобщаващо образование. </w:t>
      </w:r>
    </w:p>
    <w:p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>Да се стремят да осигурят адекватно финансиране и подходяща правна рамка за предоставянето на услуги за образование и грижи в ранна детска възраст. Би могло да се помисли също за: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увеличаване на инвестициите в образование и грижи в ранна детска възраст с акцент върху по-голямото предлагане, качеството и финансовата достъпност, включително чрез използване на възможностите за финансиране, предлагани от европейските структурни и инвестиционни фондове;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създаване и поддържане на адаптирани национални или регионални рамки за качество;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насърчаване на по-нататъшната интеграция на услугите за семейства и деца, най-вече със социалните и здравните услуги;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въвеждане на твърди политики за закрила на детето/опазване на здравето на детето в системата за образование и грижи в ранна детска възраст, за да се помогне за защитата на децата от всякакви форми на насилие; </w:t>
      </w:r>
    </w:p>
    <w:p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>Да докладват посредством действащите рамки и инструменти за натрупания опит и напредъка във връзка с достъпа до системите за образование и грижи в ранна детска възраст и тяхното качество.</w:t>
      </w:r>
    </w:p>
    <w:p>
      <w:pPr>
        <w:ind w:left="850" w:hanging="850"/>
        <w:rPr>
          <w:noProof/>
        </w:rPr>
      </w:pPr>
      <w:r>
        <w:rPr>
          <w:noProof/>
        </w:rPr>
        <w:t>ПРИВЕТСТВА НАМЕРЕНИЕТО НА КОМИСИЯТА:</w:t>
      </w:r>
    </w:p>
    <w:p>
      <w:pPr>
        <w:pStyle w:val="ManualNumPar1"/>
        <w:rPr>
          <w:noProof/>
        </w:rPr>
      </w:pPr>
      <w:r>
        <w:t>8.</w:t>
      </w:r>
      <w:r>
        <w:tab/>
      </w:r>
      <w:r>
        <w:rPr>
          <w:noProof/>
        </w:rPr>
        <w:t>Да улесни обмена на опит и добри практики между държавите членки в контекста на стратегическата рамка за сътрудничество в областта на образованието и обучението и на последващи схеми, както и в рамките на Комитета за социална закрила.</w:t>
      </w:r>
    </w:p>
    <w:p>
      <w:pPr>
        <w:pStyle w:val="ManualNumPar1"/>
        <w:rPr>
          <w:noProof/>
        </w:rPr>
      </w:pPr>
      <w:r>
        <w:lastRenderedPageBreak/>
        <w:t>9.</w:t>
      </w:r>
      <w:r>
        <w:tab/>
      </w:r>
      <w:r>
        <w:rPr>
          <w:noProof/>
        </w:rPr>
        <w:t>Да подкрепи сътрудничеството между държавите членки въз основа на техните нужди чрез организиране на партньорски обучения и консултации.</w:t>
      </w:r>
    </w:p>
    <w:p>
      <w:pPr>
        <w:pStyle w:val="ManualNumPar1"/>
        <w:rPr>
          <w:noProof/>
        </w:rPr>
      </w:pPr>
      <w:r>
        <w:t>10.</w:t>
      </w:r>
      <w:r>
        <w:tab/>
      </w:r>
      <w:r>
        <w:rPr>
          <w:noProof/>
        </w:rPr>
        <w:t>Да подкрепи разработването на висококачествени услуги за образование и грижи в ранна детска възраст чрез предоставяне на финансиране от ЕС, особено в рамките на програмата „Еразъм +“ и на европейските структурни и инвестиционни фондове, включително Interreg, без да се засягат преговорите за следващата многогодишна финансова рамка.</w:t>
      </w:r>
    </w:p>
    <w:p>
      <w:pPr>
        <w:pStyle w:val="ManualNumPar1"/>
        <w:rPr>
          <w:noProof/>
        </w:rPr>
      </w:pPr>
      <w:r>
        <w:t>11.</w:t>
      </w:r>
      <w:r>
        <w:tab/>
      </w:r>
      <w:r>
        <w:rPr>
          <w:noProof/>
        </w:rPr>
        <w:t>Да предложи актуализирани европейски критерии или цели относно образованието и грижите в ранна детска възраст, насочени към предоставянето на услуги, които да отговарят на критерия от стратегическата рамка „Образование и обучение 2020“ и целите от Барселона след евентуалното им преразглеждане след консултации с държавите членки.</w:t>
      </w:r>
    </w:p>
    <w:p>
      <w:pPr>
        <w:pStyle w:val="ManualNumPar1"/>
        <w:rPr>
          <w:noProof/>
        </w:rPr>
      </w:pPr>
      <w:r>
        <w:t>12.</w:t>
      </w:r>
      <w:r>
        <w:tab/>
      </w:r>
      <w:r>
        <w:rPr>
          <w:noProof/>
        </w:rPr>
        <w:t>Да докладва на Съвета за действията, предприети за изпълнението на препоръката, в съответствие с реда и условията за докладване на действащите рамки и инструменти.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spacing w:before="120" w:after="120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spacing w:before="120" w:after="120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244701" w15:done="0"/>
  <w15:commentEx w15:paraId="39912642" w15:done="0"/>
  <w15:commentEx w15:paraId="0992B651" w15:done="0"/>
  <w15:commentEx w15:paraId="20FF6C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„Ранни години“ в контекста на настоящата препоръка се отнася до първите шест години от живота.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Съвет на Европейския съюз (2017 г.), Междуинституционална прокламация относно Европейския стълб на социалните права </w:t>
      </w:r>
      <w:hyperlink r:id="rId1">
        <w:r>
          <w:rPr>
            <w:rStyle w:val="Hyperlink"/>
          </w:rPr>
          <w:t>http://data.consilium.europa.eu/doc/document/ST-13129-2017-INIT/bg/pdf</w:t>
        </w:r>
      </w:hyperlink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(2017 г.), „Укрепване на европейската идентичност чрез образование и култура — Приносът на Европейската комисия към срещата на лидерите в Гьотеборг, 17 ноември 2017 г.“, </w:t>
      </w:r>
      <w:hyperlink r:id="rId2">
        <w:r>
          <w:rPr>
            <w:rStyle w:val="Hyperlink"/>
          </w:rPr>
          <w:t>COM(2017) 673 final</w:t>
        </w:r>
      </w:hyperlink>
      <w:r>
        <w:rPr>
          <w:rStyle w:val="Hyperlink"/>
        </w:rPr>
        <w:t>.</w:t>
      </w:r>
      <w:hyperlink r:id="rId3"/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Под образование и грижи в ранна детска възраст се разбира всяка регулирана мярка, чрез която се предоставят образование и грижи за деца от раждането до задължителната възраст за започване на начално образование, независимо от обстановката, финансирането, работното време или съдържанието на програмата, като се включват дневните грижи в център или в семейна среда; услугите по предоставяне на грижи, които са субсидирани с публични или частни средства; детската градина и предучилищното образование.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Stringher, C. (2016), Assessment of learning to learn in early childhood: an Italian framework [Оценка на усвоените умения за учене в ранна детска възраст: един пример за рамка от Италия]. Italian Journal of Sociology of Education, 1/2016.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European Commission (2014), Study on the effective use of early childhood education and care in preventing early school leaving [Европейска комисия (2014 г.) Изследване на ефективното използване на образованието и грижите в ранна детска възраст за предотвратяване на преждевременното напускане на училище], </w:t>
      </w:r>
      <w:hyperlink r:id="rId4">
        <w:r>
          <w:rPr>
            <w:rStyle w:val="Hyperlink"/>
          </w:rPr>
          <w:t>https://publications.europa.eu/en/publication-detail/-/publication/7548dd37-c626-4e2d-bd70-625edf707adc/language-en</w:t>
        </w:r>
      </w:hyperlink>
      <w:r>
        <w:rPr>
          <w:rStyle w:val="Hyperlink"/>
        </w:rPr>
        <w:t>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OECD (2016), Low-performing students: why they fall behind and how to help them succeed [ОИСР (2016 г.), Ученици със слаби резултати: защо изостават и как да им се помогне да успеят]</w:t>
      </w:r>
      <w:hyperlink r:id="rId5">
        <w:r>
          <w:rPr>
            <w:rStyle w:val="Hyperlink"/>
          </w:rPr>
          <w:t>https://www.mecd.gob.es/dctm/inee/internacional/low-performers-ebook-final.pdf?documentId=0901e72b82011e68</w:t>
        </w:r>
      </w:hyperlink>
      <w:r>
        <w:rPr>
          <w:rStyle w:val="Hyperlink"/>
        </w:rPr>
        <w:t>.</w:t>
      </w:r>
      <w:r>
        <w:t xml:space="preserve"> </w:t>
      </w:r>
    </w:p>
  </w:footnote>
  <w:footnote w:id="8">
    <w:p>
      <w:pPr>
        <w:pStyle w:val="NoSpacing"/>
        <w:ind w:left="720" w:hanging="720"/>
        <w:rPr>
          <w:lang w:val="bg-BG"/>
        </w:rPr>
      </w:pPr>
      <w:r>
        <w:rPr>
          <w:rStyle w:val="FootnoteReference"/>
        </w:rPr>
        <w:footnoteRef/>
      </w:r>
      <w:r>
        <w:rPr>
          <w:lang w:val="bg-BG"/>
        </w:rPr>
        <w:tab/>
      </w:r>
      <w:r>
        <w:rPr>
          <w:sz w:val="20"/>
          <w:szCs w:val="20"/>
          <w:lang w:val="bg-BG"/>
        </w:rPr>
        <w:t xml:space="preserve">Според последните проучвания тези благоприятни последици се наблюдават още от 12-месечна възраст на децата: </w:t>
      </w:r>
      <w:r>
        <w:rPr>
          <w:sz w:val="20"/>
          <w:szCs w:val="20"/>
        </w:rPr>
        <w:t>Hurt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H</w:t>
      </w:r>
      <w:r>
        <w:rPr>
          <w:sz w:val="20"/>
          <w:szCs w:val="20"/>
          <w:lang w:val="bg-BG"/>
        </w:rPr>
        <w:t xml:space="preserve">. </w:t>
      </w:r>
      <w:r>
        <w:rPr>
          <w:sz w:val="20"/>
          <w:szCs w:val="20"/>
        </w:rPr>
        <w:t>and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Betancourt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M</w:t>
      </w:r>
      <w:r>
        <w:rPr>
          <w:sz w:val="20"/>
          <w:szCs w:val="20"/>
          <w:lang w:val="bg-BG"/>
        </w:rPr>
        <w:t xml:space="preserve">. (2017), </w:t>
      </w:r>
      <w:r>
        <w:rPr>
          <w:sz w:val="20"/>
          <w:szCs w:val="20"/>
        </w:rPr>
        <w:t>Turning</w:t>
      </w:r>
      <w:r>
        <w:rPr>
          <w:sz w:val="20"/>
          <w:szCs w:val="20"/>
          <w:lang w:val="bg-BG"/>
        </w:rPr>
        <w:t xml:space="preserve"> 1 </w:t>
      </w:r>
      <w:r>
        <w:rPr>
          <w:sz w:val="20"/>
          <w:szCs w:val="20"/>
        </w:rPr>
        <w:t>Year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of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Age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in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Low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Socioeconomic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Environment</w:t>
      </w:r>
      <w:r>
        <w:rPr>
          <w:sz w:val="20"/>
          <w:szCs w:val="20"/>
          <w:lang w:val="bg-BG"/>
        </w:rPr>
        <w:t xml:space="preserve">: </w:t>
      </w:r>
      <w:r>
        <w:rPr>
          <w:sz w:val="20"/>
          <w:szCs w:val="20"/>
        </w:rPr>
        <w:t>A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Portrait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of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Disadvantage</w:t>
      </w:r>
      <w:r>
        <w:rPr>
          <w:sz w:val="20"/>
          <w:szCs w:val="20"/>
          <w:lang w:val="bg-BG"/>
        </w:rPr>
        <w:t xml:space="preserve"> [Да навършиш 1 година в ниска социално-икономическа среда: портрет на неравнопоставеността], </w:t>
      </w:r>
      <w:r>
        <w:rPr>
          <w:sz w:val="20"/>
          <w:szCs w:val="20"/>
        </w:rPr>
        <w:t>Journal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of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Developmental</w:t>
      </w:r>
      <w:r>
        <w:rPr>
          <w:sz w:val="20"/>
          <w:szCs w:val="20"/>
          <w:lang w:val="bg-BG"/>
        </w:rPr>
        <w:t xml:space="preserve"> &amp; </w:t>
      </w:r>
      <w:r>
        <w:rPr>
          <w:sz w:val="20"/>
          <w:szCs w:val="20"/>
        </w:rPr>
        <w:t>Behavioral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Pediatrics</w:t>
      </w:r>
      <w:r>
        <w:rPr>
          <w:sz w:val="20"/>
          <w:szCs w:val="20"/>
          <w:lang w:val="bg-BG"/>
        </w:rPr>
        <w:t xml:space="preserve">: </w:t>
      </w:r>
      <w:r>
        <w:rPr>
          <w:sz w:val="20"/>
          <w:szCs w:val="20"/>
        </w:rPr>
        <w:t>Volume</w:t>
      </w:r>
      <w:r>
        <w:rPr>
          <w:sz w:val="20"/>
          <w:szCs w:val="20"/>
          <w:lang w:val="bg-BG"/>
        </w:rPr>
        <w:t xml:space="preserve"> 38 - </w:t>
      </w:r>
      <w:r>
        <w:rPr>
          <w:sz w:val="20"/>
          <w:szCs w:val="20"/>
        </w:rPr>
        <w:t>Issue</w:t>
      </w:r>
      <w:r>
        <w:rPr>
          <w:sz w:val="20"/>
          <w:szCs w:val="20"/>
          <w:lang w:val="bg-BG"/>
        </w:rPr>
        <w:t xml:space="preserve"> 7 – </w:t>
      </w:r>
      <w:r>
        <w:rPr>
          <w:sz w:val="20"/>
          <w:szCs w:val="20"/>
        </w:rPr>
        <w:t>p</w:t>
      </w:r>
      <w:r>
        <w:rPr>
          <w:sz w:val="20"/>
          <w:szCs w:val="20"/>
          <w:lang w:val="bg-BG"/>
        </w:rPr>
        <w:t>. 493–500.</w:t>
      </w:r>
    </w:p>
  </w:footnote>
  <w:footnote w:id="9">
    <w:p>
      <w:pPr>
        <w:spacing w:before="0" w:after="0"/>
        <w:ind w:left="720" w:hanging="720"/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</w:rPr>
        <w:t xml:space="preserve">OECD and European Union (2015), Indicators of Immigrant Integration 2015, Settling In [ОИСР и Европейски съюз (2015 г.), „Показатели за интеграцията на имигранти за 2015 г., заселване“], </w:t>
      </w:r>
      <w:hyperlink r:id="rId6">
        <w:r>
          <w:rPr>
            <w:rStyle w:val="Hyperlink"/>
            <w:sz w:val="20"/>
          </w:rPr>
          <w:t>http://www.oecd.org/els/mig/Indicators-of-Immigrant-Integration-2015.pdf</w:t>
        </w:r>
      </w:hyperlink>
      <w:r>
        <w:rPr>
          <w:rStyle w:val="Hyperlink"/>
          <w:sz w:val="20"/>
        </w:rPr>
        <w:t>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Lazzari A. et al. (2017), The current state of national ECEC quality frameworks, or equivalent strategic policy documents, governing ECEC quality in EU Member States, NESET II report [Настоящо състояние на националните рамки за качество на ОГРДВ или равностойни стратегически документи за политиката, регулиращи качеството на ОГРДВ в държавите — членки на ЕС, доклад на Мрежата от експерти, работещи по социалните измерения на образованието и обучението NESET II], http://nesetweb.eu/en/library/the-current-state-of-national-ecec-quality-frameworks-or-equivalent-strategic-policy-documents-governing-ecec-quality-in-eu-member-states/.</w:t>
      </w:r>
    </w:p>
  </w:footnote>
  <w:footnote w:id="11">
    <w:p>
      <w:pPr>
        <w:pStyle w:val="FootnoteText"/>
        <w:jc w:val="left"/>
      </w:pPr>
      <w:r>
        <w:rPr>
          <w:rStyle w:val="FootnoteReference"/>
        </w:rPr>
        <w:footnoteRef/>
      </w:r>
      <w:r>
        <w:tab/>
        <w:t xml:space="preserve">European Political Strategy Center (2017), 10 Trends Transforming the Education as We Know It. [Европейски център за политически стратегии (2017 г.), 10 тенденции, които променят образованието, което познаваме.] </w:t>
      </w:r>
      <w:hyperlink r:id="rId7">
        <w:r>
          <w:rPr>
            <w:rStyle w:val="Hyperlink"/>
          </w:rPr>
          <w:t>https://ec.europa.eu/epsc/publications/other-publications/10-trends-transforming-education-we-know-it_en</w:t>
        </w:r>
      </w:hyperlink>
      <w:r>
        <w:t xml:space="preserve"> 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European Commission/ EUROSTAT, Your key data to European statistics - European benchmarks [Европейска комисия/Евростат, Ключови данни от европейската статистика — Европейски критерии], </w:t>
      </w:r>
      <w:hyperlink r:id="rId8">
        <w:r>
          <w:rPr>
            <w:rStyle w:val="Hyperlink"/>
          </w:rPr>
          <w:t>http://ec.europa.eu/eurostat/web/education-and-training/eu-benchmarks</w:t>
        </w:r>
      </w:hyperlink>
      <w:r>
        <w:rPr>
          <w:rStyle w:val="Hyperlink"/>
        </w:rPr>
        <w:t>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Според последното издание на Европейския обзор на образованието и обучението от 2017 г. 94,8 % от децата на възраст между четири години и възрастта за започване на първа образователна степен съгласно Международната стандартна класификация на образованието (ISCED) посещават учебно заведение.</w:t>
      </w:r>
      <w:r>
        <w:rPr>
          <w:lang w:val="en-GB"/>
        </w:rPr>
        <w:tab/>
      </w:r>
      <w:r>
        <w:br/>
        <w:t xml:space="preserve"> </w:t>
      </w:r>
      <w:hyperlink r:id="rId9">
        <w:r>
          <w:rPr>
            <w:rStyle w:val="Hyperlink"/>
          </w:rPr>
          <w:t>http://ec.europa.eu/education/sites/education/files/monitor2017_en.pdf</w:t>
        </w:r>
      </w:hyperlink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Доклад на Комисията относно осигуряването на детски заведения за малки деца с цел увеличаване на участието на жените на пазара на труда, постигане на равновесие между професионалния и личния живот от работещите родители и постигане на устойчив и приобщаващ растеж в Европа („целите от Барселона“), COM(2018) 273 final; </w:t>
      </w:r>
      <w:hyperlink r:id="rId10">
        <w:r>
          <w:rPr>
            <w:rStyle w:val="Hyperlink"/>
          </w:rPr>
          <w:t>http://ec.europa.eu/transparency/regdoc/rep/1/2018/EN/COM-2018-273-F1-EN-MAIN-PART-1.PDF</w:t>
        </w:r>
      </w:hyperlink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 xml:space="preserve">Lazzari, A.; Vandenbroeck, M. (2013), Accessibility of ECEC for children from ethnic minority and low-income families [Достъпност на ОГРДВ за деца от етнически малцинства и семейства с ниски доходи] </w:t>
      </w:r>
      <w:hyperlink r:id="rId11">
        <w:r>
          <w:rPr>
            <w:rStyle w:val="Hyperlink"/>
          </w:rPr>
          <w:t>https://www.researchgate.net/publication/236347188_Accessibility_of_Early_Childhood_Education_and_Care_ECEC_for_children_from_ethnic_minority_and_low--income_families</w:t>
        </w:r>
      </w:hyperlink>
      <w:r>
        <w:t>; Работен документ на службите на Комисията (2017 г.) — Преглед на постигнатото по препоръката от 2013 г. „Инвестициите в децата: изход от порочния кръг на неравностойното положение“, COM(2017) 258.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 w:themeColor="text1"/>
        </w:rPr>
        <w:t xml:space="preserve">Vandenbroeck M. et al. (2018), Benefits of early childhood education and care and the conditions for obtaining them, EENNEE Report [Ползите от образованието и грижите в ранна детска възраст и условията за тяхното получаване, Доклад на Европейската експертна мрежа по икономика на образованието (EENEE)], </w:t>
      </w:r>
      <w:hyperlink r:id="rId12">
        <w:r>
          <w:rPr>
            <w:rStyle w:val="Hyperlink"/>
          </w:rPr>
          <w:t>https://publications.europa.eu/en/publication-detail/-/publication/14194adc-fc04-11e7-b8f5-01aa75ed71a1/language-en</w:t>
        </w:r>
      </w:hyperlink>
      <w:r>
        <w:t>; вж. също: European Commission (2016), Employment and Social Developments in Europe 2015 [Европейска комисия (2016 г.), Заетост и социални развития в Европа, 2015 г.].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Препоръка на Комисията (2013 г.), „Инвестициите в децата — изход от порочния кръг на неравностойното положение“ (2013/112/ЕС), OВ L 59, 2.3.2013 г.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(2017 г.), „Училищно развитие и върхови постижения в областта на преподаването за по-добър старт в живота“, </w:t>
      </w:r>
      <w:hyperlink r:id="rId13">
        <w:r>
          <w:rPr>
            <w:rStyle w:val="Hyperlink"/>
          </w:rPr>
          <w:t>COM(2017) 248</w:t>
        </w:r>
      </w:hyperlink>
      <w:r>
        <w:t>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 xml:space="preserve">Заключения на Съвета относно училищното развитие и върховите постижения в областта на преподаването, </w:t>
      </w:r>
      <w:hyperlink r:id="rId14">
        <w:r>
          <w:rPr>
            <w:rStyle w:val="Hyperlink"/>
          </w:rPr>
          <w:t>(2017/C 421/03)</w:t>
        </w:r>
      </w:hyperlink>
      <w:r>
        <w:rPr>
          <w:rStyle w:val="Hyperlink"/>
        </w:rPr>
        <w:t>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  <w:t>Препоръка на Комисията от 20.2.2013 г., „Инвестициите в децата — изход от порочния кръг на неравностойното положение“ (2013/112/ЕС), OВ L 59, 2.3.2013 г.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  <w:t xml:space="preserve">Европейска комисия (2018 г.), Предложение за препоръка на Съвета относно ключовите компетентности за учене през целия живот, </w:t>
      </w:r>
      <w:hyperlink r:id="rId15">
        <w:r>
          <w:rPr>
            <w:rStyle w:val="Hyperlink"/>
          </w:rPr>
          <w:t>COM(2018) 24</w:t>
        </w:r>
      </w:hyperlink>
      <w:r>
        <w:rPr>
          <w:rStyle w:val="Hyperlink"/>
        </w:rPr>
        <w:t>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 xml:space="preserve">Европейска комисия (2018 г.), Предложение за препоръка на Съвета относно общите ценности, приобщаващото образование и европейското измерение на преподаването. </w:t>
      </w:r>
      <w:hyperlink r:id="rId16">
        <w:r>
          <w:rPr>
            <w:rStyle w:val="Hyperlink"/>
          </w:rPr>
          <w:t>COM (2018)23 final</w:t>
        </w:r>
      </w:hyperlink>
      <w:r>
        <w:t xml:space="preserve">. 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Съвет на Европейския съюз (2017 г.), Междуинституционална прокламация относно Европейския стълб на социалните права </w:t>
      </w:r>
      <w:hyperlink r:id="rId17">
        <w:r>
          <w:rPr>
            <w:rStyle w:val="Hyperlink"/>
          </w:rPr>
          <w:t>http://data.consilium.europa.eu/doc/document/ST-13129-2017-INIT/bg/pdf</w:t>
        </w:r>
      </w:hyperlink>
      <w:r>
        <w:t>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Доклад на Комисията относно осигуряването на детски заведения за малки деца с цел увеличаване на участието на жените на пазара на труда, постигане на равновесие между професионалния и личния живот от работещите родители и постигане на устойчив и приобщаващ растеж в Европа („целите от Барселона“), COM(2018) 273 final; </w:t>
      </w:r>
      <w:hyperlink r:id="rId18">
        <w:r>
          <w:rPr>
            <w:rStyle w:val="Hyperlink"/>
          </w:rPr>
          <w:t>http://ec.europa.eu/transparency/regdoc/rep/1/2018/EN/COM-2018-273-F1-EN-MAIN-PART-1.PDF</w:t>
        </w:r>
      </w:hyperlink>
      <w:r>
        <w:t>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(2017 г.), Инициатива за подпомагане на равновесието между професионалния и личния живот на родителите и лицата, полагащи грижи, </w:t>
      </w:r>
      <w:hyperlink r:id="rId19">
        <w:r>
          <w:rPr>
            <w:rStyle w:val="Hyperlink"/>
          </w:rPr>
          <w:t>COM(2017) 252 final</w:t>
        </w:r>
      </w:hyperlink>
      <w:r>
        <w:rPr>
          <w:rStyle w:val="Hyperlink"/>
        </w:rPr>
        <w:t>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>Европейска комисия (2015 г.), Стратегически ангажимент за постигане на равенство между половете за периода 2016—2019 г.,</w:t>
      </w:r>
      <w:hyperlink r:id="rId20">
        <w:r>
          <w:rPr>
            <w:rStyle w:val="Hyperlink"/>
          </w:rPr>
          <w:t>https://ec.europa.eu/anti-trafficking/eu-policy/strategic-engagement-gender-equality-2016-2019_en</w:t>
        </w:r>
      </w:hyperlink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  <w:t xml:space="preserve">Член 153 от Договора за функционирането на Европейския съюз (ДФЕС). 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 (2011 г.) </w:t>
      </w:r>
      <w:hyperlink r:id="rId21">
        <w:r>
          <w:t>относно рамка на ЕС за национални стратегии за интегриране на ромите</w:t>
        </w:r>
      </w:hyperlink>
      <w:r>
        <w:t xml:space="preserve">, </w:t>
      </w:r>
      <w:hyperlink r:id="rId22">
        <w:r>
          <w:rPr>
            <w:rStyle w:val="Hyperlink"/>
          </w:rPr>
          <w:t>COM(2011) 173</w:t>
        </w:r>
      </w:hyperlink>
      <w:r>
        <w:t>.</w:t>
      </w:r>
    </w:p>
  </w:footnote>
  <w:footnote w:id="29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</w:r>
      <w:hyperlink r:id="rId23">
        <w:r>
          <w:t>Препоръка на Съвета по заетост, социална политика, здравеопазване и потребителски въпроси от 9 декември 2013 г. oтносно ефективни мерки за интегриране на ромите в държавите членки</w:t>
        </w:r>
      </w:hyperlink>
      <w:r>
        <w:t xml:space="preserve">, </w:t>
      </w:r>
      <w:hyperlink r:id="rId24">
        <w:r>
          <w:rPr>
            <w:rStyle w:val="Hyperlink"/>
          </w:rPr>
          <w:t>https://www.consilium.europa.eu/uedocs/cms_data/docs/pressdata/en/lsa/139979.pdf</w:t>
        </w:r>
      </w:hyperlink>
      <w:r>
        <w:t xml:space="preserve">. 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(2016 г.), План за действие относно интеграцията на граждани на трети държави, </w:t>
      </w:r>
      <w:hyperlink r:id="rId25">
        <w:r>
          <w:rPr>
            <w:rStyle w:val="Hyperlink"/>
          </w:rPr>
          <w:t>COM(2016) 377 final</w:t>
        </w:r>
      </w:hyperlink>
      <w:r>
        <w:t>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(2017 г.), „Закрилата на децата мигранти“, </w:t>
      </w:r>
      <w:hyperlink r:id="rId26">
        <w:r>
          <w:rPr>
            <w:rStyle w:val="Hyperlink"/>
          </w:rPr>
          <w:t>COM(2017) 211 final</w:t>
        </w:r>
      </w:hyperlink>
      <w:r>
        <w:t>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ab/>
        <w:t xml:space="preserve">Набор от социални показатели. Monitoring EU Member States Performance under the European Pillar of Social Rights [Наблюдение на изпълнението на държавите — членки на ЕС, по отношение на Европейския стълб на социалните права], </w:t>
      </w:r>
      <w:hyperlink r:id="rId27">
        <w:r>
          <w:rPr>
            <w:rStyle w:val="Hyperlink"/>
          </w:rPr>
          <w:t>https://ec.europa.eu/commission/sites/beta-political/files/social-scoreboard-2018-country-reports_en.pdf</w:t>
        </w:r>
      </w:hyperlink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Съвместен доклад за 2015 г. на Съвета и на Комисията относно прилагането на стратегическата рамка за европейско сътрудничество в областта на образованието и обучението („Образование и обучение 2020“) — </w:t>
      </w:r>
      <w:r>
        <w:rPr>
          <w:i/>
        </w:rPr>
        <w:t>Нови приоритети за европейското сътрудничество в областта на образованието и обучението</w:t>
      </w:r>
      <w:r>
        <w:t xml:space="preserve">, </w:t>
      </w:r>
      <w:hyperlink r:id="rId28">
        <w:r>
          <w:rPr>
            <w:rStyle w:val="Hyperlink"/>
          </w:rPr>
          <w:t>2015/C 417/04</w:t>
        </w:r>
      </w:hyperlink>
      <w:r>
        <w:rPr>
          <w:rStyle w:val="Hyperlink"/>
        </w:rPr>
        <w:t>.</w:t>
      </w:r>
      <w:r>
        <w:t xml:space="preserve"> </w:t>
      </w:r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ab/>
        <w:t xml:space="preserve">Thematic Working group on Early Childhood Education and Care (2014), Proposal for key principles of a Quality Framework for Early Childhood Education and Care [Тематична работна група по въпросите на образованието и грижите в ранна детска възраст (2014 г.), Предложение за ключови принципи на рамка за качество на образованието и грижите в ранна детска възраст], </w:t>
      </w:r>
      <w:hyperlink r:id="rId29">
        <w:r>
          <w:rPr>
            <w:rStyle w:val="Hyperlink"/>
          </w:rPr>
          <w:t>http://ec.europa.eu/assets/eac/education/policy/strategic-framework/archive/documents/ecec-quality-framework_en.pdf</w:t>
        </w:r>
      </w:hyperlink>
      <w:r>
        <w:rPr>
          <w:rStyle w:val="Hyperlink"/>
        </w:rPr>
        <w:t>.</w:t>
      </w:r>
      <w:r>
        <w:t xml:space="preserve">  </w:t>
      </w:r>
    </w:p>
  </w:footnote>
  <w:footnote w:id="35">
    <w:p>
      <w:pPr>
        <w:pStyle w:val="FootnoteText"/>
        <w:jc w:val="left"/>
      </w:pPr>
      <w:r>
        <w:rPr>
          <w:rStyle w:val="FootnoteReference"/>
        </w:rPr>
        <w:footnoteRef/>
      </w:r>
      <w:r>
        <w:tab/>
        <w:t>European Commission (2016), Great Start in Life. Conference Report [Европейска комисия (2016 г.), „Страхотен старт в живота“, Доклад от конференцията]</w:t>
      </w:r>
      <w:r>
        <w:rPr>
          <w:rStyle w:val="Hyperlink"/>
        </w:rPr>
        <w:t xml:space="preserve">, </w:t>
      </w:r>
      <w:hyperlink r:id="rId30">
        <w:r>
          <w:rPr>
            <w:rStyle w:val="Hyperlink"/>
          </w:rPr>
          <w:t>https://ec.europa.eu/education/sites/education/files/great-start-life-report_en.pdf</w:t>
        </w:r>
      </w:hyperlink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ab/>
        <w:t>European Commission (2017), Report on the public consultation on possible action addressing the challenges of work-life balance faced by working parents and caregivers [Европейска комисия (2017 г.) Доклад от обществената консултация относно възможните действия за справяне с предизвикателствата, свързани с равновесието между професионалния и личния живот, пред които са изправени работещите родители и лицата, полагащи грижи]</w:t>
      </w:r>
      <w:r>
        <w:rPr>
          <w:b/>
        </w:rPr>
        <w:t>,</w:t>
      </w:r>
      <w:r>
        <w:t xml:space="preserve"> </w:t>
      </w:r>
      <w:hyperlink r:id="rId31">
        <w:r>
          <w:rPr>
            <w:rStyle w:val="Hyperlink"/>
          </w:rPr>
          <w:t>http://ec.europa.eu/social/main.jsp?catId=1311&amp;langId=en&amp;moreDocuments=yes</w:t>
        </w:r>
      </w:hyperlink>
      <w:r>
        <w:rPr>
          <w:rStyle w:val="Hyperlink"/>
        </w:rPr>
        <w:t>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ab/>
        <w:t xml:space="preserve">Обществена консултация относно Европейския стълб на социалните права, </w:t>
      </w:r>
      <w:hyperlink r:id="rId32">
        <w:r>
          <w:rPr>
            <w:rStyle w:val="Hyperlink"/>
          </w:rPr>
          <w:t>http://ec.europa.eu/social/main.jsp?langId=bg&amp;catId=699&amp;consultId=22&amp;visib=0&amp;furtherConsult=yes</w:t>
        </w:r>
      </w:hyperlink>
      <w:r>
        <w:rPr>
          <w:rStyle w:val="Hyperlink"/>
        </w:rPr>
        <w:t>.</w:t>
      </w:r>
    </w:p>
  </w:footnote>
  <w:footnote w:id="38">
    <w:p>
      <w:pPr>
        <w:pStyle w:val="FootnoteText"/>
      </w:pPr>
      <w:r>
        <w:rPr>
          <w:rStyle w:val="FootnoteReference"/>
        </w:rPr>
        <w:footnoteRef/>
      </w:r>
      <w:r>
        <w:tab/>
        <w:t xml:space="preserve">Например: European Association of Service providers for Persons with Disabilities (2016), Statement on Early Childhood Intervention [Европейска асоциация на доставчиците на услуги за хора с увреждания (2016 г.), Декларация за интервенциите в ранна детска възраст], </w:t>
      </w:r>
      <w:hyperlink r:id="rId33">
        <w:r>
          <w:rPr>
            <w:rStyle w:val="Hyperlink"/>
          </w:rPr>
          <w:t>http://www.easpd.eu/sites/default/files/sites/default/files/Policy/Education/easpd_statement_on_early_childhood_intervention.pdf</w:t>
        </w:r>
      </w:hyperlink>
      <w:r>
        <w:t>, European Parent Association (2015) The Best Interest of the Young Child: Position Paper on Early Childhood Education and Care Needs and Provisions from the Parents’ Perspective [Европейска асоциация на родителите (2015 г.), Висшият интерес на малкото дете: документ за позицията относно нуждите и разпоредбите, свързани с образованието и грижите в ранна детска възраст, от гледна точка на родителите].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European Commission (2018), Monitoring the Quality of Early Childhood Education and Care – Complementing the 2014 ECEC Quality Framework proposal with indicators [Европейска комисия (2018 г.), Наблюдение на качеството на образованието и грижите в ранна детска възраст — допълване на рамката за качество на ОГРДВ от 2014 г. с показатели], </w:t>
      </w:r>
      <w:hyperlink r:id="rId34">
        <w:r>
          <w:rPr>
            <w:rStyle w:val="Hyperlink"/>
          </w:rPr>
          <w:t>https://publications.europa.eu/en/publication-detail/-/publication/825252b4-3ec6-11e8-b5fe-01aa75ed71a1/language-en/format-PDF/source-69837044</w:t>
        </w:r>
      </w:hyperlink>
      <w:r>
        <w:t xml:space="preserve">. </w:t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ab/>
        <w:t>Работен документ на службите на Комисията (2017 г.) — Преглед на постигнатото по препоръката от 2013 г. „Инвестициите в децата: изход от порочния кръг на неравностойното положение“, COM(2017) 258; вж. също: Препоръка на Комисията от 20.2.2013 т., „Инвестициите в децата — изход от порочния кръг на неравностойното положение“ (2013/112/ЕС), OВ L 59, 2.3.2013 г.</w:t>
      </w:r>
    </w:p>
  </w:footnote>
  <w:footnote w:id="41">
    <w:p>
      <w:pPr>
        <w:pStyle w:val="FootnoteText"/>
      </w:pPr>
      <w:r>
        <w:rPr>
          <w:rStyle w:val="FootnoteReference"/>
        </w:rPr>
        <w:footnoteRef/>
      </w:r>
      <w:r>
        <w:tab/>
        <w:t>ООН (1989 г.), Конвенция за правата на детето, приета на 20.11.1989 г.</w:t>
      </w:r>
    </w:p>
  </w:footnote>
  <w:footnote w:id="42">
    <w:p>
      <w:pPr>
        <w:pStyle w:val="FootnoteText"/>
      </w:pPr>
      <w:r>
        <w:rPr>
          <w:rStyle w:val="FootnoteReference"/>
        </w:rPr>
        <w:footnoteRef/>
      </w:r>
      <w:r>
        <w:tab/>
        <w:t xml:space="preserve">Presidency conclusions, Barcelona European Council [Заключения на председателството, Европейски съвет, Барселона], 15—16 март 2002 г., SN 100/1/02 REV 1, </w:t>
      </w:r>
      <w:hyperlink r:id="rId35">
        <w:r>
          <w:rPr>
            <w:rStyle w:val="Hyperlink"/>
          </w:rPr>
          <w:t>http://ec.europa.eu/invest-in-research/pdf/download_en/barcelona_european_council.pdf</w:t>
        </w:r>
      </w:hyperlink>
      <w:r>
        <w:t>.</w:t>
      </w:r>
    </w:p>
  </w:footnote>
  <w:footnote w:id="43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Съвместен доклад на Съвета и на Комисията от 2015 г. относно прилагането на стратегическата рамка за европейско сътрудничество в областта на образованието и обучението („Образование и обучение 2020“) — </w:t>
      </w:r>
      <w:r>
        <w:rPr>
          <w:i/>
        </w:rPr>
        <w:t>Нови приоритети за европейското сътрудничество в областта на образованието и обучението</w:t>
      </w:r>
      <w:r>
        <w:t xml:space="preserve">, </w:t>
      </w:r>
      <w:hyperlink r:id="rId36">
        <w:r>
          <w:rPr>
            <w:rStyle w:val="Hyperlink"/>
          </w:rPr>
          <w:t>2015/C 417/04</w:t>
        </w:r>
      </w:hyperlink>
      <w:r>
        <w:rPr>
          <w:u w:val="single"/>
        </w:rPr>
        <w:t>.</w:t>
      </w:r>
    </w:p>
  </w:footnote>
  <w:footnote w:id="44">
    <w:p>
      <w:pPr>
        <w:pStyle w:val="FootnoteText"/>
      </w:pPr>
      <w:r>
        <w:rPr>
          <w:rStyle w:val="FootnoteReference"/>
        </w:rPr>
        <w:footnoteRef/>
      </w:r>
      <w:r>
        <w:tab/>
        <w:t>Съвет на Европейския съюз (2017 г.), Междуинституционална прокламация относно Европейския стълб на социалните права,</w:t>
      </w:r>
    </w:p>
    <w:p>
      <w:pPr>
        <w:pStyle w:val="FootnoteText"/>
        <w:ind w:firstLine="0"/>
      </w:pPr>
      <w:hyperlink r:id="rId37">
        <w:r>
          <w:rPr>
            <w:rStyle w:val="Hyperlink"/>
          </w:rPr>
          <w:t>http://data.consilium.europa.eu/doc/document/ST-13129-2017-INIT/bg/pdf</w:t>
        </w:r>
      </w:hyperlink>
      <w:r>
        <w:rPr>
          <w:rStyle w:val="Hyperlink"/>
        </w:rPr>
        <w:t>.</w:t>
      </w:r>
    </w:p>
  </w:footnote>
  <w:footnote w:id="45">
    <w:p>
      <w:pPr>
        <w:pStyle w:val="FootnoteText"/>
      </w:pPr>
      <w:r>
        <w:rPr>
          <w:rStyle w:val="FootnoteReference"/>
        </w:rPr>
        <w:footnoteRef/>
      </w:r>
      <w:r>
        <w:tab/>
        <w:t xml:space="preserve">Харта на основните права на Европейския съюз, </w:t>
      </w:r>
      <w:hyperlink r:id="rId38">
        <w:r>
          <w:rPr>
            <w:rStyle w:val="Hyperlink"/>
          </w:rPr>
          <w:t xml:space="preserve">2012/C 326/02. </w:t>
        </w:r>
      </w:hyperlink>
    </w:p>
  </w:footnote>
  <w:footnote w:id="46">
    <w:p>
      <w:pPr>
        <w:pStyle w:val="FootnoteText"/>
      </w:pPr>
      <w:r>
        <w:rPr>
          <w:rStyle w:val="FootnoteReference"/>
        </w:rPr>
        <w:footnoteRef/>
      </w:r>
      <w:r>
        <w:tab/>
        <w:t xml:space="preserve">Цел 4 за устойчиво развитие, </w:t>
      </w:r>
      <w:hyperlink r:id="rId39">
        <w:r>
          <w:rPr>
            <w:rStyle w:val="Hyperlink"/>
          </w:rPr>
          <w:t>UN SDG 4.2</w:t>
        </w:r>
      </w:hyperlink>
      <w:r>
        <w:rPr>
          <w:rStyle w:val="Hyperlink"/>
        </w:rPr>
        <w:t>.</w:t>
      </w:r>
    </w:p>
  </w:footnote>
  <w:footnote w:id="47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(2017 г.), „Укрепване на европейската идентичност чрез образование и култура — Приносът на Европейската комисия към срещата на лидерите в Гьотеборг, 17 ноември 2017 г.“, </w:t>
      </w:r>
      <w:hyperlink r:id="rId40">
        <w:r>
          <w:rPr>
            <w:rStyle w:val="Hyperlink"/>
          </w:rPr>
          <w:t>COM(2017) 673 final</w:t>
        </w:r>
      </w:hyperlink>
      <w:r>
        <w:rPr>
          <w:u w:val="single"/>
        </w:rPr>
        <w:t>.</w:t>
      </w:r>
    </w:p>
  </w:footnote>
  <w:footnote w:id="48">
    <w:p>
      <w:pPr>
        <w:pStyle w:val="FootnoteText"/>
      </w:pPr>
      <w:r>
        <w:rPr>
          <w:rStyle w:val="FootnoteReference"/>
        </w:rPr>
        <w:footnoteRef/>
      </w:r>
      <w:r>
        <w:tab/>
        <w:t xml:space="preserve">Заключения на Съвета относно училищното развитие и върховите постижения в областта на преподаването, </w:t>
      </w:r>
      <w:hyperlink r:id="rId41">
        <w:r>
          <w:rPr>
            <w:rStyle w:val="Hyperlink"/>
          </w:rPr>
          <w:t>(2017/C 421/03)</w:t>
        </w:r>
      </w:hyperlink>
      <w:r>
        <w:rPr>
          <w:u w:val="single"/>
        </w:rPr>
        <w:t>.</w:t>
      </w:r>
    </w:p>
  </w:footnote>
  <w:footnote w:id="49">
    <w:p>
      <w:pPr>
        <w:pStyle w:val="FootnoteText"/>
      </w:pPr>
      <w:r>
        <w:rPr>
          <w:rStyle w:val="FootnoteReference"/>
        </w:rPr>
        <w:footnoteRef/>
      </w:r>
      <w:r>
        <w:tab/>
        <w:t xml:space="preserve">Европейска комисия (2018 г.), Предложение за препоръка на Съвета относно ключовите компетентности за учене през целия живот, </w:t>
      </w:r>
      <w:hyperlink r:id="rId42">
        <w:r>
          <w:rPr>
            <w:rStyle w:val="Hyperlink"/>
          </w:rPr>
          <w:t>COM(2018) 24</w:t>
        </w:r>
      </w:hyperlink>
      <w:r>
        <w:rPr>
          <w:u w:val="single"/>
        </w:rPr>
        <w:t>.</w:t>
      </w:r>
    </w:p>
  </w:footnote>
  <w:footnote w:id="50">
    <w:p>
      <w:pPr>
        <w:pStyle w:val="FootnoteText"/>
      </w:pPr>
      <w:r>
        <w:rPr>
          <w:rStyle w:val="FootnoteReference"/>
        </w:rPr>
        <w:footnoteRef/>
      </w:r>
      <w:r>
        <w:tab/>
        <w:t xml:space="preserve">Под ранна детска възраст обикновено се разбира възрастта от раждането до навършването на 6 години, което отговаря на нулева образователна степен съгласно Международната стандартна класификация на образованието (ISCED 0). </w:t>
      </w:r>
    </w:p>
  </w:footnote>
  <w:footnote w:id="51">
    <w:p>
      <w:pPr>
        <w:pStyle w:val="FootnoteText"/>
      </w:pPr>
      <w:r>
        <w:rPr>
          <w:rStyle w:val="FootnoteReference"/>
        </w:rPr>
        <w:footnoteRef/>
      </w:r>
      <w:r>
        <w:tab/>
        <w:t>Препоръка на Комисията от 20.2.2013 г., „Инвестициите в децата — изход от порочния кръг на неравностойното положение“ (2013/112/ЕС), OВ L 59, 2.3.2013 г.</w:t>
      </w:r>
    </w:p>
  </w:footnote>
  <w:footnote w:id="52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tab/>
      </w:r>
      <w:hyperlink r:id="rId43">
        <w:r>
          <w:t>Препоръка на Съвета по заетост, социална политика, здравеопазване и потребителски въпроси от 9 декември 2013 г. oтносно ефективни мерки за интегриране на ромите в държавите членки.</w:t>
        </w:r>
      </w:hyperlink>
    </w:p>
  </w:footnote>
  <w:footnote w:id="53">
    <w:p>
      <w:pPr>
        <w:pStyle w:val="FootnoteText"/>
      </w:pPr>
      <w:r>
        <w:rPr>
          <w:rStyle w:val="FootnoteReference"/>
        </w:rPr>
        <w:footnoteRef/>
      </w:r>
      <w:r>
        <w:tab/>
        <w:t xml:space="preserve">Vandenbroeck M. et al. (2017), Benefits of early childhood education and care and the conditions for obtaining them, Report of the European Expert Network on Economics of Education [Ползите от образованието и грижите в ранна детска възраст и условията за тяхното получаване, Доклад на Европейската експертна мрежа по икономика на образованието], </w:t>
      </w:r>
      <w:hyperlink r:id="rId44">
        <w:r>
          <w:rPr>
            <w:rStyle w:val="Hyperlink"/>
          </w:rPr>
          <w:t>http://www.eenee.de/eeneeHome/EENEE/Analytical-Reports.html</w:t>
        </w:r>
      </w:hyperlink>
      <w:r>
        <w:rPr>
          <w:rStyle w:val="Hyperlink"/>
        </w:rPr>
        <w:t>.</w:t>
      </w:r>
      <w:r>
        <w:t xml:space="preserve"> </w:t>
      </w:r>
    </w:p>
  </w:footnote>
  <w:footnote w:id="54">
    <w:p>
      <w:pPr>
        <w:pStyle w:val="FootnoteText"/>
      </w:pPr>
      <w:r>
        <w:rPr>
          <w:rStyle w:val="FootnoteReference"/>
        </w:rPr>
        <w:footnoteRef/>
      </w:r>
      <w:r>
        <w:tab/>
        <w:t xml:space="preserve">OECD (2016), Education at a Glance [ОИСР (2016 г), Поглед върху образованието], </w:t>
      </w:r>
      <w:hyperlink r:id="rId45">
        <w:r>
          <w:rPr>
            <w:rStyle w:val="Hyperlink"/>
          </w:rPr>
          <w:t>http://www.oecd.org/education/education-at-a-glance-19991487.htm</w:t>
        </w:r>
      </w:hyperlink>
      <w:r>
        <w:rPr>
          <w:rStyle w:val="Hyperlink"/>
        </w:rPr>
        <w:t>.</w:t>
      </w:r>
      <w:r>
        <w:t xml:space="preserve"> </w:t>
      </w:r>
    </w:p>
  </w:footnote>
  <w:footnote w:id="55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European Commission (2014), Study on the effective use of early childhood education and care in preventing early school leaving [Европейска комисия (2014 г.) Изследване на ефективното използване на образованието и грижите в ранна детска възраст за предотвратяване на преждевременното напускане на училище], </w:t>
      </w:r>
      <w:hyperlink r:id="rId46">
        <w:r>
          <w:rPr>
            <w:rStyle w:val="Hyperlink"/>
          </w:rPr>
          <w:t>https://publications.europa.eu/en/publication-detail/-/publication/7548dd37-c626-4e2d-bd70-625edf707adc/language-en</w:t>
        </w:r>
      </w:hyperlink>
      <w:r>
        <w:rPr>
          <w:rStyle w:val="Hyperlink"/>
        </w:rPr>
        <w:t>.</w:t>
      </w:r>
      <w:r>
        <w:t xml:space="preserve"> </w:t>
      </w:r>
    </w:p>
  </w:footnote>
  <w:footnote w:id="56">
    <w:p>
      <w:pPr>
        <w:spacing w:before="0" w:after="0"/>
        <w:ind w:left="720" w:hanging="720"/>
        <w:rPr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sz w:val="20"/>
        </w:rPr>
        <w:t xml:space="preserve">Heckman, J.J. and Mosso, S. (2014), The Economics of Human Development and Social Mobility [Икономиката на човешкото развитие и социалната мобилност]. </w:t>
      </w:r>
      <w:r>
        <w:rPr>
          <w:i/>
          <w:sz w:val="20"/>
        </w:rPr>
        <w:t>Annual Reviews of Economics</w:t>
      </w:r>
      <w:r>
        <w:rPr>
          <w:sz w:val="20"/>
        </w:rPr>
        <w:t>, 6, 689-733.</w:t>
      </w:r>
    </w:p>
  </w:footnote>
  <w:footnote w:id="57">
    <w:p>
      <w:pPr>
        <w:pStyle w:val="FootnoteText"/>
      </w:pPr>
      <w:r>
        <w:rPr>
          <w:rStyle w:val="FootnoteReference"/>
        </w:rPr>
        <w:footnoteRef/>
      </w:r>
      <w:r>
        <w:tab/>
        <w:t>Заключения на Съвета от 7 март 2011 г. относно Европейски пакт за равенство между половете (2011—2020 г.),</w:t>
      </w:r>
    </w:p>
    <w:p>
      <w:pPr>
        <w:pStyle w:val="FootnoteText"/>
        <w:ind w:firstLine="0"/>
      </w:pPr>
      <w:hyperlink r:id="rId47">
        <w:r>
          <w:rPr>
            <w:rStyle w:val="Hyperlink"/>
          </w:rPr>
          <w:t>http://eur-lex.europa.eu/legal-content/BG/TXT/PDF/?uri=CELEX:52011XG0525(01)&amp;from=BG</w:t>
        </w:r>
      </w:hyperlink>
    </w:p>
  </w:footnote>
  <w:footnote w:id="58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Съобщение на Комисията (2017 г.), Инициатива за подпомагане на равновесието между професионалния и личния живот на родителите и лицата, полагащи грижи, </w:t>
      </w:r>
      <w:hyperlink r:id="rId48">
        <w:r>
          <w:rPr>
            <w:rStyle w:val="Hyperlink"/>
          </w:rPr>
          <w:t>COM(2017) 252 final</w:t>
        </w:r>
      </w:hyperlink>
      <w:r>
        <w:t>.</w:t>
      </w:r>
    </w:p>
  </w:footnote>
  <w:footnote w:id="59">
    <w:p>
      <w:pPr>
        <w:pStyle w:val="FootnoteText"/>
      </w:pPr>
      <w:r>
        <w:rPr>
          <w:rStyle w:val="FootnoteReference"/>
        </w:rPr>
        <w:footnoteRef/>
      </w:r>
      <w:r>
        <w:tab/>
        <w:t xml:space="preserve">Melhuish, E.; et al.; (2015). A Review of Research on the Effects of Early Childhood Education and Care on Child Development. CARE Project Report [Преглед на изследванията за ефекта от образованието и грижите в ранна детска възраст върху развитието на децата. Доклад по проекта CARE], </w:t>
      </w:r>
      <w:hyperlink r:id="rId49">
        <w:r>
          <w:rPr>
            <w:rStyle w:val="Hyperlink"/>
          </w:rPr>
          <w:t>http://ecec-care.org/</w:t>
        </w:r>
      </w:hyperlink>
      <w:r>
        <w:t xml:space="preserve"> .</w:t>
      </w:r>
    </w:p>
  </w:footnote>
  <w:footnote w:id="60">
    <w:p>
      <w:pPr>
        <w:pStyle w:val="FootnoteText"/>
      </w:pPr>
      <w:r>
        <w:rPr>
          <w:rStyle w:val="FootnoteReference"/>
        </w:rPr>
        <w:footnoteRef/>
      </w:r>
      <w:r>
        <w:tab/>
        <w:t>Доклад на Комисията относно осигуряването на детски заведения за малки деца с цел увеличаване на участието на жените на пазара на труда, постигане на равновесие между професионалния и личния живот от работещите родители и постигане на устойчив и приобщаващ растеж в Европа („целите от Барселона“), COM(2018) 273 final; http://ec.europa.eu/transparency/regdoc/rep/1/2018/EN/COM-2018-273-F1-EN-MAIN-PART-1.PDF</w:t>
      </w:r>
    </w:p>
  </w:footnote>
  <w:footnote w:id="61">
    <w:p>
      <w:pPr>
        <w:pStyle w:val="CommentText"/>
        <w:spacing w:before="0" w:after="0"/>
        <w:ind w:left="720" w:hanging="720"/>
      </w:pPr>
      <w:r>
        <w:rPr>
          <w:rStyle w:val="FootnoteReference"/>
        </w:rPr>
        <w:footnoteRef/>
      </w:r>
      <w:r>
        <w:tab/>
        <w:t xml:space="preserve">OECD (2017), Starting Strong 2017: Key OECD Indicators on Early Childhood Education and Care [ОИСР (2017 г.), Силно начало 2017 г.: Основни индикатори на ОИСР за образованието и грижите в ранна възраст], </w:t>
      </w:r>
      <w:hyperlink r:id="rId50">
        <w:r>
          <w:rPr>
            <w:rStyle w:val="Hyperlink"/>
          </w:rPr>
          <w:t>http://dx.doi.org/10.1787/9789264276116-en</w:t>
        </w:r>
      </w:hyperlink>
      <w:r>
        <w:t xml:space="preserve">; Препоръка на Съвета (2013 г.) относно ефективни мерки за интегриране на ромите в държавите членки, </w:t>
      </w:r>
      <w:hyperlink r:id="rId51">
        <w:r>
          <w:rPr>
            <w:rStyle w:val="Hyperlink"/>
          </w:rPr>
          <w:t>http://eur-lex.europa.eu/legal-content/BG/TXT/PDF/?uri=CELEX:32013H1224(01)&amp;from=bg</w:t>
        </w:r>
      </w:hyperlink>
      <w:r>
        <w:t xml:space="preserve"> ; и Eurofound (2015) Early childhood Care : Accessibility and quality of services [Европейска фондация за подобряване на условията на живот и труд (Eurofound) (2015 г.), Грижи в ранна детска възраст: достъпност и качество на услугите],</w:t>
      </w:r>
      <w:r>
        <w:rPr>
          <w:lang w:val="en-GB"/>
        </w:rPr>
        <w:tab/>
      </w:r>
      <w:r>
        <w:br/>
        <w:t xml:space="preserve"> </w:t>
      </w:r>
      <w:hyperlink r:id="rId52">
        <w:r>
          <w:rPr>
            <w:rStyle w:val="Hyperlink"/>
          </w:rPr>
          <w:t>https://www.eurofound.europa.eu/sites/default/files/ef_publication/field_ef_document/ef1512en.pdf</w:t>
        </w:r>
      </w:hyperlink>
      <w:r>
        <w:t>.</w:t>
      </w:r>
    </w:p>
  </w:footnote>
  <w:footnote w:id="62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Резолюция на Европейския парламент от 14 септември 2017 г. относно нова европейска програма за умения </w:t>
      </w:r>
      <w:hyperlink r:id="rId53">
        <w:r>
          <w:rPr>
            <w:rStyle w:val="Hyperlink"/>
          </w:rPr>
          <w:t>(2017/2002(INI))</w:t>
        </w:r>
        <w:r>
          <w:rPr>
            <w:rStyle w:val="Hyperlink"/>
            <w:b/>
          </w:rPr>
          <w:t xml:space="preserve"> </w:t>
        </w:r>
        <w:r>
          <w:rPr>
            <w:rStyle w:val="Hyperlink"/>
          </w:rPr>
          <w:t>P8_TA-PROV(2017)0360</w:t>
        </w:r>
      </w:hyperlink>
    </w:p>
  </w:footnote>
  <w:footnote w:id="63">
    <w:p>
      <w:pPr>
        <w:pStyle w:val="FootnoteText"/>
        <w:keepNext/>
        <w:keepLines/>
        <w:spacing w:line="264" w:lineRule="auto"/>
      </w:pPr>
      <w:r>
        <w:rPr>
          <w:rStyle w:val="FootnoteReference"/>
        </w:rPr>
        <w:footnoteRef/>
      </w:r>
      <w:r>
        <w:tab/>
        <w:t>A Children in Europe policy paper (2008), Young children and their services: developing a European approach [Документ за политиката „Деца в Европа“ (2008 г.), Малките деца и услугите за тях: разработване на европейски подход],</w:t>
      </w:r>
      <w:r>
        <w:tab/>
      </w:r>
      <w:r>
        <w:br/>
      </w:r>
      <w:hyperlink r:id="rId54">
        <w:r>
          <w:rPr>
            <w:rStyle w:val="Hyperlink"/>
          </w:rPr>
          <w:t>http://www.edizionijunior.com/public/INSERTI/CiE%20Policy%20Paper_april%202008_INGLESE.pdf</w:t>
        </w:r>
      </w:hyperlink>
      <w:r>
        <w:t>.</w:t>
      </w:r>
    </w:p>
  </w:footnote>
  <w:footnote w:id="64">
    <w:p>
      <w:pPr>
        <w:pStyle w:val="FootnoteText"/>
      </w:pPr>
      <w:r>
        <w:rPr>
          <w:rStyle w:val="FootnoteReference"/>
        </w:rPr>
        <w:footnoteRef/>
      </w:r>
      <w:r>
        <w:tab/>
        <w:t>Конвенция за правата на детето (1989 г.),</w:t>
      </w:r>
      <w:r>
        <w:rPr>
          <w:lang w:val="en-GB"/>
        </w:rPr>
        <w:tab/>
      </w:r>
      <w:r>
        <w:br/>
      </w:r>
      <w:hyperlink r:id="rId55">
        <w:r>
          <w:rPr>
            <w:rStyle w:val="Hyperlink"/>
          </w:rPr>
          <w:t>http://www.ohchr.org/EN/ProfessionalInterest/Pages/CRC.aspx</w:t>
        </w:r>
      </w:hyperlink>
      <w:r>
        <w:t>.</w:t>
      </w:r>
      <w:r>
        <w:rPr>
          <w:rStyle w:val="Hyperlink"/>
        </w:rPr>
        <w:t xml:space="preserve"> </w:t>
      </w:r>
    </w:p>
  </w:footnote>
  <w:footnote w:id="65">
    <w:p>
      <w:pPr>
        <w:pStyle w:val="FootnoteText"/>
      </w:pPr>
      <w:r>
        <w:rPr>
          <w:rStyle w:val="FootnoteReference"/>
        </w:rPr>
        <w:footnoteRef/>
      </w:r>
      <w:r>
        <w:tab/>
        <w:t xml:space="preserve">Конвенция на ООН за правата на хората с увреждания (2006 г.), </w:t>
      </w:r>
      <w:hyperlink r:id="rId56">
        <w:r>
          <w:rPr>
            <w:rStyle w:val="Hyperlink"/>
          </w:rPr>
          <w:t>Конвенция на ООН за правата на хората с увреждания</w:t>
        </w:r>
      </w:hyperlink>
      <w:r>
        <w:rPr>
          <w:rStyle w:val="Hyperlink"/>
        </w:rPr>
        <w:t>.</w:t>
      </w:r>
    </w:p>
  </w:footnote>
  <w:footnote w:id="66">
    <w:p>
      <w:pPr>
        <w:pStyle w:val="footnote"/>
        <w:spacing w:line="264" w:lineRule="auto"/>
        <w:ind w:left="720" w:hanging="720"/>
        <w:jc w:val="left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Style w:val="FootnoteReference"/>
        </w:rPr>
        <w:footnoteRef/>
      </w:r>
      <w:r>
        <w:tab/>
      </w:r>
      <w:r>
        <w:rPr>
          <w:rFonts w:ascii="Times New Roman" w:eastAsiaTheme="minorHAnsi" w:hAnsi="Times New Roman"/>
          <w:color w:val="auto"/>
          <w:sz w:val="20"/>
          <w:bdr w:val="none" w:sz="0" w:space="0" w:color="auto"/>
        </w:rPr>
        <w:t xml:space="preserve">Thematic Working group on early childhood education and care ECEC (2014), Proposal for key principles of a Quality Framework for Early Childhood Education and Care, report of the Working Group on Early Childhood Education and Care under the auspices of the European Commission [Тематична работна група за образование и грижи в ранна детска възраст, ОГРДВ (2014 г.), Предложение за ключови принципи за рамка за качество на образованието и грижите в ранна детска възраст, доклад на Работната група за образование и грижи в ранна детска възраст под егидата на Европейската комисия], </w:t>
      </w:r>
      <w:hyperlink r:id="rId57">
        <w:r>
          <w:rPr>
            <w:rStyle w:val="Hyperlink"/>
            <w:rFonts w:ascii="Times New Roman" w:eastAsiaTheme="minorHAnsi" w:hAnsi="Times New Roman"/>
            <w:sz w:val="20"/>
            <w:bdr w:val="none" w:sz="0" w:space="0" w:color="auto"/>
          </w:rPr>
          <w:t>http://ec.europa.eu/assets/eac/education/policy/strategic-framework/archive/documents/ecec-quality-framework_en.pdf</w:t>
        </w:r>
      </w:hyperlink>
      <w:r>
        <w:rPr>
          <w:rStyle w:val="Hyperlink"/>
          <w:rFonts w:ascii="Times New Roman" w:eastAsiaTheme="minorHAnsi" w:hAnsi="Times New Roman"/>
          <w:sz w:val="20"/>
          <w:bdr w:val="none" w:sz="0" w:space="0" w:color="auto"/>
        </w:rPr>
        <w:t>.</w:t>
      </w:r>
    </w:p>
  </w:footnote>
  <w:footnote w:id="67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Eurofound (2015), Early Childhood Care: working conditions, training and quality-A systematic review [Европейска фондация за подобряване на условията на живот и труд (Eurofound) (2015 г.), Грижи в ранна детска възраст – Систематичен преглед], </w:t>
      </w:r>
      <w:hyperlink r:id="rId58">
        <w:r>
          <w:rPr>
            <w:rStyle w:val="Hyperlink"/>
          </w:rPr>
          <w:t>https://www.eurofound.europa.eu/de/publications/report/2015/working-conditions-social-policies/early-childhood-care-working-conditions-training-and-quality-of-services-a-systematic-review</w:t>
        </w:r>
      </w:hyperlink>
      <w:r>
        <w:rPr>
          <w:rStyle w:val="Hyperlink"/>
        </w:rPr>
        <w:t>.</w:t>
      </w:r>
      <w:r>
        <w:t xml:space="preserve"> </w:t>
      </w:r>
    </w:p>
  </w:footnote>
  <w:footnote w:id="68">
    <w:p>
      <w:pPr>
        <w:pStyle w:val="FootnoteText"/>
      </w:pPr>
      <w:r>
        <w:rPr>
          <w:rStyle w:val="FootnoteReference"/>
        </w:rPr>
        <w:footnoteRef/>
      </w:r>
      <w:r>
        <w:tab/>
        <w:t>European Commission (2011), CoRe: Competence Requirements in Early Childhood Education and Care [Европейска комисия (2011 г.): Изисквания за компетентност в образованието и грижите в ранна детска възраст],</w:t>
      </w:r>
      <w:r>
        <w:rPr>
          <w:lang w:val="en-GB"/>
        </w:rPr>
        <w:tab/>
      </w:r>
      <w:r>
        <w:br/>
      </w:r>
      <w:hyperlink r:id="rId59">
        <w:r>
          <w:rPr>
            <w:rStyle w:val="Hyperlink"/>
          </w:rPr>
          <w:t>https://download.ei-ie.org/Docs/WebDepot/CoReResearchDocuments2011.pdf</w:t>
        </w:r>
      </w:hyperlink>
      <w:r>
        <w:rPr>
          <w:rStyle w:val="Hyperlink"/>
        </w:rPr>
        <w:t>.</w:t>
      </w:r>
    </w:p>
  </w:footnote>
  <w:footnote w:id="69">
    <w:p>
      <w:pPr>
        <w:pStyle w:val="FootnoteText"/>
      </w:pPr>
      <w:r>
        <w:rPr>
          <w:rStyle w:val="FootnoteReference"/>
        </w:rPr>
        <w:footnoteRef/>
      </w:r>
      <w:r>
        <w:tab/>
        <w:t xml:space="preserve">Peeters, J.; Sharmahd, J.; Budginaitė I. (2016), Professionalisation of Childcare Assistants in Early Childhood Education and Care (ECEC): Pathways towards Qualification’, NESET II report [Професионализация на помощниците, предоставящи грижи за деца в заведения за образование и грижи в ранна детска възраст (ОГРДВ), доклад на Мрежата от експерти, работещи по социалните измерения на образованието и обучението NESET II], </w:t>
      </w:r>
      <w:hyperlink r:id="rId60">
        <w:r>
          <w:rPr>
            <w:rStyle w:val="Hyperlink"/>
          </w:rPr>
          <w:t>http://www.earlychildhoodworkforce.org/node/228</w:t>
        </w:r>
      </w:hyperlink>
      <w:r>
        <w:rPr>
          <w:rStyle w:val="Hyperlink"/>
        </w:rPr>
        <w:t>.</w:t>
      </w:r>
      <w:r>
        <w:t xml:space="preserve"> </w:t>
      </w:r>
    </w:p>
  </w:footnote>
  <w:footnote w:id="70">
    <w:p>
      <w:pPr>
        <w:pStyle w:val="FootnoteText"/>
      </w:pPr>
      <w:r>
        <w:rPr>
          <w:rStyle w:val="FootnoteReference"/>
        </w:rPr>
        <w:footnoteRef/>
      </w:r>
      <w:r>
        <w:tab/>
        <w:t xml:space="preserve">Lazzari A. (2017), </w:t>
      </w:r>
      <w:hyperlink r:id="rId61">
        <w:r>
          <w:rPr>
            <w:rStyle w:val="Hyperlink"/>
          </w:rPr>
          <w:t>The current state of national ECEC quality frameworks, or equivalent strategic policy documents, governing ECEC quality in EU Member States [Настоящо състояние на националните рамки за качество на ОГРДВ или равностойни стратегически документи на политиката, регулиращи качеството на ОГРДВ в държавите — членки на ЕС]</w:t>
        </w:r>
      </w:hyperlink>
      <w:r>
        <w:t>, NESET II report [доклад на Мрежата от експерти, работещи по социалните измерения на образованието и обучението NESET II].</w:t>
      </w:r>
    </w:p>
  </w:footnote>
  <w:footnote w:id="71">
    <w:p>
      <w:pPr>
        <w:pStyle w:val="FootnoteText"/>
      </w:pPr>
      <w:r>
        <w:rPr>
          <w:rStyle w:val="FootnoteReference"/>
        </w:rPr>
        <w:footnoteRef/>
      </w:r>
      <w:r>
        <w:tab/>
        <w:t xml:space="preserve">Presidency conclusions, Barcelona European Council, 15-16 March 2002, SN 100/1/02 REV 1 [Заключения на председателството, Европейски съвет, Барселона, 15—16 март 2002 г., SN 100/1/02 REV 1.]. </w:t>
      </w:r>
      <w:hyperlink r:id="rId62">
        <w:r>
          <w:rPr>
            <w:rStyle w:val="Hyperlink"/>
          </w:rPr>
          <w:t>http://ec.europa.eu/invest-in-research/pdf/download_en/barcelona_european_council.pdf</w:t>
        </w:r>
      </w:hyperlink>
    </w:p>
  </w:footnote>
  <w:footnote w:id="72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Доклад на Комисията относно осигуряването на детски заведения за малки деца с цел увеличаване на участието на жените на пазара на труда, постигане на равновесие между професионалния и личния живот от работещите родители и постигане на устойчив и приобщаващ растеж в Европа („целите от Барселона“), COM(2018) 273 final; </w:t>
      </w:r>
      <w:hyperlink r:id="rId63">
        <w:r>
          <w:rPr>
            <w:rStyle w:val="Hyperlink"/>
          </w:rPr>
          <w:t>http://ec.europa.eu/transparency/regdoc/rep/1/2018/EN/COM-2018-273-F1-EN-MAIN-PART-1.PDF</w:t>
        </w:r>
      </w:hyperlink>
    </w:p>
  </w:footnote>
  <w:footnote w:id="73">
    <w:p>
      <w:pPr>
        <w:pStyle w:val="FootnoteText"/>
      </w:pPr>
      <w:r>
        <w:rPr>
          <w:rStyle w:val="FootnoteReference"/>
        </w:rPr>
        <w:footnoteRef/>
      </w:r>
      <w:r>
        <w:tab/>
        <w:t xml:space="preserve">Съвместен доклад за 2015 г. на Съвета и на Комисията относно прилагането на стратегическата рамка за европейско сътрудничество в областта на образованието и обучението („Образование и обучение 2020“) — </w:t>
      </w:r>
      <w:r>
        <w:rPr>
          <w:i/>
        </w:rPr>
        <w:t>Нови приоритети за европейското сътрудничество в областта на образованието и обучението</w:t>
      </w:r>
      <w:r>
        <w:t xml:space="preserve">, </w:t>
      </w:r>
      <w:hyperlink r:id="rId64">
        <w:r>
          <w:rPr>
            <w:rStyle w:val="Hyperlink"/>
          </w:rPr>
          <w:t>2015/C 417/04</w:t>
        </w:r>
      </w:hyperlink>
      <w:r>
        <w:t>.</w:t>
      </w:r>
    </w:p>
  </w:footnote>
  <w:footnote w:id="74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Доклад на Комисията относно осигуряването на детски заведения за малки деца с цел увеличаване на участието на жените на пазара на труда, постигане на равновесие между професионалния и личния живот от работещите родители и постигане на устойчив и приобщаващ растеж в Европа („целите от Барселона“), COM(2018) 273 final; </w:t>
      </w:r>
      <w:hyperlink r:id="rId65">
        <w:r>
          <w:rPr>
            <w:rStyle w:val="Hyperlink"/>
          </w:rPr>
          <w:t>http://ec.europa.eu/transparency/regdoc/rep/1/2018/EN/COM-2018-273-F1-EN-MAIN-PART-1.PDF</w:t>
        </w:r>
      </w:hyperlink>
    </w:p>
  </w:footnote>
  <w:footnote w:id="75">
    <w:p>
      <w:pPr>
        <w:pStyle w:val="FootnoteText"/>
      </w:pPr>
      <w:r>
        <w:rPr>
          <w:rStyle w:val="FootnoteReference"/>
        </w:rPr>
        <w:footnoteRef/>
      </w:r>
      <w:r>
        <w:tab/>
        <w:t xml:space="preserve">European Commission (2017), </w:t>
      </w:r>
      <w:hyperlink r:id="rId66">
        <w:r>
          <w:rPr>
            <w:rStyle w:val="Hyperlink"/>
          </w:rPr>
          <w:t>Education and Training Monitor</w:t>
        </w:r>
      </w:hyperlink>
      <w:r>
        <w:rPr>
          <w:rStyle w:val="Hyperlink"/>
        </w:rPr>
        <w:t xml:space="preserve"> </w:t>
      </w:r>
      <w:r>
        <w:t>[Европейска комисия (2017 г.), Обзор на образованието и обучението].</w:t>
      </w:r>
    </w:p>
  </w:footnote>
  <w:footnote w:id="76">
    <w:p>
      <w:pPr>
        <w:pStyle w:val="FootnoteText"/>
      </w:pPr>
      <w:r>
        <w:rPr>
          <w:rStyle w:val="FootnoteReference"/>
        </w:rPr>
        <w:footnoteRef/>
      </w:r>
      <w:r>
        <w:tab/>
        <w:t>Образователни степени 0.1 и 0.2 съгласно Международната стандартна класификация на образованието (ISCED).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C807C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BBA5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6D4EB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FC02D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2908C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4A230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6A21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EDE5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0"/>
  </w:num>
  <w:num w:numId="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20"/>
  </w:num>
  <w:num w:numId="21">
    <w:abstractNumId w:val="11"/>
  </w:num>
  <w:num w:numId="22">
    <w:abstractNumId w:val="13"/>
  </w:num>
  <w:num w:numId="23">
    <w:abstractNumId w:val="9"/>
  </w:num>
  <w:num w:numId="24">
    <w:abstractNumId w:val="19"/>
  </w:num>
  <w:num w:numId="25">
    <w:abstractNumId w:val="8"/>
  </w:num>
  <w:num w:numId="26">
    <w:abstractNumId w:val="14"/>
  </w:num>
  <w:num w:numId="27">
    <w:abstractNumId w:val="16"/>
  </w:num>
  <w:num w:numId="28">
    <w:abstractNumId w:val="17"/>
  </w:num>
  <w:num w:numId="29">
    <w:abstractNumId w:val="10"/>
  </w:num>
  <w:num w:numId="30">
    <w:abstractNumId w:val="15"/>
  </w:num>
  <w:num w:numId="31">
    <w:abstractNumId w:val="21"/>
  </w:num>
  <w:num w:numId="32">
    <w:abstractNumId w:val="18"/>
  </w:num>
  <w:num w:numId="33">
    <w:abstractNumId w:val="12"/>
  </w:num>
  <w:num w:numId="34">
    <w:abstractNumId w:val="20"/>
  </w:num>
  <w:num w:numId="35">
    <w:abstractNumId w:val="11"/>
  </w:num>
  <w:num w:numId="36">
    <w:abstractNumId w:val="13"/>
  </w:num>
  <w:num w:numId="37">
    <w:abstractNumId w:val="9"/>
  </w:num>
  <w:num w:numId="38">
    <w:abstractNumId w:val="19"/>
  </w:num>
  <w:num w:numId="39">
    <w:abstractNumId w:val="8"/>
  </w:num>
  <w:num w:numId="40">
    <w:abstractNumId w:val="14"/>
  </w:num>
  <w:num w:numId="41">
    <w:abstractNumId w:val="16"/>
  </w:num>
  <w:num w:numId="42">
    <w:abstractNumId w:val="17"/>
  </w:num>
  <w:num w:numId="43">
    <w:abstractNumId w:val="10"/>
  </w:num>
  <w:num w:numId="44">
    <w:abstractNumId w:val="15"/>
  </w:num>
  <w:num w:numId="45">
    <w:abstractNumId w:val="21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OBSEN Trine (SG)">
    <w15:presenceInfo w15:providerId="None" w15:userId="JAKOBSEN Trine (S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5 19:20:02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5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5240269-63CA-4F63-B442-26E674948E0C"/>
    <w:docVar w:name="LW_COVERPAGE_TYPE" w:val="1"/>
    <w:docVar w:name="LW_CROSSREFERENCE" w:val="{SWD(2018) 173 final}"/>
    <w:docVar w:name="LW_DocType" w:val="COM"/>
    <w:docVar w:name="LW_EMISSION" w:val="22.5.2018"/>
    <w:docVar w:name="LW_EMISSION_ISODATE" w:val="2018-05-22"/>
    <w:docVar w:name="LW_EMISSION_LOCATION" w:val="BRX"/>
    <w:docVar w:name="LW_EMISSION_PREFIX" w:val="Брюксел, "/>
    <w:docVar w:name="LW_EMISSION_SUFFIX" w:val="&lt;EMPTY&gt;"/>
    <w:docVar w:name="LW_ID_DOCMODEL" w:val="SJ-022"/>
    <w:docVar w:name="LW_ID_DOCSIGNATURE" w:val="SJ-022"/>
    <w:docVar w:name="LW_ID_DOCSTRUCTURE" w:val="COM/PL/ORG"/>
    <w:docVar w:name="LW_ID_DOCTYPE" w:val="SJ-022"/>
    <w:docVar w:name="LW_ID_EXP.MOTIFS.NEW" w:val="EM_PL_"/>
    <w:docVar w:name="LW_ID_STATUT" w:val="SJ-022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27"/>
    <w:docVar w:name="LW_REF.II.NEW.CP_YEAR" w:val="2018"/>
    <w:docVar w:name="LW_REF.INST.NEW" w:val="COM"/>
    <w:docVar w:name="LW_REF.INST.NEW_ADOPTED" w:val="final"/>
    <w:docVar w:name="LW_REF.INST.NEW_TEXT" w:val="(2018) 2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74?\u1080?\u1089?\u1086?\u1082?\u1086?\u1082?\u1072?\u1095?\u1077?\u1089?\u1090?\u1074?\u1077?\u1085?\u1080? \u1089?\u1080?\u1089?\u1090?\u1077?\u1084?\u1080? \u1079?\u1072? \u1086?\u1073?\u1088?\u1072?\u1079?\u1086?\u1074?\u1072?\u1085?\u1080?\u1077? \u1080? \u1075?\u1088?\u1080?\u1078?\u1080? \u1074? \u1088?\u1072?\u1085?\u1085?\u1072? \u1076?\u1077?\u1090?\u1089?\u1082?\u1072? \u1074?\u1098?\u1079?\u1088?\u1072?\u1089?\u1090?"/>
    <w:docVar w:name="LW_TYPE.DOC.CP" w:val="\u1055?\u1056?\u1045?\u1055?\u1054?\u1056?\u1066?\u1050?\u1040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customStyle="1" w:styleId="footnote">
    <w:name w:val="footnote"/>
    <w:uiPriority w:val="6"/>
    <w:qFormat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16"/>
      <w:szCs w:val="16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2"/>
      </w:numPr>
    </w:pPr>
  </w:style>
  <w:style w:type="paragraph" w:customStyle="1" w:styleId="Tiret1">
    <w:name w:val="Tiret 1"/>
    <w:basedOn w:val="Point1"/>
    <w:pPr>
      <w:numPr>
        <w:numId w:val="33"/>
      </w:numPr>
    </w:pPr>
  </w:style>
  <w:style w:type="paragraph" w:customStyle="1" w:styleId="Tiret2">
    <w:name w:val="Tiret 2"/>
    <w:basedOn w:val="Point2"/>
    <w:pPr>
      <w:numPr>
        <w:numId w:val="34"/>
      </w:numPr>
    </w:pPr>
  </w:style>
  <w:style w:type="paragraph" w:customStyle="1" w:styleId="Tiret3">
    <w:name w:val="Tiret 3"/>
    <w:basedOn w:val="Point3"/>
    <w:pPr>
      <w:numPr>
        <w:numId w:val="35"/>
      </w:numPr>
    </w:pPr>
  </w:style>
  <w:style w:type="paragraph" w:customStyle="1" w:styleId="Tiret4">
    <w:name w:val="Tiret 4"/>
    <w:basedOn w:val="Point4"/>
    <w:pPr>
      <w:numPr>
        <w:numId w:val="3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9"/>
      </w:numPr>
    </w:pPr>
  </w:style>
  <w:style w:type="paragraph" w:customStyle="1" w:styleId="Point1number">
    <w:name w:val="Point 1 (number)"/>
    <w:basedOn w:val="Normal"/>
    <w:pPr>
      <w:numPr>
        <w:ilvl w:val="2"/>
        <w:numId w:val="39"/>
      </w:numPr>
    </w:pPr>
  </w:style>
  <w:style w:type="paragraph" w:customStyle="1" w:styleId="Point2number">
    <w:name w:val="Point 2 (number)"/>
    <w:basedOn w:val="Normal"/>
    <w:pPr>
      <w:numPr>
        <w:ilvl w:val="4"/>
        <w:numId w:val="39"/>
      </w:numPr>
    </w:pPr>
  </w:style>
  <w:style w:type="paragraph" w:customStyle="1" w:styleId="Point3number">
    <w:name w:val="Point 3 (number)"/>
    <w:basedOn w:val="Normal"/>
    <w:pPr>
      <w:numPr>
        <w:ilvl w:val="6"/>
        <w:numId w:val="39"/>
      </w:numPr>
    </w:pPr>
  </w:style>
  <w:style w:type="paragraph" w:customStyle="1" w:styleId="Point0letter">
    <w:name w:val="Point 0 (letter)"/>
    <w:basedOn w:val="Normal"/>
    <w:pPr>
      <w:numPr>
        <w:ilvl w:val="1"/>
        <w:numId w:val="39"/>
      </w:numPr>
    </w:pPr>
  </w:style>
  <w:style w:type="paragraph" w:customStyle="1" w:styleId="Point1letter">
    <w:name w:val="Point 1 (letter)"/>
    <w:basedOn w:val="Normal"/>
    <w:pPr>
      <w:numPr>
        <w:ilvl w:val="3"/>
        <w:numId w:val="39"/>
      </w:numPr>
    </w:pPr>
  </w:style>
  <w:style w:type="paragraph" w:customStyle="1" w:styleId="Point2letter">
    <w:name w:val="Point 2 (letter)"/>
    <w:basedOn w:val="Normal"/>
    <w:pPr>
      <w:numPr>
        <w:ilvl w:val="5"/>
        <w:numId w:val="39"/>
      </w:numPr>
    </w:pPr>
  </w:style>
  <w:style w:type="paragraph" w:customStyle="1" w:styleId="Point3letter">
    <w:name w:val="Point 3 (letter)"/>
    <w:basedOn w:val="Normal"/>
    <w:pPr>
      <w:numPr>
        <w:ilvl w:val="7"/>
        <w:numId w:val="39"/>
      </w:numPr>
    </w:pPr>
  </w:style>
  <w:style w:type="paragraph" w:customStyle="1" w:styleId="Point4letter">
    <w:name w:val="Point 4 (letter)"/>
    <w:basedOn w:val="Normal"/>
    <w:pPr>
      <w:numPr>
        <w:ilvl w:val="8"/>
        <w:numId w:val="39"/>
      </w:numPr>
    </w:pPr>
  </w:style>
  <w:style w:type="paragraph" w:customStyle="1" w:styleId="Bullet0">
    <w:name w:val="Bullet 0"/>
    <w:basedOn w:val="Normal"/>
    <w:pPr>
      <w:numPr>
        <w:numId w:val="40"/>
      </w:numPr>
    </w:pPr>
  </w:style>
  <w:style w:type="paragraph" w:customStyle="1" w:styleId="Bullet1">
    <w:name w:val="Bullet 1"/>
    <w:basedOn w:val="Normal"/>
    <w:pPr>
      <w:numPr>
        <w:numId w:val="41"/>
      </w:numPr>
    </w:pPr>
  </w:style>
  <w:style w:type="paragraph" w:customStyle="1" w:styleId="Bullet2">
    <w:name w:val="Bullet 2"/>
    <w:basedOn w:val="Normal"/>
    <w:pPr>
      <w:numPr>
        <w:numId w:val="42"/>
      </w:numPr>
    </w:pPr>
  </w:style>
  <w:style w:type="paragraph" w:customStyle="1" w:styleId="Bullet3">
    <w:name w:val="Bullet 3"/>
    <w:basedOn w:val="Normal"/>
    <w:pPr>
      <w:numPr>
        <w:numId w:val="43"/>
      </w:numPr>
    </w:pPr>
  </w:style>
  <w:style w:type="paragraph" w:customStyle="1" w:styleId="Bullet4">
    <w:name w:val="Bullet 4"/>
    <w:basedOn w:val="Normal"/>
    <w:pPr>
      <w:numPr>
        <w:numId w:val="4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customStyle="1" w:styleId="footnote">
    <w:name w:val="footnote"/>
    <w:uiPriority w:val="6"/>
    <w:qFormat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16"/>
      <w:szCs w:val="16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2"/>
      </w:numPr>
    </w:pPr>
  </w:style>
  <w:style w:type="paragraph" w:customStyle="1" w:styleId="Tiret1">
    <w:name w:val="Tiret 1"/>
    <w:basedOn w:val="Point1"/>
    <w:pPr>
      <w:numPr>
        <w:numId w:val="33"/>
      </w:numPr>
    </w:pPr>
  </w:style>
  <w:style w:type="paragraph" w:customStyle="1" w:styleId="Tiret2">
    <w:name w:val="Tiret 2"/>
    <w:basedOn w:val="Point2"/>
    <w:pPr>
      <w:numPr>
        <w:numId w:val="34"/>
      </w:numPr>
    </w:pPr>
  </w:style>
  <w:style w:type="paragraph" w:customStyle="1" w:styleId="Tiret3">
    <w:name w:val="Tiret 3"/>
    <w:basedOn w:val="Point3"/>
    <w:pPr>
      <w:numPr>
        <w:numId w:val="35"/>
      </w:numPr>
    </w:pPr>
  </w:style>
  <w:style w:type="paragraph" w:customStyle="1" w:styleId="Tiret4">
    <w:name w:val="Tiret 4"/>
    <w:basedOn w:val="Point4"/>
    <w:pPr>
      <w:numPr>
        <w:numId w:val="3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9"/>
      </w:numPr>
    </w:pPr>
  </w:style>
  <w:style w:type="paragraph" w:customStyle="1" w:styleId="Point1number">
    <w:name w:val="Point 1 (number)"/>
    <w:basedOn w:val="Normal"/>
    <w:pPr>
      <w:numPr>
        <w:ilvl w:val="2"/>
        <w:numId w:val="39"/>
      </w:numPr>
    </w:pPr>
  </w:style>
  <w:style w:type="paragraph" w:customStyle="1" w:styleId="Point2number">
    <w:name w:val="Point 2 (number)"/>
    <w:basedOn w:val="Normal"/>
    <w:pPr>
      <w:numPr>
        <w:ilvl w:val="4"/>
        <w:numId w:val="39"/>
      </w:numPr>
    </w:pPr>
  </w:style>
  <w:style w:type="paragraph" w:customStyle="1" w:styleId="Point3number">
    <w:name w:val="Point 3 (number)"/>
    <w:basedOn w:val="Normal"/>
    <w:pPr>
      <w:numPr>
        <w:ilvl w:val="6"/>
        <w:numId w:val="39"/>
      </w:numPr>
    </w:pPr>
  </w:style>
  <w:style w:type="paragraph" w:customStyle="1" w:styleId="Point0letter">
    <w:name w:val="Point 0 (letter)"/>
    <w:basedOn w:val="Normal"/>
    <w:pPr>
      <w:numPr>
        <w:ilvl w:val="1"/>
        <w:numId w:val="39"/>
      </w:numPr>
    </w:pPr>
  </w:style>
  <w:style w:type="paragraph" w:customStyle="1" w:styleId="Point1letter">
    <w:name w:val="Point 1 (letter)"/>
    <w:basedOn w:val="Normal"/>
    <w:pPr>
      <w:numPr>
        <w:ilvl w:val="3"/>
        <w:numId w:val="39"/>
      </w:numPr>
    </w:pPr>
  </w:style>
  <w:style w:type="paragraph" w:customStyle="1" w:styleId="Point2letter">
    <w:name w:val="Point 2 (letter)"/>
    <w:basedOn w:val="Normal"/>
    <w:pPr>
      <w:numPr>
        <w:ilvl w:val="5"/>
        <w:numId w:val="39"/>
      </w:numPr>
    </w:pPr>
  </w:style>
  <w:style w:type="paragraph" w:customStyle="1" w:styleId="Point3letter">
    <w:name w:val="Point 3 (letter)"/>
    <w:basedOn w:val="Normal"/>
    <w:pPr>
      <w:numPr>
        <w:ilvl w:val="7"/>
        <w:numId w:val="39"/>
      </w:numPr>
    </w:pPr>
  </w:style>
  <w:style w:type="paragraph" w:customStyle="1" w:styleId="Point4letter">
    <w:name w:val="Point 4 (letter)"/>
    <w:basedOn w:val="Normal"/>
    <w:pPr>
      <w:numPr>
        <w:ilvl w:val="8"/>
        <w:numId w:val="39"/>
      </w:numPr>
    </w:pPr>
  </w:style>
  <w:style w:type="paragraph" w:customStyle="1" w:styleId="Bullet0">
    <w:name w:val="Bullet 0"/>
    <w:basedOn w:val="Normal"/>
    <w:pPr>
      <w:numPr>
        <w:numId w:val="40"/>
      </w:numPr>
    </w:pPr>
  </w:style>
  <w:style w:type="paragraph" w:customStyle="1" w:styleId="Bullet1">
    <w:name w:val="Bullet 1"/>
    <w:basedOn w:val="Normal"/>
    <w:pPr>
      <w:numPr>
        <w:numId w:val="41"/>
      </w:numPr>
    </w:pPr>
  </w:style>
  <w:style w:type="paragraph" w:customStyle="1" w:styleId="Bullet2">
    <w:name w:val="Bullet 2"/>
    <w:basedOn w:val="Normal"/>
    <w:pPr>
      <w:numPr>
        <w:numId w:val="42"/>
      </w:numPr>
    </w:pPr>
  </w:style>
  <w:style w:type="paragraph" w:customStyle="1" w:styleId="Bullet3">
    <w:name w:val="Bullet 3"/>
    <w:basedOn w:val="Normal"/>
    <w:pPr>
      <w:numPr>
        <w:numId w:val="43"/>
      </w:numPr>
    </w:pPr>
  </w:style>
  <w:style w:type="paragraph" w:customStyle="1" w:styleId="Bullet4">
    <w:name w:val="Bullet 4"/>
    <w:basedOn w:val="Normal"/>
    <w:pPr>
      <w:numPr>
        <w:numId w:val="4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BG/TXT/PDF/?uri=CELEX:52017DC0248&amp;from=BG" TargetMode="External"/><Relationship Id="rId18" Type="http://schemas.openxmlformats.org/officeDocument/2006/relationships/hyperlink" Target="http://ec.europa.eu/transparency/regdoc/rep/1/2018/EN/COM-2018-273-F1-EN-MAIN-PART-1.PDF" TargetMode="External"/><Relationship Id="rId26" Type="http://schemas.openxmlformats.org/officeDocument/2006/relationships/hyperlink" Target="http://ec.europa.eu/transparency/regdoc/rep/1/2017/BG/COM-2017-211-F1-BG-MAIN-PART-1.PDF" TargetMode="External"/><Relationship Id="rId39" Type="http://schemas.openxmlformats.org/officeDocument/2006/relationships/hyperlink" Target="https://sustainabledevelopment.un.org/sdg4" TargetMode="External"/><Relationship Id="rId21" Type="http://schemas.openxmlformats.org/officeDocument/2006/relationships/hyperlink" Target="http://eur-lex.europa.eu/legal-content/BG/TXT/?qid=1444910104414&amp;uri=CELEX:52011DC0173" TargetMode="External"/><Relationship Id="rId34" Type="http://schemas.openxmlformats.org/officeDocument/2006/relationships/hyperlink" Target="https://publications.europa.eu/en/publication-detail/-/publication/825252b4-3ec6-11e8-b5fe-01aa75ed71a1/language-en/format-PDF/source-69837044" TargetMode="External"/><Relationship Id="rId42" Type="http://schemas.openxmlformats.org/officeDocument/2006/relationships/hyperlink" Target="https://publications.europa.eu/en/publication-detail/-/publication/395443f6-fb6d-11e7-b8f5-01aa75ed71a1/language-bg/format-PDF" TargetMode="External"/><Relationship Id="rId47" Type="http://schemas.openxmlformats.org/officeDocument/2006/relationships/hyperlink" Target="http://eur-lex.europa.eu/legal-content/BG/TXT/PDF/?uri=CELEX:52011XG0525(01)&amp;from=BG" TargetMode="External"/><Relationship Id="rId50" Type="http://schemas.openxmlformats.org/officeDocument/2006/relationships/hyperlink" Target="http://dx.doi.org/10.1787/9789264276116-en" TargetMode="External"/><Relationship Id="rId55" Type="http://schemas.openxmlformats.org/officeDocument/2006/relationships/hyperlink" Target="http://www.ohchr.org/EN/ProfessionalInterest/Pages/CRC.aspx" TargetMode="External"/><Relationship Id="rId63" Type="http://schemas.openxmlformats.org/officeDocument/2006/relationships/hyperlink" Target="http://ec.europa.eu/transparency/regdoc/rep/1/2018/EN/COM-2018-273-F1-EN-MAIN-PART-1.PDF" TargetMode="External"/><Relationship Id="rId7" Type="http://schemas.openxmlformats.org/officeDocument/2006/relationships/hyperlink" Target="https://ec.europa.eu/epsc/publications/other-publications/10-trends-transforming-education-we-know-it_en" TargetMode="External"/><Relationship Id="rId2" Type="http://schemas.openxmlformats.org/officeDocument/2006/relationships/hyperlink" Target="http://eur-lex.europa.eu/legal-content/BG/TXT/PDF/?uri=CELEX:52017DC0673&amp;from=BG" TargetMode="External"/><Relationship Id="rId16" Type="http://schemas.openxmlformats.org/officeDocument/2006/relationships/hyperlink" Target="https://ec.europa.eu/education/sites/education/files/recommendation-common-values-inclusive-education-european-dimension-of-teaching.pdf" TargetMode="External"/><Relationship Id="rId20" Type="http://schemas.openxmlformats.org/officeDocument/2006/relationships/hyperlink" Target="https://ec.europa.eu/anti-trafficking/eu-policy/strategic-engagement-gender-equality-2016-2019_en" TargetMode="External"/><Relationship Id="rId29" Type="http://schemas.openxmlformats.org/officeDocument/2006/relationships/hyperlink" Target="http://ec.europa.eu/assets/eac/education/policy/strategic-framework/archive/documents/ecec-quality-framework_en.pdf" TargetMode="External"/><Relationship Id="rId41" Type="http://schemas.openxmlformats.org/officeDocument/2006/relationships/hyperlink" Target="https://publications.europa.eu/en/publication-detail/-/publication/909cf71e-dbec-11e7-a506-01aa75ed71a1/language-bg" TargetMode="External"/><Relationship Id="rId54" Type="http://schemas.openxmlformats.org/officeDocument/2006/relationships/hyperlink" Target="http://www.edizionijunior.com/public/INSERTI/CiE%20Policy%20Paper_april%202008_INGLESE.pdf" TargetMode="External"/><Relationship Id="rId62" Type="http://schemas.openxmlformats.org/officeDocument/2006/relationships/hyperlink" Target="http://ec.europa.eu/invest-in-research/pdf/download_en/barcelona_european_council.pdf" TargetMode="External"/><Relationship Id="rId1" Type="http://schemas.openxmlformats.org/officeDocument/2006/relationships/hyperlink" Target="http://data.consilium.europa.eu/doc/document/ST-13129-2017-INIT/bg/pdf" TargetMode="External"/><Relationship Id="rId6" Type="http://schemas.openxmlformats.org/officeDocument/2006/relationships/hyperlink" Target="http://www.oecd.org/els/mig/Indicators-of-Immigrant-Integration-2015.pdf" TargetMode="External"/><Relationship Id="rId11" Type="http://schemas.openxmlformats.org/officeDocument/2006/relationships/hyperlink" Target="https://www.researchgate.net/publication/236347188_Accessibility_of_Early_Childhood_Education_and_Care_ECEC_for_children_from_ethnic_minority_and_low--income_families" TargetMode="External"/><Relationship Id="rId24" Type="http://schemas.openxmlformats.org/officeDocument/2006/relationships/hyperlink" Target="https://www.consilium.europa.eu/uedocs/cms_data/docs/pressdata/en/lsa/139979.pdf" TargetMode="External"/><Relationship Id="rId32" Type="http://schemas.openxmlformats.org/officeDocument/2006/relationships/hyperlink" Target="http://ec.europa.eu/social/main.jsp?langId=bg&amp;catId=699&amp;consultId=22&amp;visib=0&amp;furtherConsult=yes" TargetMode="External"/><Relationship Id="rId37" Type="http://schemas.openxmlformats.org/officeDocument/2006/relationships/hyperlink" Target="http://data.consilium.europa.eu/doc/document/ST-13129-2017-INIT/bg/pdf" TargetMode="External"/><Relationship Id="rId40" Type="http://schemas.openxmlformats.org/officeDocument/2006/relationships/hyperlink" Target="http://eur-lex.europa.eu/legal-content/BG/TXT/PDF/?uri=CELEX:52017DC0673&amp;from=BG" TargetMode="External"/><Relationship Id="rId45" Type="http://schemas.openxmlformats.org/officeDocument/2006/relationships/hyperlink" Target="http://www.oecd.org/education/education-at-a-glance-19991487.htm" TargetMode="External"/><Relationship Id="rId53" Type="http://schemas.openxmlformats.org/officeDocument/2006/relationships/hyperlink" Target="http://www.europarl.europa.eu/sides/getDoc.do?pubRef=-//EP//NONSGML+TA+P8-TA-2017-0360+0+DOC+PDF+V0//BG" TargetMode="External"/><Relationship Id="rId58" Type="http://schemas.openxmlformats.org/officeDocument/2006/relationships/hyperlink" Target="https://www.eurofound.europa.eu/de/publications/report/2015/working-conditions-social-policies/early-childhood-care-working-conditions-training-and-quality-of-services-a-systematic-review" TargetMode="External"/><Relationship Id="rId66" Type="http://schemas.openxmlformats.org/officeDocument/2006/relationships/hyperlink" Target="https://ec.europa.eu/education/policy/strategic-framework/et-monitor_en" TargetMode="External"/><Relationship Id="rId5" Type="http://schemas.openxmlformats.org/officeDocument/2006/relationships/hyperlink" Target="https://www.mecd.gob.es/dctm/inee/internacional/low-performers-ebook-final.pdf?documentId=0901e72b82011e68" TargetMode="External"/><Relationship Id="rId15" Type="http://schemas.openxmlformats.org/officeDocument/2006/relationships/hyperlink" Target="https://publications.europa.eu/en/publication-detail/-/publication/395443f6-fb6d-11e7-b8f5-01aa75ed71a1/language-bg/format-PDF" TargetMode="External"/><Relationship Id="rId23" Type="http://schemas.openxmlformats.org/officeDocument/2006/relationships/hyperlink" Target="http://eur-lex.europa.eu/legal-content/bg/TXT/?uri=CELEX:32013H1224(01)" TargetMode="External"/><Relationship Id="rId28" Type="http://schemas.openxmlformats.org/officeDocument/2006/relationships/hyperlink" Target="http://eur-lex.europa.eu/legal-content/BG/TXT/PDF/?uri=OJ:C:2015:417:FULL&amp;from=BG" TargetMode="External"/><Relationship Id="rId36" Type="http://schemas.openxmlformats.org/officeDocument/2006/relationships/hyperlink" Target="http://eur-lex.europa.eu/legal-content/BG/TXT/PDF/?uri=OJ:C:2015:417:FULL&amp;from=BG" TargetMode="External"/><Relationship Id="rId49" Type="http://schemas.openxmlformats.org/officeDocument/2006/relationships/hyperlink" Target="http://ecec-care.org/" TargetMode="External"/><Relationship Id="rId57" Type="http://schemas.openxmlformats.org/officeDocument/2006/relationships/hyperlink" Target="http://ec.europa.eu/assets/eac/education/policy/strategic-framework/archive/documents/ecec-quality-framework_en.pdf" TargetMode="External"/><Relationship Id="rId61" Type="http://schemas.openxmlformats.org/officeDocument/2006/relationships/hyperlink" Target="http://nesetweb.eu/wp-content/uploads/AHQ4.pdf" TargetMode="External"/><Relationship Id="rId10" Type="http://schemas.openxmlformats.org/officeDocument/2006/relationships/hyperlink" Target="http://ec.europa.eu/transparency/regdoc/rep/1/2018/EN/COM-2018-273-F1-EN-MAIN-PART-1.PDF" TargetMode="External"/><Relationship Id="rId19" Type="http://schemas.openxmlformats.org/officeDocument/2006/relationships/hyperlink" Target="https://ec.europa.eu/transparency/regdoc/rep/1/2017/BG/COM-2017-252-F1-BG-MAIN-PART-1.PDF" TargetMode="External"/><Relationship Id="rId31" Type="http://schemas.openxmlformats.org/officeDocument/2006/relationships/hyperlink" Target="http://ec.europa.eu/social/main.jsp?catId=1311&amp;langId=en&amp;moreDocuments=yes" TargetMode="External"/><Relationship Id="rId44" Type="http://schemas.openxmlformats.org/officeDocument/2006/relationships/hyperlink" Target="http://www.eenee.de/eeneeHome/EENEE/Analytical-Reports.html" TargetMode="External"/><Relationship Id="rId52" Type="http://schemas.openxmlformats.org/officeDocument/2006/relationships/hyperlink" Target="https://www.eurofound.europa.eu/sites/default/files/ef_publication/field_ef_document/ef1512en.pdf" TargetMode="External"/><Relationship Id="rId60" Type="http://schemas.openxmlformats.org/officeDocument/2006/relationships/hyperlink" Target="http://www.earlychildhoodworkforce.org/node/228" TargetMode="External"/><Relationship Id="rId65" Type="http://schemas.openxmlformats.org/officeDocument/2006/relationships/hyperlink" Target="http://ec.europa.eu/transparency/regdoc/rep/1/2018/EN/COM-2018-273-F1-EN-MAIN-PART-1.PDF" TargetMode="External"/><Relationship Id="rId4" Type="http://schemas.openxmlformats.org/officeDocument/2006/relationships/hyperlink" Target="https://publications.europa.eu/en/publication-detail/-/publication/7548dd37-c626-4e2d-bd70-625edf707adc/language-en" TargetMode="External"/><Relationship Id="rId9" Type="http://schemas.openxmlformats.org/officeDocument/2006/relationships/hyperlink" Target="http://ec.europa.eu/education/sites/education/files/monitor2017_en.pdf" TargetMode="External"/><Relationship Id="rId14" Type="http://schemas.openxmlformats.org/officeDocument/2006/relationships/hyperlink" Target="https://publications.europa.eu/en/publication-detail/-/publication/909cf71e-dbec-11e7-a506-01aa75ed71a1/language-bg%20-%20%D0%A2%D0%BE%D0%B2%D0%B0%20%D0%B5%20%D0%BB%D0%B8%D0%BD%D0%BA%D1%8A%D1%82%20%D0%BA%D1%8A%D0%BC%20%D0%B4%D0%BE%D0%BA%D1%83%D0%BC%D0%B5%D0%BD%D1%82%D0%B0%20%D0%BD%D0%B0%20%D0%B1%D1%8A%D0%BB%D0%B3%D0%B0%D1%80%D1%81%D0%BA%D0%B8%20%D0%B5%D0%B7%D0%B8%D0%BA." TargetMode="External"/><Relationship Id="rId22" Type="http://schemas.openxmlformats.org/officeDocument/2006/relationships/hyperlink" Target="http://eur-lex.europa.eu/legal-content/en/ALL/?uri=CELEX:52011DC0173" TargetMode="External"/><Relationship Id="rId27" Type="http://schemas.openxmlformats.org/officeDocument/2006/relationships/hyperlink" Target="https://ec.europa.eu/commission/sites/beta-political/files/social-scoreboard-2018-country-reports_en.pdf" TargetMode="External"/><Relationship Id="rId30" Type="http://schemas.openxmlformats.org/officeDocument/2006/relationships/hyperlink" Target="https://ec.europa.eu/education/sites/education/files/great-start-life-report_en.pdf" TargetMode="External"/><Relationship Id="rId35" Type="http://schemas.openxmlformats.org/officeDocument/2006/relationships/hyperlink" Target="http://ec.europa.eu/invest-in-research/pdf/download_en/barcelona_european_council.pdf" TargetMode="External"/><Relationship Id="rId43" Type="http://schemas.openxmlformats.org/officeDocument/2006/relationships/hyperlink" Target="http://eur-lex.europa.eu/legal-content/bg/TXT/?uri=CELEX:32013H1224(01)" TargetMode="External"/><Relationship Id="rId48" Type="http://schemas.openxmlformats.org/officeDocument/2006/relationships/hyperlink" Target="https://ec.europa.eu/transparency/regdoc/rep/1/2017/BG/COM-2017-252-F1-BG-MAIN-PART-1.PDF" TargetMode="External"/><Relationship Id="rId56" Type="http://schemas.openxmlformats.org/officeDocument/2006/relationships/hyperlink" Target="https://www.un.org/disabilities/documents/convention/convention_accessible_pdf.pdf" TargetMode="External"/><Relationship Id="rId64" Type="http://schemas.openxmlformats.org/officeDocument/2006/relationships/hyperlink" Target="http://eur-lex.europa.eu/legal-content/BG/TXT/PDF/?uri=OJ:C:2015:417:FULL&amp;from=BG" TargetMode="External"/><Relationship Id="rId8" Type="http://schemas.openxmlformats.org/officeDocument/2006/relationships/hyperlink" Target="http://ec.europa.eu/eurostat/web/education-and-training/eu-benchmarks" TargetMode="External"/><Relationship Id="rId51" Type="http://schemas.openxmlformats.org/officeDocument/2006/relationships/hyperlink" Target="http://eur-lex.europa.eu/legal-content/BG/TXT/PDF/?uri=CELEX:32013H1224(01)&amp;from=bg" TargetMode="External"/><Relationship Id="rId3" Type="http://schemas.openxmlformats.org/officeDocument/2006/relationships/hyperlink" Target="http://eur-lex.europa.eu/legal-content/BG/TXT/PDF/?uri=CELEX:52017DC0673&amp;from=BG" TargetMode="External"/><Relationship Id="rId12" Type="http://schemas.openxmlformats.org/officeDocument/2006/relationships/hyperlink" Target="https://publications.europa.eu/en/publication-detail/-/publication/14194adc-fc04-11e7-b8f5-01aa75ed71a1/language-en" TargetMode="External"/><Relationship Id="rId17" Type="http://schemas.openxmlformats.org/officeDocument/2006/relationships/hyperlink" Target="http://data.consilium.europa.eu/doc/document/ST-13129-2017-INIT/bg/pdf" TargetMode="External"/><Relationship Id="rId25" Type="http://schemas.openxmlformats.org/officeDocument/2006/relationships/hyperlink" Target="https://ec.europa.eu/home-affairs/sites/homeaffairs/files/what-we-do/policies/european-agenda-migration/proposal-implementation-package/docs/20160607/communication_action_plan_integration_third-country_nationals_en.pdf" TargetMode="External"/><Relationship Id="rId33" Type="http://schemas.openxmlformats.org/officeDocument/2006/relationships/hyperlink" Target="http://www.easpd.eu/sites/default/files/sites/default/files/Policy/Education/easpd_statement_on_early_childhood_intervention.pdf" TargetMode="External"/><Relationship Id="rId38" Type="http://schemas.openxmlformats.org/officeDocument/2006/relationships/hyperlink" Target="http://eur-lex.europa.eu/legal-content/BG/TXT/PDF/?uri=CELEX:C2012/326/02&amp;from=BG" TargetMode="External"/><Relationship Id="rId46" Type="http://schemas.openxmlformats.org/officeDocument/2006/relationships/hyperlink" Target="https://publications.europa.eu/en/publication-detail/-/publication/7548dd37-c626-4e2d-bd70-625edf707adc/language-en" TargetMode="External"/><Relationship Id="rId59" Type="http://schemas.openxmlformats.org/officeDocument/2006/relationships/hyperlink" Target="https://download.ei-ie.org/Docs/WebDepot/CoReResearchDocuments201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C18D-20BD-469F-A9CF-7504D7EE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24</Pages>
  <Words>7072</Words>
  <Characters>41302</Characters>
  <Application>Microsoft Office Word</Application>
  <DocSecurity>0</DocSecurity>
  <Lines>737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19</cp:revision>
  <cp:lastPrinted>2018-05-03T10:58:00Z</cp:lastPrinted>
  <dcterms:created xsi:type="dcterms:W3CDTF">2018-05-24T08:59:00Z</dcterms:created>
  <dcterms:modified xsi:type="dcterms:W3CDTF">2018-05-25T17:20:00Z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SJ-022</vt:lpwstr>
  </property>
  <property fmtid="{D5CDD505-2E9C-101B-9397-08002B2CF9AE}" pid="10" name="DQCStatus">
    <vt:lpwstr>Green (DQC version 03)</vt:lpwstr>
  </property>
</Properties>
</file>