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FA655E2-0C51-4331-BBDC-57C3635FE5EC" style="width:451.25pt;height:36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bdr w:val="none" w:sz="0" w:space="0" w:color="auto" w:frame="1"/>
        </w:rPr>
        <w:t>•</w:t>
      </w:r>
      <w:r>
        <w:rPr>
          <w:noProof/>
        </w:rPr>
        <w:tab/>
        <w:t>Основания и цели на предложението</w:t>
      </w:r>
    </w:p>
    <w:p>
      <w:pPr>
        <w:rPr>
          <w:noProof/>
        </w:rPr>
      </w:pPr>
      <w:r>
        <w:rPr>
          <w:noProof/>
        </w:rPr>
        <w:t>Някои селскостопански и промишлени продукти не се произвеждат в Съюза или се произвеждат в недостатъчни количества. За да се осигури достатъчно и непрекъснато снабдяване и да се избегнат смущенията на пазара на тези продукти, с Регламент (ЕС) № </w:t>
      </w:r>
      <w:r>
        <w:rPr>
          <w:rStyle w:val="highlight"/>
          <w:noProof/>
        </w:rPr>
        <w:t>1387/2013</w:t>
      </w:r>
      <w:r>
        <w:rPr>
          <w:noProof/>
        </w:rPr>
        <w:t xml:space="preserve"> на Съвета</w:t>
      </w:r>
      <w:r>
        <w:rPr>
          <w:rStyle w:val="FootnoteReference0"/>
          <w:noProof/>
        </w:rPr>
        <w:footnoteReference w:id="1"/>
      </w:r>
      <w:r>
        <w:rPr>
          <w:noProof/>
        </w:rPr>
        <w:t xml:space="preserve"> бяха частично или изцяло суспендирани някои автономни мита по Общата митническа тарифа. </w:t>
      </w:r>
    </w:p>
    <w:p>
      <w:pPr>
        <w:rPr>
          <w:noProof/>
        </w:rPr>
      </w:pPr>
      <w:r>
        <w:rPr>
          <w:noProof/>
        </w:rPr>
        <w:t>Регламентът се актуализира на всеки шест месеца, за да отговаря на нуждите на промишлеността на Съюза. Подпомагана от Групата по икономически и тарифни въпроси, Комисията разгледа всички представени от държавите членки искания за суспендиране на автономни мита.</w:t>
      </w:r>
    </w:p>
    <w:p>
      <w:pPr>
        <w:rPr>
          <w:noProof/>
        </w:rPr>
      </w:pPr>
      <w:r>
        <w:rPr>
          <w:noProof/>
        </w:rPr>
        <w:t>След разглеждането Комисията смята, че суспендирането на митата е обосновано за някои нови продукти, които понастоящем не са посочени в приложението към Регламент (ЕС) № 1387/2013 на Съвета. Следва да бъдат изменени условията за описанието, класирането или изискването за специфична употреба за някои други продукти. Продуктите, за които суспендирането на митата вече не отговаря на икономическите интереси на Съюза, следва да се заличат от приложението.</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t>Съгласуваност с действащите разпоредби в тази област на политиката</w:t>
      </w:r>
    </w:p>
    <w:p>
      <w:pPr>
        <w:rPr>
          <w:noProof/>
        </w:rPr>
      </w:pPr>
      <w:r>
        <w:rPr>
          <w:noProof/>
        </w:rPr>
        <w:t>Настоящото предложение не засяга държавите, които имат преференциални търговски споразумения със Съюза, държавите – кандидатки и потенциални кандидатки за преференциални споразумения със Съюза (например Общата система за преференции; режима на Споразумението за партньорство с държавите от Африка, Карибите и Тихоокеанския басейн; споразуменията за свободна търговия.</w:t>
      </w:r>
    </w:p>
    <w:p>
      <w:pPr>
        <w:pStyle w:val="ManualHeading2"/>
        <w:rPr>
          <w:rFonts w:eastAsia="Arial Unicode MS"/>
          <w:noProof/>
        </w:rPr>
      </w:pPr>
      <w:r>
        <w:rPr>
          <w:noProof/>
          <w:color w:val="000000"/>
          <w:bdr w:val="none" w:sz="0" w:space="0" w:color="auto" w:frame="1"/>
        </w:rPr>
        <w:t>•</w:t>
      </w:r>
      <w:r>
        <w:rPr>
          <w:noProof/>
        </w:rPr>
        <w:tab/>
        <w:t>Съгласуваност с други политики на Съюза</w:t>
      </w:r>
    </w:p>
    <w:p>
      <w:pPr>
        <w:spacing w:before="0" w:after="240"/>
        <w:rPr>
          <w:rFonts w:eastAsia="Arial Unicode MS"/>
          <w:noProof/>
        </w:rPr>
      </w:pPr>
      <w:r>
        <w:rPr>
          <w:noProof/>
        </w:rPr>
        <w:t>Предложението е съобразено с политиките на Съюза в областта на селското стопанство, търговията, предприемачеството, развитието и външните отношения.</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bdr w:val="none" w:sz="0" w:space="0" w:color="auto" w:frame="1"/>
        </w:rPr>
      </w:pPr>
      <w:r>
        <w:rPr>
          <w:noProof/>
        </w:rPr>
        <w:t>•</w:t>
      </w:r>
      <w:r>
        <w:rPr>
          <w:noProof/>
        </w:rPr>
        <w:tab/>
        <w:t>Правно основание</w:t>
      </w:r>
    </w:p>
    <w:p>
      <w:pPr>
        <w:spacing w:before="0" w:after="240"/>
        <w:rPr>
          <w:rFonts w:eastAsia="Arial Unicode MS"/>
          <w:noProof/>
        </w:rPr>
      </w:pPr>
      <w:r>
        <w:rPr>
          <w:noProof/>
        </w:rPr>
        <w:t xml:space="preserve">Правното основание на настоящото предложение е член 31 от Договора за функционирането на Европейския съюз (ДФЕС). </w:t>
      </w:r>
    </w:p>
    <w:p>
      <w:pPr>
        <w:pStyle w:val="ManualHeading2"/>
        <w:rPr>
          <w:rFonts w:eastAsia="Arial Unicode MS"/>
          <w:noProof/>
          <w:bdr w:val="none" w:sz="0" w:space="0" w:color="auto" w:frame="1"/>
        </w:rPr>
      </w:pPr>
      <w:r>
        <w:rPr>
          <w:noProof/>
        </w:rPr>
        <w:t>•</w:t>
      </w:r>
      <w:r>
        <w:rPr>
          <w:noProof/>
        </w:rPr>
        <w:tab/>
        <w:t xml:space="preserve">Субсидиарност (при неизключителна компетентност) </w:t>
      </w:r>
    </w:p>
    <w:p>
      <w:pPr>
        <w:spacing w:before="0" w:after="240"/>
        <w:rPr>
          <w:rFonts w:eastAsia="Arial Unicode MS"/>
          <w:noProof/>
        </w:rPr>
      </w:pPr>
      <w:r>
        <w:rPr>
          <w:noProof/>
        </w:rPr>
        <w:t>Предложението е от изключителната компетентност на Съюза. Следователно принципът на субсидиарност не се прилага.</w:t>
      </w:r>
    </w:p>
    <w:p>
      <w:pPr>
        <w:pStyle w:val="ManualHeading2"/>
        <w:rPr>
          <w:rFonts w:eastAsia="Arial Unicode MS"/>
          <w:noProof/>
          <w:bdr w:val="none" w:sz="0" w:space="0" w:color="auto" w:frame="1"/>
        </w:rPr>
      </w:pPr>
      <w:r>
        <w:rPr>
          <w:noProof/>
        </w:rPr>
        <w:t>•</w:t>
      </w:r>
      <w:r>
        <w:rPr>
          <w:noProof/>
        </w:rPr>
        <w:tab/>
        <w:t>Пропорционалност</w:t>
      </w:r>
    </w:p>
    <w:p>
      <w:pPr>
        <w:spacing w:before="100" w:beforeAutospacing="1" w:after="100" w:afterAutospacing="1"/>
        <w:rPr>
          <w:rFonts w:eastAsia="Times New Roman"/>
          <w:noProof/>
          <w:szCs w:val="24"/>
        </w:rPr>
      </w:pPr>
      <w:r>
        <w:rPr>
          <w:noProof/>
        </w:rPr>
        <w:t xml:space="preserve">Предложението е съобразено с принципа на пропорционалност. Предвидените мерки съответстват на принципите за опростяване на процедурите за икономическите оператори с предмет на дейност във външната търговия, определени в Съобщението на Комисията относно суспендирането на автономни мита и относно автономните </w:t>
      </w:r>
      <w:r>
        <w:rPr>
          <w:noProof/>
        </w:rPr>
        <w:lastRenderedPageBreak/>
        <w:t>тарифни квоти</w:t>
      </w:r>
      <w:r>
        <w:rPr>
          <w:rStyle w:val="FootnoteReference0"/>
          <w:noProof/>
        </w:rPr>
        <w:footnoteReference w:id="2"/>
      </w:r>
      <w:r>
        <w:rPr>
          <w:noProof/>
        </w:rPr>
        <w:t>. С настоящия регламент не се надхвърля необходимото за постигането на поставените цели в съответствие с член 5, параграф 4 от Договора за Европейския съюз (ДЕС).</w:t>
      </w:r>
    </w:p>
    <w:p>
      <w:pPr>
        <w:pStyle w:val="ManualHeading2"/>
        <w:rPr>
          <w:rFonts w:eastAsia="Arial Unicode MS"/>
          <w:noProof/>
          <w:bdr w:val="none" w:sz="0" w:space="0" w:color="auto" w:frame="1"/>
        </w:rPr>
      </w:pPr>
      <w:r>
        <w:rPr>
          <w:noProof/>
        </w:rPr>
        <w:t>•</w:t>
      </w:r>
      <w:r>
        <w:rPr>
          <w:noProof/>
        </w:rPr>
        <w:tab/>
        <w:t>Избор на инструмент</w:t>
      </w:r>
    </w:p>
    <w:p>
      <w:pPr>
        <w:rPr>
          <w:noProof/>
        </w:rPr>
      </w:pPr>
      <w:r>
        <w:rPr>
          <w:noProof/>
        </w:rPr>
        <w:t>По силата на член 31 от Договора за функционирането на Европейския съюз (ДФЕС) „</w:t>
      </w:r>
      <w:r>
        <w:rPr>
          <w:i/>
          <w:noProof/>
        </w:rPr>
        <w:t>митата от Общата митническа тарифа се определят от Съвета, по предложение на Комисията</w:t>
      </w:r>
      <w:r>
        <w:rPr>
          <w:noProof/>
        </w:rPr>
        <w:t>“. Поради това подходящият инструмент е регламент.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bdr w:val="none" w:sz="0" w:space="0" w:color="auto" w:frame="1"/>
        </w:rPr>
      </w:pPr>
      <w:r>
        <w:rPr>
          <w:noProof/>
        </w:rPr>
        <w:t>•</w:t>
      </w:r>
      <w:r>
        <w:rPr>
          <w:noProof/>
        </w:rPr>
        <w:tab/>
        <w:t>Последващи оценки/проверки за пригодност на действащото законодателство</w:t>
      </w:r>
    </w:p>
    <w:p>
      <w:pPr>
        <w:spacing w:before="0" w:after="240"/>
        <w:rPr>
          <w:noProof/>
        </w:rPr>
      </w:pPr>
      <w:r>
        <w:rPr>
          <w:noProof/>
        </w:rPr>
        <w:t>Цялата схема на суспендиране на автономните мита беше предмет на проучване за оценка, проведено през 2013 г.</w:t>
      </w:r>
      <w:r>
        <w:rPr>
          <w:rStyle w:val="FootnoteReference0"/>
          <w:noProof/>
        </w:rPr>
        <w:footnoteReference w:id="3"/>
      </w:r>
      <w:r>
        <w:rPr>
          <w:noProof/>
        </w:rPr>
        <w:t>.</w:t>
      </w:r>
    </w:p>
    <w:p>
      <w:pPr>
        <w:spacing w:before="0" w:after="240"/>
        <w:rPr>
          <w:rFonts w:eastAsia="Arial Unicode MS"/>
          <w:noProof/>
        </w:rPr>
      </w:pPr>
      <w:r>
        <w:rPr>
          <w:noProof/>
        </w:rPr>
        <w:t>Въз основа на проучването бе направено заключение, че главният мотив за съществуването на схемата е все още в сила. Предприятията от Съюза, внасящи стоки по схемата, могат да икономисват значителни разходи. На свой ред тези икономии на разходи могат да доведат — в зависимост от продукта, дружеството или отрасъла — до по-големи ползи, например повишение на конкурентоспособността, увеличение на ефективността на производствените методи, създаване и запазване на работни места в Съюза. Подробна информация относно предвидените икономии вследствие на настоящия регламент може да бъде намерена в приложената законодателна финансова обосновка.</w:t>
      </w:r>
    </w:p>
    <w:p>
      <w:pPr>
        <w:pStyle w:val="ManualHeading2"/>
        <w:rPr>
          <w:rFonts w:eastAsia="Arial Unicode MS"/>
          <w:noProof/>
          <w:bdr w:val="none" w:sz="0" w:space="0" w:color="auto" w:frame="1"/>
        </w:rPr>
      </w:pPr>
      <w:r>
        <w:rPr>
          <w:noProof/>
        </w:rPr>
        <w:t>•</w:t>
      </w:r>
      <w:r>
        <w:rPr>
          <w:noProof/>
        </w:rPr>
        <w:tab/>
        <w:t>Консултации със заинтересованите страни</w:t>
      </w:r>
    </w:p>
    <w:p>
      <w:pPr>
        <w:rPr>
          <w:noProof/>
        </w:rPr>
      </w:pPr>
      <w:r>
        <w:rPr>
          <w:noProof/>
        </w:rPr>
        <w:t>Групата по икономически и тарифни въпроси, която се състои от делегати от всички държави членки и от Турция, оказа съдействие на Комисията за оценяването на предложението. Групата се събра три пъти, преди да постигне съгласие по промените в настоящото предложение.</w:t>
      </w:r>
    </w:p>
    <w:p>
      <w:pPr>
        <w:rPr>
          <w:noProof/>
        </w:rPr>
      </w:pPr>
      <w:r>
        <w:rPr>
          <w:noProof/>
        </w:rPr>
        <w:t>Тя внимателно оцени всички искания (нови или за изменения). Особено внимание бе обърнато на необходимостта от предотвратяване на всякаква вреда за производителите от Съюза и от повишаване на конкурентоспособността на производството на Съюза. По всички посочени суспендирания беше постигнато съгласие или компромиси по време на обсъжданията в Групата по икономически и тарифни въпроси. Не бяха посочени потенциално значими рискове с необратими последици.</w:t>
      </w:r>
    </w:p>
    <w:p>
      <w:pPr>
        <w:pStyle w:val="ManualHeading2"/>
        <w:rPr>
          <w:rFonts w:eastAsia="Arial Unicode MS"/>
          <w:noProof/>
          <w:bdr w:val="none" w:sz="0" w:space="0" w:color="auto" w:frame="1"/>
        </w:rPr>
      </w:pPr>
      <w:r>
        <w:rPr>
          <w:noProof/>
        </w:rPr>
        <w:t>•</w:t>
      </w:r>
      <w:r>
        <w:rPr>
          <w:noProof/>
        </w:rPr>
        <w:tab/>
        <w:t>Оценка на въздействието</w:t>
      </w:r>
    </w:p>
    <w:p>
      <w:pPr>
        <w:spacing w:before="0" w:after="240"/>
        <w:rPr>
          <w:rFonts w:eastAsia="Arial Unicode MS"/>
          <w:noProof/>
        </w:rPr>
      </w:pPr>
      <w:r>
        <w:rPr>
          <w:noProof/>
        </w:rPr>
        <w:t>Предложеното изменение е от чисто техническо естество и се отнася само до обхвата на суспендиранията, посочени в приложението към Регламент (ЕС) № </w:t>
      </w:r>
      <w:r>
        <w:rPr>
          <w:rStyle w:val="highlight"/>
          <w:noProof/>
        </w:rPr>
        <w:t>1387/2013</w:t>
      </w:r>
      <w:r>
        <w:rPr>
          <w:noProof/>
        </w:rPr>
        <w:t xml:space="preserve"> на Съвета. Поради това не беше извършена оценка на въздействието за настоящото предложение.</w:t>
      </w:r>
    </w:p>
    <w:p>
      <w:pPr>
        <w:pStyle w:val="ManualHeading2"/>
        <w:rPr>
          <w:rFonts w:eastAsia="Arial Unicode MS"/>
          <w:noProof/>
          <w:bdr w:val="none" w:sz="0" w:space="0" w:color="auto" w:frame="1"/>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основните права.</w:t>
      </w:r>
    </w:p>
    <w:p>
      <w:pPr>
        <w:pStyle w:val="ManualHeading1"/>
        <w:rPr>
          <w:noProof/>
        </w:rPr>
      </w:pPr>
      <w:r>
        <w:rPr>
          <w:noProof/>
        </w:rPr>
        <w:t>4.</w:t>
      </w:r>
      <w:r>
        <w:rPr>
          <w:noProof/>
        </w:rPr>
        <w:tab/>
        <w:t>ОТРАЖЕНИЕ ВЪРХУ БЮДЖЕТА</w:t>
      </w:r>
    </w:p>
    <w:p>
      <w:pPr>
        <w:rPr>
          <w:noProof/>
        </w:rPr>
      </w:pPr>
      <w:r>
        <w:rPr>
          <w:noProof/>
        </w:rPr>
        <w:t>Предложението няма финансово отражение върху разходите, но има финансово отражение върху приходите. Несъбраните мита възлизат общо на близо 25 милиона евро годишно. Въздействието върху традиционните собствени ресурси на бюджета е в размер на 20 милиона евро годишно (т.е. 80 % от общия размер). Отражението върху бюджета, което ще окаже настоящото предложение, е изложено с повече подробности в законодателната финансова обосновка.</w:t>
      </w:r>
    </w:p>
    <w:p>
      <w:pPr>
        <w:rPr>
          <w:noProof/>
        </w:rPr>
      </w:pPr>
      <w:r>
        <w:rPr>
          <w:noProof/>
        </w:rPr>
        <w:t>Загубата на приходи при традиционните собствени ресурси се компенсира от вноските на държавите членки въз основа на брутния национален доход (БНД).</w:t>
      </w:r>
    </w:p>
    <w:p>
      <w:pPr>
        <w:pStyle w:val="ManualHeading1"/>
        <w:rPr>
          <w:noProof/>
        </w:rPr>
      </w:pPr>
      <w:r>
        <w:rPr>
          <w:noProof/>
        </w:rPr>
        <w:t>5.</w:t>
      </w:r>
      <w:r>
        <w:rPr>
          <w:noProof/>
        </w:rPr>
        <w:tab/>
        <w:t>ДРУГИ ЕЛЕМЕНТИ</w:t>
      </w:r>
    </w:p>
    <w:p>
      <w:pPr>
        <w:pStyle w:val="ManualHeading2"/>
        <w:rPr>
          <w:rFonts w:eastAsia="Arial Unicode MS"/>
          <w:noProof/>
          <w:bdr w:val="none" w:sz="0" w:space="0" w:color="auto" w:frame="1"/>
        </w:rPr>
      </w:pPr>
      <w:r>
        <w:rPr>
          <w:noProof/>
        </w:rPr>
        <w:t>•</w:t>
      </w:r>
      <w:r>
        <w:rPr>
          <w:noProof/>
        </w:rPr>
        <w:tab/>
        <w:t>Планове за изпълнение и мерки за мониторинг, оценка и докладване</w:t>
      </w:r>
    </w:p>
    <w:p>
      <w:pPr>
        <w:pBdr>
          <w:top w:val="nil"/>
          <w:left w:val="nil"/>
          <w:bottom w:val="nil"/>
          <w:right w:val="nil"/>
          <w:between w:val="nil"/>
          <w:bar w:val="nil"/>
        </w:pBdr>
        <w:spacing w:before="0" w:after="240"/>
        <w:rPr>
          <w:noProof/>
        </w:rPr>
      </w:pPr>
      <w:r>
        <w:rPr>
          <w:noProof/>
        </w:rPr>
        <w:t>Предложените мерки се управляват в рамките на Интегрираната тарифа на Европейския съюз (ТАРИК) и се прилагат от митническите администрации на държавите членки.</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2018/0174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цел да се осигури достатъчно и непрекъснато снабдяване с някои селскостопански и промишлени продукти, които не са налични в Съюза или са налични в недостатъчни количества, и по този начин да се избегнат смущенията на пазара на тези продукти, с Регламент (ЕС) № 1387/2013 на Съвета</w:t>
      </w:r>
      <w:r>
        <w:rPr>
          <w:rStyle w:val="FootnoteReference0"/>
          <w:noProof/>
        </w:rPr>
        <w:footnoteReference w:id="4"/>
      </w:r>
      <w:r>
        <w:rPr>
          <w:noProof/>
        </w:rPr>
        <w:t xml:space="preserve"> бяха суспендирани автономните мита по Общата митническа тарифа за тези продукти. Посочените продукти могат да се внасят в Съюза при намалени или нулеви ставки на митата.</w:t>
      </w:r>
    </w:p>
    <w:p>
      <w:pPr>
        <w:pStyle w:val="ManualConsidrant"/>
        <w:rPr>
          <w:noProof/>
        </w:rPr>
      </w:pPr>
      <w:r>
        <w:t>(2)</w:t>
      </w:r>
      <w:r>
        <w:tab/>
      </w:r>
      <w:r>
        <w:rPr>
          <w:noProof/>
        </w:rPr>
        <w:t>Съюзът вече няма интерес да поддържа суспендирането на автономните мита по Общата митническа тарифа за 5 продукта, които понастоящем са включени в приложението към Регламент (ЕС) № 1387/2013. Въпросните продукти са продуктите, обозначени в приложение I към настоящия регламент чрез кодове по КН и ТАРИК, които същевременно не са включени в приложение II към настоящия регламент. Поради това суспендиранията за тези продукти следва да бъдат отменени.</w:t>
      </w:r>
    </w:p>
    <w:p>
      <w:pPr>
        <w:pStyle w:val="ManualConsidrant"/>
        <w:rPr>
          <w:noProof/>
        </w:rPr>
      </w:pPr>
      <w:r>
        <w:t>(3)</w:t>
      </w:r>
      <w:r>
        <w:tab/>
      </w:r>
      <w:r>
        <w:rPr>
          <w:noProof/>
        </w:rPr>
        <w:t>Производството в Съюза на 85 продукта, които понастоящем не са включени в приложението към Регламент (ЕС) № 1387/2013, е недостатъчно или несъществуващо. Въпросните продукти са продуктите, обозначени в приложение II към настоящия регламент чрез кодове по КН и ТАРИК, които същевременно не са включени в приложение I към настоящия регламент. Поради това е в интерес на Съюза да суспендира автономните мита по Общата митническа тарифа за тези продукти.</w:t>
      </w:r>
    </w:p>
    <w:p>
      <w:pPr>
        <w:pStyle w:val="ManualConsidrant"/>
        <w:rPr>
          <w:noProof/>
        </w:rPr>
      </w:pPr>
      <w:r>
        <w:t>(4)</w:t>
      </w:r>
      <w:r>
        <w:tab/>
      </w:r>
      <w:r>
        <w:rPr>
          <w:noProof/>
        </w:rPr>
        <w:t xml:space="preserve">Необходимо е да се направят промени в условията за суспендиране на автономните мита по Общата митническа тарифа за някои продукти, които понастоящем са включени в приложението към Регламент (ЕС) № 1387/2013, за да се отчетат техническите промени в продуктите и икономическите тенденции на пазара. По-специално: </w:t>
      </w:r>
    </w:p>
    <w:p>
      <w:pPr>
        <w:pStyle w:val="Bullet1"/>
        <w:numPr>
          <w:ilvl w:val="0"/>
          <w:numId w:val="9"/>
        </w:numPr>
        <w:rPr>
          <w:noProof/>
        </w:rPr>
      </w:pPr>
      <w:r>
        <w:rPr>
          <w:noProof/>
        </w:rPr>
        <w:t>при едно суспендиране е необходимо да се адаптират изискванията за специфична употреба</w:t>
      </w:r>
      <w:r>
        <w:rPr>
          <w:rStyle w:val="FootnoteReference0"/>
          <w:noProof/>
        </w:rPr>
        <w:footnoteReference w:id="5"/>
      </w:r>
      <w:r>
        <w:rPr>
          <w:noProof/>
        </w:rPr>
        <w:t>;</w:t>
      </w:r>
    </w:p>
    <w:p>
      <w:pPr>
        <w:pStyle w:val="Bullet1"/>
        <w:rPr>
          <w:noProof/>
        </w:rPr>
      </w:pPr>
      <w:r>
        <w:rPr>
          <w:noProof/>
        </w:rPr>
        <w:t>при друго суспендиране следва да се измени приложимата ставка на митото</w:t>
      </w:r>
      <w:r>
        <w:rPr>
          <w:rStyle w:val="FootnoteReference0"/>
          <w:noProof/>
        </w:rPr>
        <w:footnoteReference w:id="6"/>
      </w:r>
      <w:r>
        <w:rPr>
          <w:noProof/>
        </w:rPr>
        <w:t>;</w:t>
      </w:r>
    </w:p>
    <w:p>
      <w:pPr>
        <w:pStyle w:val="Bullet1"/>
        <w:rPr>
          <w:noProof/>
        </w:rPr>
      </w:pPr>
      <w:r>
        <w:rPr>
          <w:noProof/>
        </w:rPr>
        <w:t>при 19 суспендирания следва да се уточни или приведе в съответствие описанието</w:t>
      </w:r>
      <w:r>
        <w:rPr>
          <w:rStyle w:val="FootnoteReference0"/>
          <w:noProof/>
        </w:rPr>
        <w:footnoteReference w:id="7"/>
      </w:r>
      <w:r>
        <w:rPr>
          <w:noProof/>
        </w:rPr>
        <w:t>;</w:t>
      </w:r>
    </w:p>
    <w:p>
      <w:pPr>
        <w:pStyle w:val="Bullet1"/>
        <w:rPr>
          <w:noProof/>
        </w:rPr>
      </w:pPr>
      <w:r>
        <w:rPr>
          <w:noProof/>
        </w:rPr>
        <w:t>при 14 суспендирания следва да се промени класирането</w:t>
      </w:r>
      <w:r>
        <w:rPr>
          <w:rStyle w:val="FootnoteReference0"/>
          <w:noProof/>
        </w:rPr>
        <w:footnoteReference w:id="8"/>
      </w:r>
      <w:r>
        <w:rPr>
          <w:noProof/>
        </w:rPr>
        <w:t>;</w:t>
      </w:r>
    </w:p>
    <w:p>
      <w:pPr>
        <w:pStyle w:val="Bullet1"/>
        <w:rPr>
          <w:noProof/>
        </w:rPr>
      </w:pPr>
      <w:r>
        <w:rPr>
          <w:noProof/>
        </w:rPr>
        <w:t>при 18 суспендирания е необходимо да се адаптира допълнителната мерна единица</w:t>
      </w:r>
      <w:r>
        <w:rPr>
          <w:rStyle w:val="FootnoteReference0"/>
          <w:noProof/>
        </w:rPr>
        <w:footnoteReference w:id="9"/>
      </w:r>
      <w:r>
        <w:rPr>
          <w:noProof/>
        </w:rPr>
        <w:t>.</w:t>
      </w:r>
    </w:p>
    <w:p>
      <w:pPr>
        <w:pStyle w:val="ManualConsidrant"/>
        <w:rPr>
          <w:noProof/>
        </w:rPr>
      </w:pPr>
      <w:r>
        <w:t>(5)</w:t>
      </w:r>
      <w:r>
        <w:tab/>
      </w:r>
      <w:r>
        <w:rPr>
          <w:noProof/>
        </w:rPr>
        <w:t>Поради това Регламент (ЕС) № 1387/2013 следва да бъде съответно изменен.</w:t>
      </w:r>
    </w:p>
    <w:p>
      <w:pPr>
        <w:pStyle w:val="ManualConsidrant"/>
        <w:rPr>
          <w:noProof/>
        </w:rPr>
      </w:pPr>
      <w:r>
        <w:t>(6)</w:t>
      </w:r>
      <w:r>
        <w:tab/>
      </w:r>
      <w:r>
        <w:rPr>
          <w:noProof/>
        </w:rPr>
        <w:t>За да се избегне евентуално прекъсване на прилагането на схемата на автономни суспендирания, предвидените в настоящия регламент промени относно суспендиранията за съответните продукти следва да се прилагат от 1 юли 2018 г. Поради това настоящият регламент следва да влезе в сила по спешност,</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В приложението към Регламент (ЕС) № 1387/2013 таблицата се изменя, както следва:</w:t>
      </w:r>
    </w:p>
    <w:p>
      <w:pPr>
        <w:ind w:left="720" w:hanging="720"/>
        <w:rPr>
          <w:noProof/>
        </w:rPr>
      </w:pPr>
      <w:r>
        <w:rPr>
          <w:noProof/>
        </w:rPr>
        <w:t>1)</w:t>
      </w:r>
      <w:r>
        <w:rPr>
          <w:noProof/>
        </w:rPr>
        <w:tab/>
        <w:t>всички звездички и бележката в края на текста (*), съдържащи текста „Нововъведена мярка или мярка с изменени условия.“ се заличават;</w:t>
      </w:r>
    </w:p>
    <w:p>
      <w:pPr>
        <w:ind w:left="720" w:hanging="720"/>
        <w:rPr>
          <w:noProof/>
        </w:rPr>
      </w:pPr>
      <w:r>
        <w:rPr>
          <w:noProof/>
        </w:rPr>
        <w:t>2)</w:t>
      </w:r>
      <w:r>
        <w:rPr>
          <w:noProof/>
        </w:rPr>
        <w:tab/>
        <w:t>редовете, свързани със суспендиранията по отношение на продуктите, чиито кодове по КН и ТАРИК са посочени в приложение I към настоящия регламент, се заличават;</w:t>
      </w:r>
    </w:p>
    <w:p>
      <w:pPr>
        <w:ind w:left="720" w:hanging="720"/>
        <w:rPr>
          <w:noProof/>
        </w:rPr>
      </w:pPr>
      <w:r>
        <w:rPr>
          <w:noProof/>
        </w:rPr>
        <w:t>3)</w:t>
      </w:r>
      <w:r>
        <w:rPr>
          <w:noProof/>
        </w:rPr>
        <w:tab/>
        <w:t>редовете по отношение на продуктите, включени в приложение II към настоящия регламент, се вмъкват по реда на кодовете по КН и ТАРИК, посочени съответно в първата и втората колона на същата таблица.</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юли 2018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0"/>
        <w:rPr>
          <w:noProof/>
        </w:rPr>
      </w:pPr>
      <w:r>
        <w:rPr>
          <w:noProof/>
        </w:rPr>
        <w:t xml:space="preserve">ЗАКОНОДАТЕЛНА ФИНАНСОВА ОБОСНОВКА </w:t>
      </w:r>
    </w:p>
    <w:p>
      <w:pPr>
        <w:pStyle w:val="ManualHeading1"/>
        <w:rPr>
          <w:noProof/>
        </w:rPr>
      </w:pPr>
      <w:r>
        <w:rPr>
          <w:noProof/>
        </w:rPr>
        <w:t xml:space="preserve">1. НАИМЕНОВАНИЕ НА ПРЕДЛОЖЕНИЕТО </w:t>
      </w:r>
    </w:p>
    <w:p>
      <w:pPr>
        <w:spacing w:before="100" w:beforeAutospacing="1" w:after="100" w:afterAutospacing="1"/>
        <w:rPr>
          <w:rFonts w:eastAsia="Times New Roman"/>
          <w:noProof/>
          <w:szCs w:val="24"/>
        </w:rPr>
      </w:pPr>
      <w:r>
        <w:rPr>
          <w:noProof/>
        </w:rPr>
        <w:t xml:space="preserve">Регламент на Съвета за изменение на Регламент (ЕС) № 1387/2013 за суспендиране на автономните мита по Общата митническа тарифа за определени селскостопански и промишлени продукти </w:t>
      </w:r>
    </w:p>
    <w:p>
      <w:pPr>
        <w:pStyle w:val="ManualHeading1"/>
        <w:rPr>
          <w:noProof/>
        </w:rPr>
      </w:pPr>
      <w:r>
        <w:rPr>
          <w:noProof/>
        </w:rPr>
        <w:t xml:space="preserve">2. БЮДЖЕТНИ РЕДОВЕ </w:t>
      </w:r>
    </w:p>
    <w:p>
      <w:pPr>
        <w:spacing w:before="100" w:beforeAutospacing="1" w:after="100" w:afterAutospacing="1"/>
        <w:jc w:val="left"/>
        <w:rPr>
          <w:rFonts w:eastAsia="Times New Roman"/>
          <w:noProof/>
          <w:szCs w:val="24"/>
        </w:rPr>
      </w:pPr>
      <w:r>
        <w:rPr>
          <w:noProof/>
        </w:rPr>
        <w:t>Глава и статия:</w:t>
      </w:r>
      <w:r>
        <w:rPr>
          <w:noProof/>
        </w:rPr>
        <w:br/>
        <w:t>Глава 12 и статия 120 — Мита и други задължения, посочени в член 2, параграф 1, буква а) от Решение 2014/335/ЕС, Евратом;</w:t>
      </w:r>
    </w:p>
    <w:p>
      <w:pPr>
        <w:spacing w:before="100" w:beforeAutospacing="1" w:after="100" w:afterAutospacing="1"/>
        <w:jc w:val="left"/>
        <w:rPr>
          <w:rFonts w:eastAsia="Times New Roman"/>
          <w:noProof/>
          <w:szCs w:val="24"/>
        </w:rPr>
      </w:pPr>
      <w:r>
        <w:rPr>
          <w:noProof/>
        </w:rPr>
        <w:t>Сума, предвидена в бюджета за 2018 г. (22 844 000 000 EUR)</w:t>
      </w:r>
    </w:p>
    <w:p>
      <w:pPr>
        <w:pStyle w:val="ManualHeading1"/>
        <w:rPr>
          <w:noProof/>
        </w:rPr>
      </w:pPr>
      <w:r>
        <w:rPr>
          <w:noProof/>
        </w:rPr>
        <w:t xml:space="preserve">3. ФИНАНСОВО ОТРАЖЕНИЕ </w:t>
      </w:r>
    </w:p>
    <w:p>
      <w:pPr>
        <w:spacing w:before="100" w:beforeAutospacing="1" w:after="100" w:afterAutospacing="1"/>
        <w:jc w:val="left"/>
        <w:rPr>
          <w:rFonts w:eastAsia="Times New Roman"/>
          <w:noProof/>
          <w:szCs w:val="24"/>
        </w:rPr>
      </w:pPr>
      <w:r>
        <w:rPr>
          <w:rFonts w:eastAsia="Times New Roman"/>
          <w:noProof/>
          <w:szCs w:val="24"/>
        </w:rPr>
        <w:sym w:font="Wingdings" w:char="F0A8"/>
      </w:r>
      <w:r>
        <w:rPr>
          <w:noProof/>
        </w:rPr>
        <w:tab/>
        <w:t>Предложението няма финансово отражение</w:t>
      </w:r>
    </w:p>
    <w:p>
      <w:pPr>
        <w:spacing w:before="100" w:beforeAutospacing="1" w:after="100" w:afterAutospacing="1"/>
        <w:jc w:val="left"/>
        <w:rPr>
          <w:rFonts w:eastAsia="Times New Roman"/>
          <w:noProof/>
          <w:szCs w:val="24"/>
        </w:rPr>
      </w:pPr>
      <w:r>
        <w:rPr>
          <w:noProof/>
        </w:rPr>
        <w:t xml:space="preserve">X Предложението няма финансово отражение върху разходите, но има финансово отражение върху приходите — ефектът е, както следва: </w:t>
      </w:r>
    </w:p>
    <w:p>
      <w:pPr>
        <w:spacing w:before="100" w:beforeAutospacing="1" w:after="100" w:afterAutospacing="1"/>
        <w:jc w:val="right"/>
        <w:rPr>
          <w:rFonts w:eastAsia="Times New Roman"/>
          <w:noProof/>
          <w:szCs w:val="24"/>
        </w:rPr>
      </w:pPr>
      <w:r>
        <w:rPr>
          <w:noProof/>
        </w:rPr>
        <w:t>(в милиони евро до един знак след десетичната запетая</w:t>
      </w:r>
      <w:r>
        <w:rPr>
          <w:rStyle w:val="FootnoteReference0"/>
          <w:noProof/>
        </w:rPr>
        <w:footnoteReference w:id="10"/>
      </w:r>
      <w:r>
        <w:rPr>
          <w:noProof/>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82"/>
        <w:gridCol w:w="616"/>
        <w:gridCol w:w="33"/>
        <w:gridCol w:w="45"/>
      </w:tblGrid>
      <w:tr>
        <w:trPr>
          <w:gridAfter w:val="1"/>
          <w:tblCellSpacing w:w="15" w:type="dxa"/>
        </w:trPr>
        <w:tc>
          <w:tcPr>
            <w:tcW w:w="0" w:type="auto"/>
            <w:vAlign w:val="center"/>
            <w:hideMark/>
          </w:tcPr>
          <w:p>
            <w:pPr>
              <w:spacing w:before="0" w:after="0"/>
              <w:jc w:val="left"/>
              <w:rPr>
                <w:rFonts w:eastAsia="Times New Roman"/>
                <w:noProof/>
                <w:szCs w:val="24"/>
              </w:rPr>
            </w:pPr>
          </w:p>
        </w:tc>
        <w:tc>
          <w:tcPr>
            <w:tcW w:w="0" w:type="auto"/>
            <w:gridSpan w:val="2"/>
            <w:vAlign w:val="center"/>
            <w:hideMark/>
          </w:tcPr>
          <w:p>
            <w:pPr>
              <w:spacing w:before="0" w:after="0"/>
              <w:jc w:val="left"/>
              <w:rPr>
                <w:rFonts w:eastAsia="Times New Roman"/>
                <w:noProof/>
                <w:szCs w:val="24"/>
              </w:rPr>
            </w:pPr>
          </w:p>
        </w:tc>
      </w:tr>
      <w:tr>
        <w:trPr>
          <w:tblCellSpacing w:w="15" w:type="dxa"/>
        </w:trPr>
        <w:tc>
          <w:tcPr>
            <w:tcW w:w="0" w:type="auto"/>
            <w:gridSpan w:val="2"/>
            <w:vAlign w:val="center"/>
            <w:hideMark/>
          </w:tcPr>
          <w:tbl>
            <w:tblPr>
              <w:tblW w:w="7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235"/>
              <w:gridCol w:w="2465"/>
              <w:gridCol w:w="1805"/>
              <w:gridCol w:w="1574"/>
            </w:tblGrid>
            <w:tr>
              <w:trPr>
                <w:gridAfter w:val="2"/>
                <w:wAfter w:w="3379" w:type="dxa"/>
                <w:cantSplit/>
                <w:trHeight w:val="207"/>
              </w:trPr>
              <w:tc>
                <w:tcPr>
                  <w:tcW w:w="1235" w:type="dxa"/>
                </w:tcPr>
                <w:p>
                  <w:pPr>
                    <w:spacing w:before="0" w:after="0"/>
                    <w:jc w:val="left"/>
                    <w:rPr>
                      <w:noProof/>
                      <w:snapToGrid w:val="0"/>
                      <w:sz w:val="18"/>
                    </w:rPr>
                  </w:pPr>
                </w:p>
              </w:tc>
              <w:tc>
                <w:tcPr>
                  <w:tcW w:w="2465" w:type="dxa"/>
                </w:tcPr>
                <w:p>
                  <w:pPr>
                    <w:spacing w:before="0" w:after="0"/>
                    <w:jc w:val="left"/>
                    <w:rPr>
                      <w:noProof/>
                      <w:snapToGrid w:val="0"/>
                      <w:sz w:val="18"/>
                    </w:rPr>
                  </w:pPr>
                </w:p>
              </w:tc>
            </w:tr>
            <w:tr>
              <w:trPr>
                <w:cantSplit/>
                <w:trHeight w:val="1020"/>
              </w:trPr>
              <w:tc>
                <w:tcPr>
                  <w:tcW w:w="1235" w:type="dxa"/>
                </w:tcPr>
                <w:p>
                  <w:pPr>
                    <w:spacing w:before="0" w:after="0"/>
                    <w:jc w:val="left"/>
                    <w:rPr>
                      <w:noProof/>
                      <w:snapToGrid w:val="0"/>
                    </w:rPr>
                  </w:pPr>
                  <w:r>
                    <w:rPr>
                      <w:noProof/>
                      <w:sz w:val="22"/>
                    </w:rPr>
                    <w:t>Бюджетен ред</w:t>
                  </w:r>
                </w:p>
              </w:tc>
              <w:tc>
                <w:tcPr>
                  <w:tcW w:w="2465" w:type="dxa"/>
                </w:tcPr>
                <w:p>
                  <w:pPr>
                    <w:spacing w:before="0" w:after="0"/>
                    <w:jc w:val="center"/>
                    <w:rPr>
                      <w:noProof/>
                      <w:snapToGrid w:val="0"/>
                    </w:rPr>
                  </w:pPr>
                  <w:r>
                    <w:rPr>
                      <w:noProof/>
                      <w:sz w:val="22"/>
                    </w:rPr>
                    <w:t>Приходи</w:t>
                  </w:r>
                  <w:r>
                    <w:rPr>
                      <w:rStyle w:val="FootnoteReference0"/>
                      <w:noProof/>
                      <w:snapToGrid w:val="0"/>
                      <w:sz w:val="22"/>
                    </w:rPr>
                    <w:footnoteReference w:id="11"/>
                  </w:r>
                </w:p>
                <w:p>
                  <w:pPr>
                    <w:spacing w:before="0" w:after="0"/>
                    <w:jc w:val="center"/>
                    <w:rPr>
                      <w:noProof/>
                      <w:snapToGrid w:val="0"/>
                    </w:rPr>
                  </w:pPr>
                </w:p>
              </w:tc>
              <w:tc>
                <w:tcPr>
                  <w:tcW w:w="1805" w:type="dxa"/>
                  <w:shd w:val="clear" w:color="auto" w:fill="auto"/>
                </w:tcPr>
                <w:p>
                  <w:pPr>
                    <w:spacing w:before="0" w:after="0"/>
                    <w:jc w:val="center"/>
                    <w:rPr>
                      <w:noProof/>
                      <w:snapToGrid w:val="0"/>
                    </w:rPr>
                  </w:pPr>
                  <w:r>
                    <w:rPr>
                      <w:noProof/>
                      <w:sz w:val="22"/>
                    </w:rPr>
                    <w:t>6-месечен период, считано от дд/мм/гггг</w:t>
                  </w:r>
                </w:p>
              </w:tc>
              <w:tc>
                <w:tcPr>
                  <w:tcW w:w="1574" w:type="dxa"/>
                </w:tcPr>
                <w:p>
                  <w:pPr>
                    <w:spacing w:before="0" w:after="0"/>
                    <w:jc w:val="center"/>
                    <w:rPr>
                      <w:noProof/>
                      <w:sz w:val="22"/>
                      <w:szCs w:val="24"/>
                    </w:rPr>
                  </w:pPr>
                  <w:r>
                    <w:rPr>
                      <w:noProof/>
                      <w:sz w:val="22"/>
                    </w:rPr>
                    <w:t>[Година: втората половина на 2018 г.]</w:t>
                  </w:r>
                </w:p>
                <w:p>
                  <w:pPr>
                    <w:spacing w:before="0" w:after="0"/>
                    <w:jc w:val="center"/>
                    <w:rPr>
                      <w:noProof/>
                      <w:sz w:val="22"/>
                      <w:szCs w:val="24"/>
                    </w:rPr>
                  </w:pPr>
                </w:p>
              </w:tc>
            </w:tr>
            <w:tr>
              <w:trPr>
                <w:cantSplit/>
                <w:trHeight w:val="538"/>
              </w:trPr>
              <w:tc>
                <w:tcPr>
                  <w:tcW w:w="1235" w:type="dxa"/>
                  <w:shd w:val="clear" w:color="auto" w:fill="auto"/>
                </w:tcPr>
                <w:p>
                  <w:pPr>
                    <w:spacing w:before="0" w:after="0"/>
                    <w:jc w:val="left"/>
                    <w:rPr>
                      <w:noProof/>
                    </w:rPr>
                  </w:pPr>
                  <w:r>
                    <w:rPr>
                      <w:noProof/>
                      <w:sz w:val="22"/>
                    </w:rPr>
                    <w:t xml:space="preserve">Член 120 </w:t>
                  </w:r>
                </w:p>
                <w:p>
                  <w:pPr>
                    <w:spacing w:before="0" w:after="0"/>
                    <w:jc w:val="left"/>
                    <w:rPr>
                      <w:noProof/>
                      <w:snapToGrid w:val="0"/>
                    </w:rPr>
                  </w:pPr>
                </w:p>
              </w:tc>
              <w:tc>
                <w:tcPr>
                  <w:tcW w:w="2465" w:type="dxa"/>
                </w:tcPr>
                <w:p>
                  <w:pPr>
                    <w:spacing w:before="0" w:after="0"/>
                    <w:jc w:val="left"/>
                    <w:rPr>
                      <w:i/>
                      <w:noProof/>
                      <w:snapToGrid w:val="0"/>
                    </w:rPr>
                  </w:pPr>
                  <w:r>
                    <w:rPr>
                      <w:i/>
                      <w:noProof/>
                      <w:sz w:val="22"/>
                    </w:rPr>
                    <w:t>Отражение върху собствените ресурси</w:t>
                  </w:r>
                </w:p>
              </w:tc>
              <w:tc>
                <w:tcPr>
                  <w:tcW w:w="1805" w:type="dxa"/>
                  <w:shd w:val="clear" w:color="auto" w:fill="auto"/>
                </w:tcPr>
                <w:p>
                  <w:pPr>
                    <w:spacing w:before="0" w:after="0"/>
                    <w:jc w:val="center"/>
                    <w:rPr>
                      <w:noProof/>
                      <w:snapToGrid w:val="0"/>
                    </w:rPr>
                  </w:pPr>
                  <w:r>
                    <w:rPr>
                      <w:noProof/>
                      <w:snapToGrid w:val="0"/>
                      <w:sz w:val="22"/>
                    </w:rPr>
                    <w:t>1.7.2018 г.</w:t>
                  </w:r>
                </w:p>
              </w:tc>
              <w:tc>
                <w:tcPr>
                  <w:tcW w:w="1574" w:type="dxa"/>
                </w:tcPr>
                <w:p>
                  <w:pPr>
                    <w:spacing w:before="0" w:after="0"/>
                    <w:jc w:val="center"/>
                    <w:rPr>
                      <w:noProof/>
                      <w:snapToGrid w:val="0"/>
                      <w:sz w:val="22"/>
                    </w:rPr>
                  </w:pPr>
                  <w:r>
                    <w:rPr>
                      <w:noProof/>
                      <w:snapToGrid w:val="0"/>
                      <w:sz w:val="22"/>
                    </w:rPr>
                    <w:t>-10</w:t>
                  </w:r>
                </w:p>
              </w:tc>
            </w:tr>
          </w:tbl>
          <w:p>
            <w:pPr>
              <w:spacing w:before="0" w:after="200" w:line="276" w:lineRule="auto"/>
              <w:jc w:val="left"/>
              <w:rPr>
                <w:rFonts w:eastAsia="Times New Roman"/>
                <w:noProof/>
                <w:szCs w:val="24"/>
              </w:rPr>
            </w:pPr>
          </w:p>
        </w:tc>
        <w:tc>
          <w:tcPr>
            <w:tcW w:w="0" w:type="auto"/>
            <w:gridSpan w:val="2"/>
            <w:vAlign w:val="center"/>
            <w:hideMark/>
          </w:tcPr>
          <w:p>
            <w:pPr>
              <w:spacing w:before="0" w:after="0"/>
              <w:jc w:val="left"/>
              <w:rPr>
                <w:rFonts w:eastAsia="Times New Roman"/>
                <w:noProof/>
                <w:szCs w:val="24"/>
              </w:rPr>
            </w:pPr>
          </w:p>
        </w:tc>
      </w:tr>
    </w:tbl>
    <w:p>
      <w:pPr>
        <w:spacing w:before="0" w:after="100" w:afterAutospacing="1"/>
        <w:rPr>
          <w:rFonts w:eastAsia="Times New Roman"/>
          <w:noProof/>
          <w:szCs w:val="24"/>
        </w:rPr>
      </w:pPr>
    </w:p>
    <w:tbl>
      <w:tblPr>
        <w:tblStyle w:val="TableGrid"/>
        <w:tblW w:w="0" w:type="auto"/>
        <w:tblLook w:val="04A0" w:firstRow="1" w:lastRow="0" w:firstColumn="1" w:lastColumn="0" w:noHBand="0" w:noVBand="1"/>
      </w:tblPr>
      <w:tblGrid>
        <w:gridCol w:w="3096"/>
        <w:gridCol w:w="6193"/>
      </w:tblGrid>
      <w:tr>
        <w:tc>
          <w:tcPr>
            <w:tcW w:w="9289" w:type="dxa"/>
            <w:gridSpan w:val="2"/>
          </w:tcPr>
          <w:p>
            <w:pPr>
              <w:spacing w:before="100" w:beforeAutospacing="1" w:after="100" w:afterAutospacing="1"/>
              <w:jc w:val="center"/>
              <w:rPr>
                <w:rFonts w:eastAsia="Times New Roman"/>
                <w:noProof/>
                <w:szCs w:val="24"/>
                <w:highlight w:val="yellow"/>
              </w:rPr>
            </w:pPr>
            <w:r>
              <w:rPr>
                <w:noProof/>
              </w:rPr>
              <w:t>Положение след действието</w:t>
            </w:r>
          </w:p>
        </w:tc>
      </w:tr>
      <w:tr>
        <w:tc>
          <w:tcPr>
            <w:tcW w:w="3096" w:type="dxa"/>
          </w:tcPr>
          <w:p>
            <w:pPr>
              <w:spacing w:before="100" w:beforeAutospacing="1" w:after="100" w:afterAutospacing="1"/>
              <w:rPr>
                <w:rFonts w:eastAsia="Times New Roman"/>
                <w:noProof/>
                <w:szCs w:val="24"/>
              </w:rPr>
            </w:pPr>
          </w:p>
        </w:tc>
        <w:tc>
          <w:tcPr>
            <w:tcW w:w="6193" w:type="dxa"/>
          </w:tcPr>
          <w:p>
            <w:pPr>
              <w:spacing w:before="100" w:beforeAutospacing="1" w:after="100" w:afterAutospacing="1"/>
              <w:jc w:val="center"/>
              <w:rPr>
                <w:rFonts w:eastAsia="Times New Roman"/>
                <w:noProof/>
                <w:szCs w:val="24"/>
                <w:highlight w:val="yellow"/>
              </w:rPr>
            </w:pPr>
            <w:r>
              <w:rPr>
                <w:noProof/>
              </w:rPr>
              <w:t>[2019 — 2022 г.]</w:t>
            </w:r>
          </w:p>
        </w:tc>
      </w:tr>
      <w:tr>
        <w:tc>
          <w:tcPr>
            <w:tcW w:w="3096" w:type="dxa"/>
          </w:tcPr>
          <w:p>
            <w:pPr>
              <w:spacing w:before="100" w:beforeAutospacing="1" w:after="100" w:afterAutospacing="1"/>
              <w:rPr>
                <w:rFonts w:eastAsia="Times New Roman"/>
                <w:noProof/>
                <w:szCs w:val="24"/>
              </w:rPr>
            </w:pPr>
            <w:r>
              <w:rPr>
                <w:noProof/>
              </w:rPr>
              <w:t>Член 120</w:t>
            </w:r>
          </w:p>
        </w:tc>
        <w:tc>
          <w:tcPr>
            <w:tcW w:w="6193" w:type="dxa"/>
          </w:tcPr>
          <w:p>
            <w:pPr>
              <w:spacing w:before="100" w:beforeAutospacing="1" w:after="100" w:afterAutospacing="1"/>
              <w:jc w:val="center"/>
              <w:rPr>
                <w:rFonts w:eastAsia="Times New Roman"/>
                <w:noProof/>
                <w:szCs w:val="24"/>
                <w:highlight w:val="yellow"/>
              </w:rPr>
            </w:pPr>
            <w:r>
              <w:rPr>
                <w:noProof/>
              </w:rPr>
              <w:t>-20/година</w:t>
            </w:r>
          </w:p>
        </w:tc>
      </w:tr>
    </w:tbl>
    <w:p>
      <w:pPr>
        <w:spacing w:before="100" w:beforeAutospacing="1" w:after="100" w:afterAutospacing="1"/>
        <w:rPr>
          <w:rFonts w:eastAsia="Times New Roman"/>
          <w:noProof/>
          <w:szCs w:val="24"/>
        </w:rPr>
      </w:pPr>
      <w:r>
        <w:rPr>
          <w:noProof/>
        </w:rPr>
        <w:t>Приложение II включва 85 нови продукта. Несъбраните мита, съответстващи на тези суспендирания, изчислени въз основа на прогнозите на подалите искания държави членки за периода 2018 г. — 2022 г., възлизат на 14 милиона евро годишно.</w:t>
      </w:r>
    </w:p>
    <w:p>
      <w:pPr>
        <w:spacing w:before="100" w:beforeAutospacing="1" w:after="100" w:afterAutospacing="1"/>
        <w:rPr>
          <w:rFonts w:eastAsia="Times New Roman"/>
          <w:noProof/>
          <w:szCs w:val="24"/>
        </w:rPr>
      </w:pPr>
      <w:r>
        <w:rPr>
          <w:noProof/>
        </w:rPr>
        <w:t>Въз основа на съществуващите статистически данни за предходните години обаче изглежда, че тази сума трябва да се увеличи, като се умножи със среден множител, изчислен на 1,8, за да се отчете вносът в други държави членки, които прилагат същите суспендирания. Това ще доведе до несъбрани мита в размер на близо 25,2 милиона евро годишно.</w:t>
      </w:r>
    </w:p>
    <w:p>
      <w:pPr>
        <w:spacing w:before="100" w:beforeAutospacing="1" w:after="100" w:afterAutospacing="1"/>
        <w:rPr>
          <w:rFonts w:eastAsia="Times New Roman"/>
          <w:noProof/>
          <w:szCs w:val="24"/>
        </w:rPr>
      </w:pPr>
      <w:r>
        <w:rPr>
          <w:noProof/>
        </w:rPr>
        <w:t>От приложението към регламента са заличени пет продукта, тъй като върху тях отново са наложени мита. Това представлява увеличение на събираните мита с 0,2 милиона евро.</w:t>
      </w:r>
    </w:p>
    <w:p>
      <w:pPr>
        <w:spacing w:before="100" w:beforeAutospacing="1" w:after="100" w:afterAutospacing="1"/>
        <w:rPr>
          <w:rFonts w:eastAsia="Times New Roman"/>
          <w:noProof/>
          <w:szCs w:val="24"/>
        </w:rPr>
      </w:pPr>
      <w:r>
        <w:rPr>
          <w:noProof/>
        </w:rPr>
        <w:t>Въз основа на гореизложеното отражението на настоящия регламент върху загубата на приходи за бюджета на ЕС според разчетите ще бъде 25 милиона евро (25,2 — 0,2 милиона евро). Чрез умножение на тази брутна сума, включваща разходите по събирането, с множител 0,8, се получават общо 20 милиона евро годишно за периода от 1 юли 2018 г. до 31 декември 2022 г.</w:t>
      </w:r>
    </w:p>
    <w:p>
      <w:pPr>
        <w:pStyle w:val="ManualHeading1"/>
        <w:rPr>
          <w:noProof/>
        </w:rPr>
      </w:pPr>
      <w:r>
        <w:rPr>
          <w:noProof/>
        </w:rPr>
        <w:t xml:space="preserve">4. МЕРКИ ЗА БОРБА С ИЗМАМИТЕ </w:t>
      </w:r>
    </w:p>
    <w:p>
      <w:pPr>
        <w:spacing w:before="100" w:beforeAutospacing="1" w:after="100" w:afterAutospacing="1"/>
        <w:rPr>
          <w:rFonts w:eastAsia="Times New Roman"/>
          <w:noProof/>
          <w:szCs w:val="24"/>
        </w:rPr>
      </w:pPr>
      <w:r>
        <w:rPr>
          <w:noProof/>
        </w:rPr>
        <w:t xml:space="preserve">В съответствие с член 254 от Регламент (ЕС)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 на Съвета.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0"/>
        </w:rPr>
        <w:footnoteRef/>
      </w:r>
      <w:r>
        <w:tab/>
        <w:t>ОВ L 354, 28.12.2013 г., стр. 201.</w:t>
      </w:r>
    </w:p>
  </w:footnote>
  <w:footnote w:id="2">
    <w:p>
      <w:pPr>
        <w:pStyle w:val="FootnoteText"/>
        <w:rPr>
          <w:lang w:val="ru-RU"/>
        </w:rPr>
      </w:pPr>
      <w:r>
        <w:rPr>
          <w:rStyle w:val="FootnoteReference0"/>
        </w:rPr>
        <w:footnoteRef/>
      </w:r>
      <w:r>
        <w:tab/>
        <w:t>ОВ С 363, 13.12.2011 г., стр. 6.</w:t>
      </w:r>
    </w:p>
  </w:footnote>
  <w:footnote w:id="3">
    <w:p>
      <w:pPr>
        <w:pStyle w:val="FootnoteText"/>
        <w:rPr>
          <w:lang w:val="ru-RU"/>
        </w:rPr>
      </w:pPr>
      <w:r>
        <w:rPr>
          <w:rStyle w:val="FootnoteReference0"/>
        </w:rPr>
        <w:footnoteRef/>
      </w:r>
      <w:r>
        <w:rPr>
          <w:lang w:val="ru-RU"/>
        </w:rPr>
        <w:tab/>
      </w:r>
      <w:hyperlink r:id="rId1" w:history="1">
        <w:r>
          <w:rPr>
            <w:rStyle w:val="Hyperlink"/>
            <w:lang w:val="pl-PL"/>
          </w:rPr>
          <w:t>http</w:t>
        </w:r>
        <w:r>
          <w:rPr>
            <w:rStyle w:val="Hyperlink"/>
            <w:lang w:val="ru-RU"/>
          </w:rPr>
          <w:t>://</w:t>
        </w:r>
        <w:r>
          <w:rPr>
            <w:rStyle w:val="Hyperlink"/>
            <w:lang w:val="pl-PL"/>
          </w:rPr>
          <w:t>ec</w:t>
        </w:r>
        <w:r>
          <w:rPr>
            <w:rStyle w:val="Hyperlink"/>
            <w:lang w:val="ru-RU"/>
          </w:rPr>
          <w:t>.</w:t>
        </w:r>
        <w:r>
          <w:rPr>
            <w:rStyle w:val="Hyperlink"/>
            <w:lang w:val="pl-PL"/>
          </w:rPr>
          <w:t>europa</w:t>
        </w:r>
        <w:r>
          <w:rPr>
            <w:rStyle w:val="Hyperlink"/>
            <w:lang w:val="ru-RU"/>
          </w:rPr>
          <w:t>.</w:t>
        </w:r>
        <w:r>
          <w:rPr>
            <w:rStyle w:val="Hyperlink"/>
            <w:lang w:val="pl-PL"/>
          </w:rPr>
          <w:t>eu</w:t>
        </w:r>
        <w:r>
          <w:rPr>
            <w:rStyle w:val="Hyperlink"/>
            <w:lang w:val="ru-RU"/>
          </w:rPr>
          <w:t>/</w:t>
        </w:r>
        <w:r>
          <w:rPr>
            <w:rStyle w:val="Hyperlink"/>
            <w:lang w:val="pl-PL"/>
          </w:rPr>
          <w:t>taxation</w:t>
        </w:r>
        <w:r>
          <w:rPr>
            <w:rStyle w:val="Hyperlink"/>
            <w:lang w:val="ru-RU"/>
          </w:rPr>
          <w:t>_</w:t>
        </w:r>
        <w:r>
          <w:rPr>
            <w:rStyle w:val="Hyperlink"/>
            <w:lang w:val="pl-PL"/>
          </w:rPr>
          <w:t>customs</w:t>
        </w:r>
        <w:r>
          <w:rPr>
            <w:rStyle w:val="Hyperlink"/>
            <w:lang w:val="ru-RU"/>
          </w:rPr>
          <w:t>/</w:t>
        </w:r>
        <w:r>
          <w:rPr>
            <w:rStyle w:val="Hyperlink"/>
            <w:lang w:val="pl-PL"/>
          </w:rPr>
          <w:t>common</w:t>
        </w:r>
        <w:r>
          <w:rPr>
            <w:rStyle w:val="Hyperlink"/>
            <w:lang w:val="ru-RU"/>
          </w:rPr>
          <w:t>/</w:t>
        </w:r>
        <w:r>
          <w:rPr>
            <w:rStyle w:val="Hyperlink"/>
            <w:lang w:val="pl-PL"/>
          </w:rPr>
          <w:t>publications</w:t>
        </w:r>
        <w:r>
          <w:rPr>
            <w:rStyle w:val="Hyperlink"/>
            <w:lang w:val="ru-RU"/>
          </w:rPr>
          <w:t>/</w:t>
        </w:r>
        <w:r>
          <w:rPr>
            <w:rStyle w:val="Hyperlink"/>
            <w:lang w:val="pl-PL"/>
          </w:rPr>
          <w:t>studies</w:t>
        </w:r>
        <w:r>
          <w:rPr>
            <w:rStyle w:val="Hyperlink"/>
            <w:lang w:val="ru-RU"/>
          </w:rPr>
          <w:t>/</w:t>
        </w:r>
        <w:r>
          <w:rPr>
            <w:rStyle w:val="Hyperlink"/>
            <w:lang w:val="pl-PL"/>
          </w:rPr>
          <w:t>index</w:t>
        </w:r>
        <w:r>
          <w:rPr>
            <w:rStyle w:val="Hyperlink"/>
            <w:lang w:val="ru-RU"/>
          </w:rPr>
          <w:t>_</w:t>
        </w:r>
        <w:r>
          <w:rPr>
            <w:rStyle w:val="Hyperlink"/>
            <w:lang w:val="pl-PL"/>
          </w:rPr>
          <w:t>en</w:t>
        </w:r>
        <w:r>
          <w:rPr>
            <w:rStyle w:val="Hyperlink"/>
            <w:lang w:val="ru-RU"/>
          </w:rPr>
          <w:t>.</w:t>
        </w:r>
        <w:r>
          <w:rPr>
            <w:rStyle w:val="Hyperlink"/>
            <w:lang w:val="pl-PL"/>
          </w:rPr>
          <w:t>htm</w:t>
        </w:r>
      </w:hyperlink>
    </w:p>
  </w:footnote>
  <w:footnote w:id="4">
    <w:p>
      <w:pPr>
        <w:pStyle w:val="FootnoteText"/>
      </w:pPr>
      <w:r>
        <w:rPr>
          <w:rStyle w:val="FootnoteReference0"/>
        </w:rPr>
        <w:footnoteRef/>
      </w:r>
      <w:r>
        <w:tab/>
        <w:t>Регламент (ЕС) № </w:t>
      </w:r>
      <w:r>
        <w:rPr>
          <w:rStyle w:val="highlight"/>
        </w:rPr>
        <w:t>1387/2013</w:t>
      </w:r>
      <w:r>
        <w:t xml:space="preserve"> на Съвета от 17 декември 2013 г. за суспендиране на автономните мита по Общата митническа тарифа за определени селскостопански и промишлени продукти и за отмяна на Регламент (ЕС) № 1344/2011 (ОВ L 354, 28.12.2013 г., стр. 201).</w:t>
      </w:r>
    </w:p>
  </w:footnote>
  <w:footnote w:id="5">
    <w:p>
      <w:pPr>
        <w:pStyle w:val="FootnoteText"/>
      </w:pPr>
      <w:r>
        <w:rPr>
          <w:rStyle w:val="FootnoteReference0"/>
        </w:rPr>
        <w:footnoteRef/>
      </w:r>
      <w:r>
        <w:tab/>
        <w:t>ex 3912 90 10 10.</w:t>
      </w:r>
    </w:p>
  </w:footnote>
  <w:footnote w:id="6">
    <w:p>
      <w:pPr>
        <w:pStyle w:val="FootnoteText"/>
      </w:pPr>
      <w:r>
        <w:rPr>
          <w:rStyle w:val="FootnoteReference0"/>
        </w:rPr>
        <w:footnoteRef/>
      </w:r>
      <w:r>
        <w:tab/>
        <w:t>ex 3901 90 80 91.</w:t>
      </w:r>
    </w:p>
  </w:footnote>
  <w:footnote w:id="7">
    <w:p>
      <w:pPr>
        <w:pStyle w:val="FootnoteText"/>
      </w:pPr>
      <w:r>
        <w:rPr>
          <w:rStyle w:val="FootnoteReference0"/>
        </w:rPr>
        <w:footnoteRef/>
      </w:r>
      <w:r>
        <w:tab/>
        <w:t xml:space="preserve">ex 2921 59 90 10, ex 3906 90 90 43, ex 3907 40 00 45, ex 3912 90 10 10, ex 3919 90 80 22, ex 3920 99 90 20, ex 3926 90 97 50, ex 3926 90 97 77, ex 8108 90 30 25, ex 8418 99 10 70, ex 8483 30 32 30, ex 8483 30 38 60, ex 8501 31 00 50, ex 8503 00 91 31, ex 8503 00 99 32, ex 8503 00 99 55, ex 8505 11 00 63, ex 8529 90 92 39, ex 8529 90 92 55, ex 8708 99 10 35, ex 8708 99 97 35, ex 9013 80 90 30. </w:t>
      </w:r>
    </w:p>
  </w:footnote>
  <w:footnote w:id="8">
    <w:p>
      <w:pPr>
        <w:pStyle w:val="FootnoteText"/>
      </w:pPr>
      <w:r>
        <w:rPr>
          <w:rStyle w:val="FootnoteReference0"/>
        </w:rPr>
        <w:footnoteRef/>
      </w:r>
      <w:r>
        <w:tab/>
        <w:t xml:space="preserve">ex 3208 90 19 25, ex 3904 69 80 89, ex 3906 90 90 43, ex 3907 40 00 45, ex 3919 90 80 22, ex 3926 30 00 10, ex 3926 90 97 23, ex 8708 29 10 10, ex 8708 29 90 10, ex 8108 90 30 25, ex 8418 99 10 70, ex 8483 30 32 30, ex 8483 30 38 60, ex 8501 31 00 50, ex 8503 00 99 55, ex 8505 11 00 63, ex 8529 90 92 39, ex 8708 99 10 35, ex 8708 99 97 35, ex 9013 80 90 30. </w:t>
      </w:r>
    </w:p>
  </w:footnote>
  <w:footnote w:id="9">
    <w:p>
      <w:pPr>
        <w:pStyle w:val="FootnoteText"/>
      </w:pPr>
      <w:r>
        <w:rPr>
          <w:rStyle w:val="FootnoteReference0"/>
        </w:rPr>
        <w:footnoteRef/>
      </w:r>
      <w:r>
        <w:tab/>
        <w:t>ex 2106 90 92 50, ex 2841 90 30 10, ex 2912 29 00 35, ex 2932 20 90 50, ex 2934 20 80 15, ex 2934 99 90 54, ex 3801 90 00 20, ex 3824 99 96 45, ex 3907 20 99 80, ex 7020 00 10 20, ex, 8108 20 00 55, ex 8108 20 00 70, ex 8108 90 30 15, ex 8108 90 50 45, ex 8108 90 60 30, ex 8483 40 90 20, ex 8505 19 90 50, ex 8507 60 00 25.</w:t>
      </w:r>
    </w:p>
  </w:footnote>
  <w:footnote w:id="10">
    <w:p>
      <w:pPr>
        <w:pStyle w:val="FootnoteText"/>
      </w:pPr>
      <w:r>
        <w:rPr>
          <w:rStyle w:val="FootnoteReference0"/>
        </w:rPr>
        <w:footnoteRef/>
      </w:r>
      <w:r>
        <w:tab/>
        <w:t>Годишните суми се прогнозират въз основа на формулата в раздел 5, като това се указва в бележка под линия, например „ориентировъчна сума въз основа на договорената формула“. За първата година годишната сума обикновено се изплаща, без да се прилага намаление или пропорционално плащане.</w:t>
      </w:r>
    </w:p>
  </w:footnote>
  <w:footnote w:id="11">
    <w:p>
      <w:pPr>
        <w:pStyle w:val="FootnoteText"/>
      </w:pPr>
      <w:r>
        <w:rPr>
          <w:rStyle w:val="FootnoteReference0"/>
        </w:rPr>
        <w:footnoteRef/>
      </w:r>
      <w:r>
        <w:tab/>
        <w:t>По отношение на традиционните собствени ресурси (селскостопански мита, налози върху захарта, мита)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2A0A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7463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F83B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E95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5CEB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32018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92807C"/>
    <w:lvl w:ilvl="0">
      <w:start w:val="1"/>
      <w:numFmt w:val="decimal"/>
      <w:pStyle w:val="ListNumber"/>
      <w:lvlText w:val="%1."/>
      <w:lvlJc w:val="left"/>
      <w:pPr>
        <w:tabs>
          <w:tab w:val="num" w:pos="360"/>
        </w:tabs>
        <w:ind w:left="360" w:hanging="360"/>
      </w:pPr>
    </w:lvl>
  </w:abstractNum>
  <w:abstractNum w:abstractNumId="7">
    <w:nsid w:val="FFFFFF89"/>
    <w:multiLevelType w:val="singleLevel"/>
    <w:tmpl w:val="DC0445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2"/>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7:39: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FA655E2-0C51-4331-BBDC-57C3635FE5EC"/>
    <w:docVar w:name="LW_COVERPAGE_TYPE" w:val="1"/>
    <w:docVar w:name="LW_CROSSREFERENCE" w:val="&lt;UNUSED&gt;"/>
    <w:docVar w:name="LW_DocType" w:val="COM"/>
    <w:docVar w:name="LW_EMISSION" w:val="28.5.2018"/>
    <w:docVar w:name="LW_EMISSION_ISODATE" w:val="2018-05-28"/>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4"/>
    <w:docVar w:name="LW_REF.II.NEW.CP_YEAR" w:val="2018"/>
    <w:docVar w:name="LW_REF.INST.NEW" w:val="COM"/>
    <w:docVar w:name="LW_REF.INST.NEW_ADOPTED" w:val="final"/>
    <w:docVar w:name="LW_REF.INST.NEW_TEXT" w:val="(2018) 3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7/2013 \u1079?\u1072?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6?\u1087?\u1088?\u1077?\u1076?\u1077?\u1083?\u1077?\u1085?\u1080? \u1089?\u1077?\u1083?\u1089?\u1082?\u1086?\u1089?\u1090?\u1086?\u1087?\u1072?\u1085?\u1089?\u1082?\u1080? \u1080? \u1087?\u1088?\u1086?\u1084?\u1080?\u1096?\u1083?\u1077?\u1085?\u1080? \u1087?\u1088?\u1086?\u1076?\u1091?\u1082?\u1090?\u108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Fichefinanciretitre5">
    <w:name w:val="Fiche financière titre"/>
    <w:basedOn w:val="Normal"/>
    <w:next w:val="Normal"/>
    <w:pPr>
      <w:jc w:val="center"/>
    </w:pPr>
    <w:rPr>
      <w:b/>
      <w:u w:val="single"/>
    </w:rPr>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chefinanciretitre9">
    <w:name w:val="Fiche financière titre"/>
    <w:basedOn w:val="Normal"/>
    <w:next w:val="Normal"/>
    <w:pPr>
      <w:jc w:val="center"/>
    </w:pPr>
    <w:rPr>
      <w:b/>
      <w:u w:val="single"/>
    </w:rPr>
  </w:style>
  <w:style w:type="paragraph" w:customStyle="1" w:styleId="Fichefinanciretitrea">
    <w:name w:val="Fiche financière titre"/>
    <w:basedOn w:val="Normal"/>
    <w:next w:val="Normal"/>
    <w:pPr>
      <w:jc w:val="center"/>
    </w:pPr>
    <w:rPr>
      <w:b/>
      <w:u w:val="single"/>
    </w:rPr>
  </w:style>
  <w:style w:type="paragraph" w:customStyle="1" w:styleId="Fichefinanciretitreb">
    <w:name w:val="Fiche financière titre"/>
    <w:basedOn w:val="Normal"/>
    <w:next w:val="Normal"/>
    <w:pPr>
      <w:jc w:val="center"/>
    </w:pPr>
    <w:rPr>
      <w:b/>
      <w:u w:val="single"/>
    </w:rPr>
  </w:style>
  <w:style w:type="paragraph" w:customStyle="1" w:styleId="Fichefinanciretitrec">
    <w:name w:val="Fiche financière titre"/>
    <w:basedOn w:val="Normal"/>
    <w:next w:val="Normal"/>
    <w:pPr>
      <w:jc w:val="center"/>
    </w:pPr>
    <w:rPr>
      <w:b/>
      <w:u w:val="single"/>
    </w:rPr>
  </w:style>
  <w:style w:type="paragraph" w:customStyle="1" w:styleId="Fichefinanciretitred">
    <w:name w:val="Fiche financière titre"/>
    <w:basedOn w:val="Normal"/>
    <w:next w:val="Normal"/>
    <w:pPr>
      <w:jc w:val="center"/>
    </w:pPr>
    <w:rPr>
      <w:b/>
      <w:u w:val="single"/>
    </w:rPr>
  </w:style>
  <w:style w:type="paragraph" w:customStyle="1" w:styleId="Fichefinanciretitree">
    <w:name w:val="Fiche financière titre"/>
    <w:basedOn w:val="Normal"/>
    <w:next w:val="Normal"/>
    <w:pPr>
      <w:jc w:val="center"/>
    </w:pPr>
    <w:rPr>
      <w:b/>
      <w:u w:val="single"/>
    </w:rPr>
  </w:style>
  <w:style w:type="paragraph" w:customStyle="1" w:styleId="Fichefinanciretitref">
    <w:name w:val="Fiche financière titre"/>
    <w:basedOn w:val="Normal"/>
    <w:next w:val="Normal"/>
    <w:pPr>
      <w:jc w:val="center"/>
    </w:pPr>
    <w:rPr>
      <w:b/>
      <w:u w:val="single"/>
    </w:rPr>
  </w:style>
  <w:style w:type="paragraph" w:customStyle="1" w:styleId="Fichefinanciretitref0">
    <w:name w:val="Fiche financière titre"/>
    <w:basedOn w:val="Normal"/>
    <w:next w:val="Normal"/>
    <w:pPr>
      <w:jc w:val="center"/>
    </w:pPr>
    <w:rPr>
      <w:b/>
      <w:u w:val="single"/>
    </w:rPr>
  </w:style>
  <w:style w:type="paragraph" w:customStyle="1" w:styleId="Fichefinanciretitref1">
    <w:name w:val="Fiche financière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Fichefinanciretitref2">
    <w:name w:val="Fiche financière titre"/>
    <w:basedOn w:val="Normal"/>
    <w:next w:val="Normal"/>
    <w:pPr>
      <w:jc w:val="center"/>
    </w:pPr>
    <w:rPr>
      <w:b/>
      <w:u w:val="single"/>
    </w:rPr>
  </w:style>
  <w:style w:type="paragraph" w:customStyle="1" w:styleId="Sous-titreobjetPagedecouverture">
    <w:name w:val="Sous-titre objet (Page de couverture)"/>
    <w:basedOn w:val="Sous-titreobjet"/>
  </w:style>
  <w:style w:type="paragraph" w:customStyle="1" w:styleId="Fichefinanciretitref3">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f4">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Fichefinanciretitre5">
    <w:name w:val="Fiche financière titre"/>
    <w:basedOn w:val="Normal"/>
    <w:next w:val="Normal"/>
    <w:pPr>
      <w:jc w:val="center"/>
    </w:pPr>
    <w:rPr>
      <w:b/>
      <w:u w:val="single"/>
    </w:rPr>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chefinanciretitre9">
    <w:name w:val="Fiche financière titre"/>
    <w:basedOn w:val="Normal"/>
    <w:next w:val="Normal"/>
    <w:pPr>
      <w:jc w:val="center"/>
    </w:pPr>
    <w:rPr>
      <w:b/>
      <w:u w:val="single"/>
    </w:rPr>
  </w:style>
  <w:style w:type="paragraph" w:customStyle="1" w:styleId="Fichefinanciretitrea">
    <w:name w:val="Fiche financière titre"/>
    <w:basedOn w:val="Normal"/>
    <w:next w:val="Normal"/>
    <w:pPr>
      <w:jc w:val="center"/>
    </w:pPr>
    <w:rPr>
      <w:b/>
      <w:u w:val="single"/>
    </w:rPr>
  </w:style>
  <w:style w:type="paragraph" w:customStyle="1" w:styleId="Fichefinanciretitreb">
    <w:name w:val="Fiche financière titre"/>
    <w:basedOn w:val="Normal"/>
    <w:next w:val="Normal"/>
    <w:pPr>
      <w:jc w:val="center"/>
    </w:pPr>
    <w:rPr>
      <w:b/>
      <w:u w:val="single"/>
    </w:rPr>
  </w:style>
  <w:style w:type="paragraph" w:customStyle="1" w:styleId="Fichefinanciretitrec">
    <w:name w:val="Fiche financière titre"/>
    <w:basedOn w:val="Normal"/>
    <w:next w:val="Normal"/>
    <w:pPr>
      <w:jc w:val="center"/>
    </w:pPr>
    <w:rPr>
      <w:b/>
      <w:u w:val="single"/>
    </w:rPr>
  </w:style>
  <w:style w:type="paragraph" w:customStyle="1" w:styleId="Fichefinanciretitred">
    <w:name w:val="Fiche financière titre"/>
    <w:basedOn w:val="Normal"/>
    <w:next w:val="Normal"/>
    <w:pPr>
      <w:jc w:val="center"/>
    </w:pPr>
    <w:rPr>
      <w:b/>
      <w:u w:val="single"/>
    </w:rPr>
  </w:style>
  <w:style w:type="paragraph" w:customStyle="1" w:styleId="Fichefinanciretitree">
    <w:name w:val="Fiche financière titre"/>
    <w:basedOn w:val="Normal"/>
    <w:next w:val="Normal"/>
    <w:pPr>
      <w:jc w:val="center"/>
    </w:pPr>
    <w:rPr>
      <w:b/>
      <w:u w:val="single"/>
    </w:rPr>
  </w:style>
  <w:style w:type="paragraph" w:customStyle="1" w:styleId="Fichefinanciretitref">
    <w:name w:val="Fiche financière titre"/>
    <w:basedOn w:val="Normal"/>
    <w:next w:val="Normal"/>
    <w:pPr>
      <w:jc w:val="center"/>
    </w:pPr>
    <w:rPr>
      <w:b/>
      <w:u w:val="single"/>
    </w:rPr>
  </w:style>
  <w:style w:type="paragraph" w:customStyle="1" w:styleId="Fichefinanciretitref0">
    <w:name w:val="Fiche financière titre"/>
    <w:basedOn w:val="Normal"/>
    <w:next w:val="Normal"/>
    <w:pPr>
      <w:jc w:val="center"/>
    </w:pPr>
    <w:rPr>
      <w:b/>
      <w:u w:val="single"/>
    </w:rPr>
  </w:style>
  <w:style w:type="paragraph" w:customStyle="1" w:styleId="Fichefinanciretitref1">
    <w:name w:val="Fiche financière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Fichefinanciretitref2">
    <w:name w:val="Fiche financière titre"/>
    <w:basedOn w:val="Normal"/>
    <w:next w:val="Normal"/>
    <w:pPr>
      <w:jc w:val="center"/>
    </w:pPr>
    <w:rPr>
      <w:b/>
      <w:u w:val="single"/>
    </w:rPr>
  </w:style>
  <w:style w:type="paragraph" w:customStyle="1" w:styleId="Sous-titreobjetPagedecouverture">
    <w:name w:val="Sous-titre objet (Page de couverture)"/>
    <w:basedOn w:val="Sous-titreobjet"/>
  </w:style>
  <w:style w:type="paragraph" w:customStyle="1" w:styleId="Fichefinanciretitref3">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f4">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3555">
      <w:bodyDiv w:val="1"/>
      <w:marLeft w:val="0"/>
      <w:marRight w:val="0"/>
      <w:marTop w:val="0"/>
      <w:marBottom w:val="0"/>
      <w:divBdr>
        <w:top w:val="none" w:sz="0" w:space="0" w:color="auto"/>
        <w:left w:val="none" w:sz="0" w:space="0" w:color="auto"/>
        <w:bottom w:val="none" w:sz="0" w:space="0" w:color="auto"/>
        <w:right w:val="none" w:sz="0" w:space="0" w:color="auto"/>
      </w:divBdr>
    </w:div>
    <w:div w:id="179050215">
      <w:bodyDiv w:val="1"/>
      <w:marLeft w:val="0"/>
      <w:marRight w:val="0"/>
      <w:marTop w:val="0"/>
      <w:marBottom w:val="0"/>
      <w:divBdr>
        <w:top w:val="none" w:sz="0" w:space="0" w:color="auto"/>
        <w:left w:val="none" w:sz="0" w:space="0" w:color="auto"/>
        <w:bottom w:val="none" w:sz="0" w:space="0" w:color="auto"/>
        <w:right w:val="none" w:sz="0" w:space="0" w:color="auto"/>
      </w:divBdr>
    </w:div>
    <w:div w:id="192041640">
      <w:bodyDiv w:val="1"/>
      <w:marLeft w:val="0"/>
      <w:marRight w:val="0"/>
      <w:marTop w:val="0"/>
      <w:marBottom w:val="0"/>
      <w:divBdr>
        <w:top w:val="none" w:sz="0" w:space="0" w:color="auto"/>
        <w:left w:val="none" w:sz="0" w:space="0" w:color="auto"/>
        <w:bottom w:val="none" w:sz="0" w:space="0" w:color="auto"/>
        <w:right w:val="none" w:sz="0" w:space="0" w:color="auto"/>
      </w:divBdr>
    </w:div>
    <w:div w:id="318505533">
      <w:bodyDiv w:val="1"/>
      <w:marLeft w:val="0"/>
      <w:marRight w:val="0"/>
      <w:marTop w:val="0"/>
      <w:marBottom w:val="0"/>
      <w:divBdr>
        <w:top w:val="none" w:sz="0" w:space="0" w:color="auto"/>
        <w:left w:val="none" w:sz="0" w:space="0" w:color="auto"/>
        <w:bottom w:val="none" w:sz="0" w:space="0" w:color="auto"/>
        <w:right w:val="none" w:sz="0" w:space="0" w:color="auto"/>
      </w:divBdr>
    </w:div>
    <w:div w:id="573973016">
      <w:bodyDiv w:val="1"/>
      <w:marLeft w:val="0"/>
      <w:marRight w:val="0"/>
      <w:marTop w:val="0"/>
      <w:marBottom w:val="0"/>
      <w:divBdr>
        <w:top w:val="none" w:sz="0" w:space="0" w:color="auto"/>
        <w:left w:val="none" w:sz="0" w:space="0" w:color="auto"/>
        <w:bottom w:val="none" w:sz="0" w:space="0" w:color="auto"/>
        <w:right w:val="none" w:sz="0" w:space="0" w:color="auto"/>
      </w:divBdr>
    </w:div>
    <w:div w:id="586615849">
      <w:bodyDiv w:val="1"/>
      <w:marLeft w:val="0"/>
      <w:marRight w:val="0"/>
      <w:marTop w:val="0"/>
      <w:marBottom w:val="0"/>
      <w:divBdr>
        <w:top w:val="none" w:sz="0" w:space="0" w:color="auto"/>
        <w:left w:val="none" w:sz="0" w:space="0" w:color="auto"/>
        <w:bottom w:val="none" w:sz="0" w:space="0" w:color="auto"/>
        <w:right w:val="none" w:sz="0" w:space="0" w:color="auto"/>
      </w:divBdr>
    </w:div>
    <w:div w:id="752774012">
      <w:bodyDiv w:val="1"/>
      <w:marLeft w:val="0"/>
      <w:marRight w:val="0"/>
      <w:marTop w:val="0"/>
      <w:marBottom w:val="0"/>
      <w:divBdr>
        <w:top w:val="none" w:sz="0" w:space="0" w:color="auto"/>
        <w:left w:val="none" w:sz="0" w:space="0" w:color="auto"/>
        <w:bottom w:val="none" w:sz="0" w:space="0" w:color="auto"/>
        <w:right w:val="none" w:sz="0" w:space="0" w:color="auto"/>
      </w:divBdr>
    </w:div>
    <w:div w:id="775948631">
      <w:bodyDiv w:val="1"/>
      <w:marLeft w:val="0"/>
      <w:marRight w:val="0"/>
      <w:marTop w:val="0"/>
      <w:marBottom w:val="0"/>
      <w:divBdr>
        <w:top w:val="none" w:sz="0" w:space="0" w:color="auto"/>
        <w:left w:val="none" w:sz="0" w:space="0" w:color="auto"/>
        <w:bottom w:val="none" w:sz="0" w:space="0" w:color="auto"/>
        <w:right w:val="none" w:sz="0" w:space="0" w:color="auto"/>
      </w:divBdr>
      <w:divsChild>
        <w:div w:id="1096247728">
          <w:marLeft w:val="0"/>
          <w:marRight w:val="0"/>
          <w:marTop w:val="0"/>
          <w:marBottom w:val="0"/>
          <w:divBdr>
            <w:top w:val="none" w:sz="0" w:space="0" w:color="auto"/>
            <w:left w:val="none" w:sz="0" w:space="0" w:color="auto"/>
            <w:bottom w:val="none" w:sz="0" w:space="0" w:color="auto"/>
            <w:right w:val="none" w:sz="0" w:space="0" w:color="auto"/>
          </w:divBdr>
        </w:div>
        <w:div w:id="546651555">
          <w:marLeft w:val="0"/>
          <w:marRight w:val="0"/>
          <w:marTop w:val="0"/>
          <w:marBottom w:val="0"/>
          <w:divBdr>
            <w:top w:val="none" w:sz="0" w:space="0" w:color="auto"/>
            <w:left w:val="none" w:sz="0" w:space="0" w:color="auto"/>
            <w:bottom w:val="none" w:sz="0" w:space="0" w:color="auto"/>
            <w:right w:val="none" w:sz="0" w:space="0" w:color="auto"/>
          </w:divBdr>
        </w:div>
      </w:divsChild>
    </w:div>
    <w:div w:id="811796090">
      <w:bodyDiv w:val="1"/>
      <w:marLeft w:val="0"/>
      <w:marRight w:val="0"/>
      <w:marTop w:val="0"/>
      <w:marBottom w:val="0"/>
      <w:divBdr>
        <w:top w:val="none" w:sz="0" w:space="0" w:color="auto"/>
        <w:left w:val="none" w:sz="0" w:space="0" w:color="auto"/>
        <w:bottom w:val="none" w:sz="0" w:space="0" w:color="auto"/>
        <w:right w:val="none" w:sz="0" w:space="0" w:color="auto"/>
      </w:divBdr>
    </w:div>
    <w:div w:id="939411627">
      <w:bodyDiv w:val="1"/>
      <w:marLeft w:val="0"/>
      <w:marRight w:val="0"/>
      <w:marTop w:val="0"/>
      <w:marBottom w:val="0"/>
      <w:divBdr>
        <w:top w:val="none" w:sz="0" w:space="0" w:color="auto"/>
        <w:left w:val="none" w:sz="0" w:space="0" w:color="auto"/>
        <w:bottom w:val="none" w:sz="0" w:space="0" w:color="auto"/>
        <w:right w:val="none" w:sz="0" w:space="0" w:color="auto"/>
      </w:divBdr>
    </w:div>
    <w:div w:id="943464670">
      <w:bodyDiv w:val="1"/>
      <w:marLeft w:val="0"/>
      <w:marRight w:val="0"/>
      <w:marTop w:val="0"/>
      <w:marBottom w:val="0"/>
      <w:divBdr>
        <w:top w:val="none" w:sz="0" w:space="0" w:color="auto"/>
        <w:left w:val="none" w:sz="0" w:space="0" w:color="auto"/>
        <w:bottom w:val="none" w:sz="0" w:space="0" w:color="auto"/>
        <w:right w:val="none" w:sz="0" w:space="0" w:color="auto"/>
      </w:divBdr>
    </w:div>
    <w:div w:id="1002850315">
      <w:bodyDiv w:val="1"/>
      <w:marLeft w:val="0"/>
      <w:marRight w:val="0"/>
      <w:marTop w:val="0"/>
      <w:marBottom w:val="0"/>
      <w:divBdr>
        <w:top w:val="none" w:sz="0" w:space="0" w:color="auto"/>
        <w:left w:val="none" w:sz="0" w:space="0" w:color="auto"/>
        <w:bottom w:val="none" w:sz="0" w:space="0" w:color="auto"/>
        <w:right w:val="none" w:sz="0" w:space="0" w:color="auto"/>
      </w:divBdr>
    </w:div>
    <w:div w:id="1058942227">
      <w:bodyDiv w:val="1"/>
      <w:marLeft w:val="0"/>
      <w:marRight w:val="0"/>
      <w:marTop w:val="0"/>
      <w:marBottom w:val="0"/>
      <w:divBdr>
        <w:top w:val="none" w:sz="0" w:space="0" w:color="auto"/>
        <w:left w:val="none" w:sz="0" w:space="0" w:color="auto"/>
        <w:bottom w:val="none" w:sz="0" w:space="0" w:color="auto"/>
        <w:right w:val="none" w:sz="0" w:space="0" w:color="auto"/>
      </w:divBdr>
    </w:div>
    <w:div w:id="1072434582">
      <w:bodyDiv w:val="1"/>
      <w:marLeft w:val="0"/>
      <w:marRight w:val="0"/>
      <w:marTop w:val="0"/>
      <w:marBottom w:val="0"/>
      <w:divBdr>
        <w:top w:val="none" w:sz="0" w:space="0" w:color="auto"/>
        <w:left w:val="none" w:sz="0" w:space="0" w:color="auto"/>
        <w:bottom w:val="none" w:sz="0" w:space="0" w:color="auto"/>
        <w:right w:val="none" w:sz="0" w:space="0" w:color="auto"/>
      </w:divBdr>
      <w:divsChild>
        <w:div w:id="1714499735">
          <w:marLeft w:val="0"/>
          <w:marRight w:val="0"/>
          <w:marTop w:val="0"/>
          <w:marBottom w:val="0"/>
          <w:divBdr>
            <w:top w:val="none" w:sz="0" w:space="0" w:color="auto"/>
            <w:left w:val="none" w:sz="0" w:space="0" w:color="auto"/>
            <w:bottom w:val="none" w:sz="0" w:space="0" w:color="auto"/>
            <w:right w:val="none" w:sz="0" w:space="0" w:color="auto"/>
          </w:divBdr>
        </w:div>
        <w:div w:id="457794325">
          <w:marLeft w:val="0"/>
          <w:marRight w:val="0"/>
          <w:marTop w:val="0"/>
          <w:marBottom w:val="0"/>
          <w:divBdr>
            <w:top w:val="none" w:sz="0" w:space="0" w:color="auto"/>
            <w:left w:val="none" w:sz="0" w:space="0" w:color="auto"/>
            <w:bottom w:val="none" w:sz="0" w:space="0" w:color="auto"/>
            <w:right w:val="none" w:sz="0" w:space="0" w:color="auto"/>
          </w:divBdr>
        </w:div>
      </w:divsChild>
    </w:div>
    <w:div w:id="1092580208">
      <w:bodyDiv w:val="1"/>
      <w:marLeft w:val="0"/>
      <w:marRight w:val="0"/>
      <w:marTop w:val="0"/>
      <w:marBottom w:val="0"/>
      <w:divBdr>
        <w:top w:val="none" w:sz="0" w:space="0" w:color="auto"/>
        <w:left w:val="none" w:sz="0" w:space="0" w:color="auto"/>
        <w:bottom w:val="none" w:sz="0" w:space="0" w:color="auto"/>
        <w:right w:val="none" w:sz="0" w:space="0" w:color="auto"/>
      </w:divBdr>
    </w:div>
    <w:div w:id="1237784039">
      <w:bodyDiv w:val="1"/>
      <w:marLeft w:val="0"/>
      <w:marRight w:val="0"/>
      <w:marTop w:val="0"/>
      <w:marBottom w:val="0"/>
      <w:divBdr>
        <w:top w:val="none" w:sz="0" w:space="0" w:color="auto"/>
        <w:left w:val="none" w:sz="0" w:space="0" w:color="auto"/>
        <w:bottom w:val="none" w:sz="0" w:space="0" w:color="auto"/>
        <w:right w:val="none" w:sz="0" w:space="0" w:color="auto"/>
      </w:divBdr>
    </w:div>
    <w:div w:id="1280185553">
      <w:bodyDiv w:val="1"/>
      <w:marLeft w:val="0"/>
      <w:marRight w:val="0"/>
      <w:marTop w:val="0"/>
      <w:marBottom w:val="0"/>
      <w:divBdr>
        <w:top w:val="none" w:sz="0" w:space="0" w:color="auto"/>
        <w:left w:val="none" w:sz="0" w:space="0" w:color="auto"/>
        <w:bottom w:val="none" w:sz="0" w:space="0" w:color="auto"/>
        <w:right w:val="none" w:sz="0" w:space="0" w:color="auto"/>
      </w:divBdr>
    </w:div>
    <w:div w:id="1368263679">
      <w:bodyDiv w:val="1"/>
      <w:marLeft w:val="0"/>
      <w:marRight w:val="0"/>
      <w:marTop w:val="0"/>
      <w:marBottom w:val="0"/>
      <w:divBdr>
        <w:top w:val="none" w:sz="0" w:space="0" w:color="auto"/>
        <w:left w:val="none" w:sz="0" w:space="0" w:color="auto"/>
        <w:bottom w:val="none" w:sz="0" w:space="0" w:color="auto"/>
        <w:right w:val="none" w:sz="0" w:space="0" w:color="auto"/>
      </w:divBdr>
      <w:divsChild>
        <w:div w:id="1422752398">
          <w:marLeft w:val="0"/>
          <w:marRight w:val="0"/>
          <w:marTop w:val="0"/>
          <w:marBottom w:val="0"/>
          <w:divBdr>
            <w:top w:val="none" w:sz="0" w:space="0" w:color="auto"/>
            <w:left w:val="none" w:sz="0" w:space="0" w:color="auto"/>
            <w:bottom w:val="none" w:sz="0" w:space="0" w:color="auto"/>
            <w:right w:val="none" w:sz="0" w:space="0" w:color="auto"/>
          </w:divBdr>
        </w:div>
        <w:div w:id="939878149">
          <w:marLeft w:val="0"/>
          <w:marRight w:val="0"/>
          <w:marTop w:val="0"/>
          <w:marBottom w:val="0"/>
          <w:divBdr>
            <w:top w:val="none" w:sz="0" w:space="0" w:color="auto"/>
            <w:left w:val="none" w:sz="0" w:space="0" w:color="auto"/>
            <w:bottom w:val="none" w:sz="0" w:space="0" w:color="auto"/>
            <w:right w:val="none" w:sz="0" w:space="0" w:color="auto"/>
          </w:divBdr>
        </w:div>
      </w:divsChild>
    </w:div>
    <w:div w:id="1406874853">
      <w:bodyDiv w:val="1"/>
      <w:marLeft w:val="0"/>
      <w:marRight w:val="0"/>
      <w:marTop w:val="0"/>
      <w:marBottom w:val="0"/>
      <w:divBdr>
        <w:top w:val="none" w:sz="0" w:space="0" w:color="auto"/>
        <w:left w:val="none" w:sz="0" w:space="0" w:color="auto"/>
        <w:bottom w:val="none" w:sz="0" w:space="0" w:color="auto"/>
        <w:right w:val="none" w:sz="0" w:space="0" w:color="auto"/>
      </w:divBdr>
    </w:div>
    <w:div w:id="1409691205">
      <w:bodyDiv w:val="1"/>
      <w:marLeft w:val="0"/>
      <w:marRight w:val="0"/>
      <w:marTop w:val="0"/>
      <w:marBottom w:val="0"/>
      <w:divBdr>
        <w:top w:val="none" w:sz="0" w:space="0" w:color="auto"/>
        <w:left w:val="none" w:sz="0" w:space="0" w:color="auto"/>
        <w:bottom w:val="none" w:sz="0" w:space="0" w:color="auto"/>
        <w:right w:val="none" w:sz="0" w:space="0" w:color="auto"/>
      </w:divBdr>
    </w:div>
    <w:div w:id="1612008908">
      <w:bodyDiv w:val="1"/>
      <w:marLeft w:val="0"/>
      <w:marRight w:val="0"/>
      <w:marTop w:val="0"/>
      <w:marBottom w:val="0"/>
      <w:divBdr>
        <w:top w:val="none" w:sz="0" w:space="0" w:color="auto"/>
        <w:left w:val="none" w:sz="0" w:space="0" w:color="auto"/>
        <w:bottom w:val="none" w:sz="0" w:space="0" w:color="auto"/>
        <w:right w:val="none" w:sz="0" w:space="0" w:color="auto"/>
      </w:divBdr>
    </w:div>
    <w:div w:id="1729918751">
      <w:bodyDiv w:val="1"/>
      <w:marLeft w:val="0"/>
      <w:marRight w:val="0"/>
      <w:marTop w:val="0"/>
      <w:marBottom w:val="0"/>
      <w:divBdr>
        <w:top w:val="none" w:sz="0" w:space="0" w:color="auto"/>
        <w:left w:val="none" w:sz="0" w:space="0" w:color="auto"/>
        <w:bottom w:val="none" w:sz="0" w:space="0" w:color="auto"/>
        <w:right w:val="none" w:sz="0" w:space="0" w:color="auto"/>
      </w:divBdr>
    </w:div>
    <w:div w:id="18363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common/publications/studi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5A40-084B-4A56-A1A9-76DC56E0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1733</Words>
  <Characters>10178</Characters>
  <Application>Microsoft Office Word</Application>
  <DocSecurity>0</DocSecurity>
  <Lines>236</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2018-04-25T06:34:00Z</cp:lastPrinted>
  <dcterms:created xsi:type="dcterms:W3CDTF">2018-05-22T12:52:00Z</dcterms:created>
  <dcterms:modified xsi:type="dcterms:W3CDTF">2018-05-22T15:39:00Z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