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32E47B1-3C92-4170-A4E2-02BB5C13A33B" style="width:450.75pt;height:361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rPr>
          <w:noProof/>
        </w:rPr>
      </w:pPr>
      <w:bookmarkStart w:id="1" w:name="_GoBack"/>
      <w:bookmarkEnd w:id="1"/>
      <w:r>
        <w:rPr>
          <w:noProof/>
        </w:rPr>
        <w:lastRenderedPageBreak/>
        <w:t xml:space="preserve">1. </w:t>
      </w:r>
      <w:r>
        <w:rPr>
          <w:noProof/>
        </w:rPr>
        <w:tab/>
        <w:t>Към нова стратегия на ЕС за младежта</w:t>
      </w:r>
    </w:p>
    <w:p>
      <w:pPr>
        <w:rPr>
          <w:noProof/>
        </w:rPr>
      </w:pPr>
      <w:r>
        <w:rPr>
          <w:noProof/>
        </w:rPr>
        <w:t xml:space="preserve">Младите хора силно желаят да поемат контрола над своя живот, да общуват с другите и да ги подкрепят. Въпреки това много от тях се сблъскват с несигурност за своето бъдеще в резултат на технологичната промяна, демографските тенденции, дискриминацията, социалното изключване, фалшивите новини и популизма с все още неизвестни последствия върху работните места, уменията или начина, по който функционират нашите демократични общества.  Повече от всякога младите хора се нуждаят от устойчивост и способност да се адаптират към тези предизвикателства. Те следва да придобият необходимите умения, за да допринасят за проспериращи, демократични и сплотени общества в Европа и извън нея. В днешния взаимосвързан свят много млади хора са загрижени за глобалните въпроси като изменението на климата или мира и сигурността. </w:t>
      </w:r>
    </w:p>
    <w:p>
      <w:pPr>
        <w:rPr>
          <w:rFonts w:eastAsia="Times New Roman"/>
          <w:noProof/>
        </w:rPr>
      </w:pPr>
      <w:r>
        <w:rPr>
          <w:noProof/>
        </w:rPr>
        <w:t>Въпреки икономическия подем и по-ниската безработица неравенствата, включително между поколенията, продължават. За пръв път след Втората световна война съществува реален риск днешното поколение млади хора да се окаже в по-лошо положение от това на своите родители</w:t>
      </w:r>
      <w:r>
        <w:rPr>
          <w:noProof/>
          <w:vertAlign w:val="superscript"/>
        </w:rPr>
        <w:footnoteReference w:id="1"/>
      </w:r>
      <w:r>
        <w:rPr>
          <w:noProof/>
        </w:rPr>
        <w:t>.</w:t>
      </w:r>
      <w:r>
        <w:rPr>
          <w:noProof/>
          <w:vertAlign w:val="superscript"/>
        </w:rPr>
        <w:t xml:space="preserve"> </w:t>
      </w:r>
      <w:r>
        <w:rPr>
          <w:noProof/>
        </w:rPr>
        <w:t>29 % от лицата на възраст 16 — 29 години са в риск от бедност или социално изключване, а 11,6 % от тези на възраст 15 — 24 години се намират извън системите на заетост, образование или обучение (т.нар. NEET)</w:t>
      </w:r>
      <w:r>
        <w:rPr>
          <w:noProof/>
          <w:vertAlign w:val="superscript"/>
        </w:rPr>
        <w:footnoteReference w:id="2"/>
      </w:r>
      <w:r>
        <w:rPr>
          <w:noProof/>
        </w:rPr>
        <w:t>, докато 15,9 % от младите хора в тази възрастова група са безработни, което е два пъти по-висок процент от този за населението като цяло. Социално-икономическото и демократичното изключване вървят ръка за ръка</w:t>
      </w:r>
      <w:r>
        <w:rPr>
          <w:noProof/>
          <w:vertAlign w:val="superscript"/>
        </w:rPr>
        <w:footnoteReference w:id="3"/>
      </w:r>
      <w:r>
        <w:rPr>
          <w:noProof/>
        </w:rPr>
        <w:t xml:space="preserve">. Младите хора, борещи се с неблагоприятни условия, обикновено са по-слабо активни граждани и имат по-малко доверие в институциите. Освен това те по-рядко получават възможност за мобилност, включително по програмата „Еразъм+“. </w:t>
      </w:r>
    </w:p>
    <w:p>
      <w:pPr>
        <w:rPr>
          <w:rFonts w:eastAsia="Times New Roman"/>
          <w:noProof/>
        </w:rPr>
      </w:pPr>
      <w:r>
        <w:rPr>
          <w:noProof/>
        </w:rPr>
        <w:t>Европа не може да си позволи пропиляване на таланти, социално изключване или неангажираност сред нейната младеж. Младите хора следва не само да бъдат архитекти на собствения си живот, но и да допринасят за положителната промяна в обществото. Новият Европейски корпус за солидарност е свидетелство за готовността на мнозина млади европейци да демонстрират солидарност с хората и местата в нужда — основна ценност, на която се крепи европейското сътрудничество.</w:t>
      </w:r>
    </w:p>
    <w:p>
      <w:pPr>
        <w:rPr>
          <w:rStyle w:val="Ohne"/>
          <w:rFonts w:eastAsia="Times New Roman"/>
          <w:noProof/>
        </w:rPr>
      </w:pPr>
      <w:r>
        <w:rPr>
          <w:noProof/>
        </w:rPr>
        <w:t>През 2016 г. лидерите на ЕС потвърдиха необходимостта от действия в подкрепа на младежта</w:t>
      </w:r>
      <w:r>
        <w:rPr>
          <w:noProof/>
          <w:vertAlign w:val="superscript"/>
        </w:rPr>
        <w:footnoteReference w:id="4"/>
      </w:r>
      <w:r>
        <w:rPr>
          <w:noProof/>
        </w:rPr>
        <w:t>. В пътната карта от Братислава</w:t>
      </w:r>
      <w:r>
        <w:rPr>
          <w:noProof/>
          <w:vertAlign w:val="superscript"/>
        </w:rPr>
        <w:footnoteReference w:id="5"/>
      </w:r>
      <w:r>
        <w:rPr>
          <w:rStyle w:val="Ohne"/>
          <w:noProof/>
        </w:rPr>
        <w:t xml:space="preserve"> те се ангажираха със създаването на по-добри възможности за младите хора — амбиции, които след това бяха доразвити, например в работата по изграждане на европейско пространство за образование</w:t>
      </w:r>
      <w:r>
        <w:rPr>
          <w:rStyle w:val="Ohne"/>
          <w:noProof/>
          <w:vertAlign w:val="superscript"/>
        </w:rPr>
        <w:footnoteReference w:id="6"/>
      </w:r>
      <w:r>
        <w:rPr>
          <w:rStyle w:val="Ohne"/>
          <w:noProof/>
        </w:rPr>
        <w:t>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За да може младите хора да извлекат пълните ползи от действията на ЕС, тези действия трябва да отразяват техните стремежи, творчески заряд и таланти. От своя страна младите хора допринасят положително за постигане на амбициите на ЕС: това поколение е най-добре образованото от всякога и сред използващите по най-творчески начин информационните и комуникационните технологии и социалните мрежи. </w:t>
      </w:r>
    </w:p>
    <w:p>
      <w:pPr>
        <w:rPr>
          <w:rStyle w:val="Ohne"/>
          <w:noProof/>
        </w:rPr>
      </w:pPr>
      <w:r>
        <w:rPr>
          <w:rStyle w:val="Ohne"/>
          <w:noProof/>
        </w:rPr>
        <w:lastRenderedPageBreak/>
        <w:t xml:space="preserve">Още от 2002 г. ЕС осъществява специално сътрудничество в рамките на политиката си за младежта въз основа на принципите на активното участие и равния достъп до възможности, в полезно взаимодействие с други политики, насочени към младите хора, като образованието и заетостта. Сътрудничеството подтикна към промени в политиката и законодателството в държавите членки и допринесе за изграждането на капацитет на младежките организации. Остават открити обаче важни предизвикателства, като например приобщаването на повече млади хора от много по-разнообразни среди, включително такива, които разполагат с по-малко възможности, както и достигането в по-голяма степен до местното равнище.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Като приобщава и овластява младите жени и мъже, политиката за младежта може да се допринесе за успешното осъществяване на визията за континент, където младите хора могат да се възползват от възможностите и да са съпричастни с европейските ценности, както е посочено в Съобщението на Комисията</w:t>
      </w:r>
      <w:r>
        <w:rPr>
          <w:rStyle w:val="Ohne"/>
          <w:i/>
          <w:noProof/>
        </w:rPr>
        <w:t xml:space="preserve"> </w:t>
      </w:r>
      <w:r>
        <w:rPr>
          <w:rStyle w:val="Ohne"/>
          <w:noProof/>
        </w:rPr>
        <w:t>„Укрепване на европейската идентичност чрез образование и култура“</w:t>
      </w:r>
      <w:r>
        <w:rPr>
          <w:rStyle w:val="Ohne"/>
          <w:noProof/>
          <w:vertAlign w:val="superscript"/>
        </w:rPr>
        <w:footnoteReference w:id="7"/>
      </w:r>
      <w:r>
        <w:rPr>
          <w:rStyle w:val="Ohne"/>
          <w:noProof/>
        </w:rPr>
        <w:t xml:space="preserve">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Подновеното сътрудничество в ЕС по въпросите на младежта може да спомогне за преодоляване на настоящия парадокс, свързан с участието. Младите хора проявяват интерес към политиката</w:t>
      </w:r>
      <w:r>
        <w:rPr>
          <w:rStyle w:val="Ohne"/>
          <w:noProof/>
          <w:vertAlign w:val="superscript"/>
        </w:rPr>
        <w:footnoteReference w:id="8"/>
      </w:r>
      <w:r>
        <w:rPr>
          <w:rStyle w:val="Ohne"/>
          <w:noProof/>
        </w:rPr>
        <w:t xml:space="preserve"> и са социално активни: 53 % участват в организирани дейности, почти една трета са активни доброволци, а други подкрепят кауза посредством медийно внимание или потребителски избор. Въпреки това те са склонни да се отдръпват от традиционните форми на участие. Повсеместно младежите в риск от социално изключване са недостатъчно представени. Лицата, отговорни за вземането на решения, трябва да превърнат в реалност участието на всички млади хора: да направят действията в тяхна полза прозрачни, да достигат и общуват с тях по достъпен начин чрез предпочитаните от тях канали (като социалните мрежи) и да насърчават включването им в решенията.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В свое съобщение от декември 2016 г. Комисията пое ангажимент да насърчи участието на младите хора след 2018 г.</w:t>
      </w:r>
      <w:r>
        <w:rPr>
          <w:rStyle w:val="Ohne"/>
          <w:noProof/>
          <w:vertAlign w:val="superscript"/>
        </w:rPr>
        <w:footnoteReference w:id="9"/>
      </w:r>
      <w:r>
        <w:rPr>
          <w:rStyle w:val="Ohne"/>
          <w:noProof/>
        </w:rPr>
        <w:t xml:space="preserve"> На свой ред, Съветът призова „да се поддържа и да се подобрява ефективността на европейското сътрудничество по въпросите на младежта след 2018 г.“</w:t>
      </w:r>
      <w:r>
        <w:rPr>
          <w:rStyle w:val="Ohne"/>
          <w:noProof/>
          <w:vertAlign w:val="superscript"/>
        </w:rPr>
        <w:footnoteReference w:id="10"/>
      </w:r>
      <w:r>
        <w:rPr>
          <w:rStyle w:val="Ohne"/>
          <w:noProof/>
        </w:rPr>
        <w:t>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Ето защо Комисията предлага нова стратегия на ЕС за младежта, с която да бъде отбелязан съвместният ангажимент между Комисията и държавите членки в рамките на тази политика, при пълното зачитане на субсидиарността. За да се съгласува още по-ефективно политиката за младежта, като нейните цели се подкрепят с финансиране от ЕС, стратегията следва да се осъществява до края на следващата многогодишна финансова рамка. За приоритетите ѝ са ползвани солидни източници на данни</w:t>
      </w:r>
      <w:r>
        <w:rPr>
          <w:rStyle w:val="Ohne"/>
          <w:noProof/>
          <w:vertAlign w:val="superscript"/>
        </w:rPr>
        <w:footnoteReference w:id="11"/>
      </w:r>
      <w:r>
        <w:rPr>
          <w:rStyle w:val="Ohne"/>
          <w:noProof/>
        </w:rPr>
        <w:t>, външна оценка</w:t>
      </w:r>
      <w:r>
        <w:rPr>
          <w:rStyle w:val="Ohne"/>
          <w:noProof/>
          <w:vertAlign w:val="superscript"/>
        </w:rPr>
        <w:footnoteReference w:id="12"/>
      </w:r>
      <w:r>
        <w:rPr>
          <w:rStyle w:val="Ohne"/>
          <w:noProof/>
        </w:rPr>
        <w:t>, позиции, изразени от европейските институции, и консултации, проведени през 2017 г. като част от „Годината на вслушването“</w:t>
      </w:r>
      <w:r>
        <w:rPr>
          <w:rStyle w:val="Ohne"/>
          <w:noProof/>
          <w:vertAlign w:val="superscript"/>
        </w:rPr>
        <w:footnoteReference w:id="13"/>
      </w:r>
      <w:r>
        <w:rPr>
          <w:rStyle w:val="Ohne"/>
          <w:noProof/>
        </w:rPr>
        <w:t xml:space="preserve"> и „Новото повествование за Европа“</w:t>
      </w:r>
      <w:r>
        <w:rPr>
          <w:rStyle w:val="Ohne"/>
          <w:noProof/>
          <w:vertAlign w:val="superscript"/>
        </w:rPr>
        <w:footnoteReference w:id="14"/>
      </w:r>
      <w:r>
        <w:rPr>
          <w:rStyle w:val="Ohne"/>
          <w:noProof/>
        </w:rPr>
        <w:t>. В тях единодушно се подчертава, че сътрудничеството в ЕС по въпросите на младежта е донесло осезаеми ползи, като вниманието се насочва към неговия потенциал. Новата стратегия ще се основава на достиженията на предишната, като ще подобрява нейната достъпност, разпознаваемост и въздействие, за да се гарантира по-добро участие на младите хора.</w:t>
      </w:r>
    </w:p>
    <w:p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120" w:line="240" w:lineRule="auto"/>
        <w:jc w:val="both"/>
        <w:rPr>
          <w:rStyle w:val="Ohne"/>
          <w:rFonts w:ascii="Times New Roman" w:eastAsia="Times New Roman" w:hAnsi="Times New Roman" w:cs="Times New Roman"/>
          <w:noProof/>
        </w:rPr>
      </w:pPr>
      <w:r>
        <w:rPr>
          <w:rStyle w:val="Ohne"/>
          <w:rFonts w:ascii="Times New Roman" w:hAnsi="Times New Roman"/>
          <w:noProof/>
        </w:rPr>
        <w:t>Обобщение на основните действия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Ohne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Подобряване на </w:t>
      </w:r>
      <w:r>
        <w:rPr>
          <w:rStyle w:val="Ohne"/>
          <w:rFonts w:ascii="Times New Roman" w:hAnsi="Times New Roman"/>
          <w:b/>
          <w:noProof/>
        </w:rPr>
        <w:t>междусекторното сътрудничество</w:t>
      </w:r>
      <w:r>
        <w:rPr>
          <w:rStyle w:val="Hyperlink2"/>
          <w:rFonts w:ascii="Times New Roman" w:hAnsi="Times New Roman"/>
          <w:noProof/>
        </w:rPr>
        <w:t xml:space="preserve"> между областите на политики, включително посредством </w:t>
      </w:r>
      <w:r>
        <w:rPr>
          <w:rStyle w:val="Ohne"/>
          <w:rFonts w:ascii="Times New Roman" w:hAnsi="Times New Roman"/>
          <w:b/>
          <w:noProof/>
        </w:rPr>
        <w:t>координатор на ЕС за младежта</w:t>
      </w:r>
      <w:r>
        <w:rPr>
          <w:rStyle w:val="Hyperlink2"/>
          <w:rFonts w:ascii="Times New Roman" w:hAnsi="Times New Roman"/>
          <w:noProof/>
        </w:rPr>
        <w:t>, за да се даде глас на младите хора при оформянето на политиките на ЕС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Проследяване</w:t>
      </w:r>
      <w:r>
        <w:rPr>
          <w:rStyle w:val="Hyperlink2"/>
          <w:rFonts w:ascii="Times New Roman" w:hAnsi="Times New Roman"/>
          <w:noProof/>
        </w:rPr>
        <w:t xml:space="preserve"> на разходите на ЕС в полза на младежта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Започване на нов и по-приобщаващ </w:t>
      </w:r>
      <w:r>
        <w:rPr>
          <w:rStyle w:val="Ohne"/>
          <w:rFonts w:ascii="Times New Roman" w:hAnsi="Times New Roman"/>
          <w:b/>
          <w:noProof/>
        </w:rPr>
        <w:t>диалог по въпросите на младежта в ЕС</w:t>
      </w:r>
      <w:r>
        <w:rPr>
          <w:rStyle w:val="Hyperlink2"/>
          <w:rFonts w:ascii="Times New Roman" w:hAnsi="Times New Roman"/>
          <w:noProof/>
        </w:rPr>
        <w:t xml:space="preserve"> с акцент върху младите хора с по-малко възможности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Премахване на пречките пред </w:t>
      </w:r>
      <w:r>
        <w:rPr>
          <w:rStyle w:val="Ohne"/>
          <w:rFonts w:ascii="Times New Roman" w:hAnsi="Times New Roman"/>
          <w:b/>
          <w:noProof/>
        </w:rPr>
        <w:t>мобилността с цел доброволческа дейност и солидарност, както и нейното улесняване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Изпълнение на </w:t>
      </w:r>
      <w:r>
        <w:rPr>
          <w:rStyle w:val="Ohne"/>
          <w:rFonts w:ascii="Times New Roman" w:hAnsi="Times New Roman"/>
          <w:b/>
          <w:noProof/>
        </w:rPr>
        <w:t>програма за работа с младежта</w:t>
      </w:r>
      <w:r>
        <w:rPr>
          <w:rStyle w:val="Hyperlink2"/>
          <w:rFonts w:ascii="Times New Roman" w:hAnsi="Times New Roman"/>
          <w:noProof/>
        </w:rPr>
        <w:t xml:space="preserve"> с цел по-високо признание за неформалното обучение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>Укрепване на връзката между политиката на ЕС за младежта и свързаните с нея програми на ЕС (</w:t>
      </w:r>
      <w:r>
        <w:rPr>
          <w:rStyle w:val="Ohne"/>
          <w:rFonts w:ascii="Times New Roman" w:hAnsi="Times New Roman"/>
          <w:b/>
          <w:noProof/>
        </w:rPr>
        <w:t>„Еразъм+“ и Европейския корпус за солидарност</w:t>
      </w:r>
      <w:r>
        <w:rPr>
          <w:rStyle w:val="Hyperlink2"/>
          <w:rFonts w:ascii="Times New Roman" w:hAnsi="Times New Roman"/>
          <w:noProof/>
        </w:rPr>
        <w:t>)</w:t>
      </w:r>
    </w:p>
    <w:p>
      <w:pPr>
        <w:pStyle w:val="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Ангажиране. Свързване. Овластяване.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Чрез сътрудничеството в ЕС по въпросите на младежта следва да се извлече максимално възможното от потенциала на политиката за младежта. Това сътрудничество позволява да се насърчава участието на младите хора в демократичния живот в съответствие с член 165 от Договора за функционирането на ЕС. Освен това чрез него може да се подкрепи социалната ангажираност, а така също и гражданските и социално-образователните дейности (работа с младежта), които предоставят на младите хора умения за живота и служат като мост към обществото, особено за тези от тях в неравностойно положение.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През следващите години стремежите в рамките на стратегията ще бъдат:</w:t>
      </w:r>
    </w:p>
    <w:p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Да се дава възможност на младите хора да бъдат </w:t>
      </w:r>
      <w:r>
        <w:rPr>
          <w:rStyle w:val="Ohne"/>
          <w:rFonts w:ascii="Times New Roman" w:hAnsi="Times New Roman"/>
          <w:b/>
          <w:noProof/>
        </w:rPr>
        <w:t>строители на собствения си живот, да изграждат своята устойчивост</w:t>
      </w:r>
      <w:r>
        <w:rPr>
          <w:rStyle w:val="Hyperlink2"/>
          <w:rFonts w:ascii="Times New Roman" w:hAnsi="Times New Roman"/>
          <w:noProof/>
        </w:rPr>
        <w:t xml:space="preserve"> и да си подсигуряват с умения за живота, за да се справят с един променящ се свят</w:t>
      </w:r>
      <w:r>
        <w:rPr>
          <w:noProof/>
        </w:rPr>
        <w:t>;</w:t>
      </w:r>
    </w:p>
    <w:p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Да се насърчават младите хора да бъдат </w:t>
      </w:r>
      <w:r>
        <w:rPr>
          <w:rStyle w:val="Ohne"/>
          <w:rFonts w:ascii="Times New Roman" w:hAnsi="Times New Roman"/>
          <w:b/>
          <w:noProof/>
        </w:rPr>
        <w:t>активни граждани, дейци на солидарността и положителната промяна</w:t>
      </w:r>
      <w:r>
        <w:rPr>
          <w:rStyle w:val="Hyperlink2"/>
          <w:rFonts w:ascii="Times New Roman" w:hAnsi="Times New Roman"/>
          <w:noProof/>
        </w:rPr>
        <w:t xml:space="preserve"> в полза на общностите в цяла Европа, вдъхновявани от ценностите на ЕС и европейската идентичност</w:t>
      </w:r>
      <w:r>
        <w:rPr>
          <w:noProof/>
        </w:rPr>
        <w:t>;</w:t>
      </w:r>
    </w:p>
    <w:p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>Да се спомага за предотвратяване на</w:t>
      </w:r>
      <w:r>
        <w:rPr>
          <w:rStyle w:val="Ohne"/>
          <w:rFonts w:ascii="Times New Roman" w:hAnsi="Times New Roman"/>
          <w:b/>
          <w:noProof/>
        </w:rPr>
        <w:t xml:space="preserve"> социалното изключване на младите хора</w:t>
      </w:r>
      <w:r>
        <w:rPr>
          <w:rStyle w:val="Hyperlink2"/>
          <w:rFonts w:ascii="Times New Roman" w:hAnsi="Times New Roman"/>
          <w:noProof/>
        </w:rPr>
        <w:t>;</w:t>
      </w:r>
      <w:r>
        <w:rPr>
          <w:rStyle w:val="Ohne"/>
          <w:rFonts w:ascii="Times New Roman" w:hAnsi="Times New Roman"/>
          <w:b/>
          <w:noProof/>
        </w:rPr>
        <w:t xml:space="preserve"> </w:t>
      </w:r>
    </w:p>
    <w:p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Да се подобрява </w:t>
      </w:r>
      <w:r>
        <w:rPr>
          <w:rStyle w:val="Ohne"/>
          <w:rFonts w:ascii="Times New Roman" w:hAnsi="Times New Roman"/>
          <w:b/>
          <w:noProof/>
        </w:rPr>
        <w:t>въздействието върху младите хора на решенията в политиката</w:t>
      </w:r>
      <w:r>
        <w:rPr>
          <w:rStyle w:val="Hyperlink2"/>
          <w:rFonts w:ascii="Times New Roman" w:hAnsi="Times New Roman"/>
          <w:noProof/>
        </w:rPr>
        <w:t xml:space="preserve"> чрез диалог и задоволяване на потребностите им в различните сектори.</w:t>
      </w:r>
    </w:p>
    <w:p>
      <w:pPr>
        <w:rPr>
          <w:rStyle w:val="Ohne"/>
          <w:rFonts w:eastAsia="Times New Roman"/>
          <w:noProof/>
          <w:u w:val="single"/>
        </w:rPr>
      </w:pPr>
      <w:r>
        <w:rPr>
          <w:rStyle w:val="Ohne"/>
          <w:noProof/>
        </w:rPr>
        <w:t>За тази цел в рамките на сътрудничеството по политиката за младежта ще бъдат предприемани дейности, разпределени в три области на действие.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Style w:val="Ohne"/>
          <w:rFonts w:eastAsia="Times New Roman"/>
          <w:noProof/>
        </w:rPr>
      </w:pPr>
      <w:r>
        <w:rPr>
          <w:rStyle w:val="Ohne"/>
          <w:b/>
          <w:noProof/>
        </w:rPr>
        <w:t>АНГАЖИРАНЕ</w:t>
      </w:r>
      <w:r>
        <w:rPr>
          <w:rStyle w:val="Ohne"/>
          <w:noProof/>
        </w:rPr>
        <w:t>: насърчаване на участието на младите хора в демократичния живот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Style w:val="Ohne"/>
          <w:rFonts w:eastAsia="Times New Roman"/>
          <w:noProof/>
        </w:rPr>
      </w:pPr>
      <w:r>
        <w:rPr>
          <w:rStyle w:val="Ohne"/>
          <w:b/>
          <w:noProof/>
        </w:rPr>
        <w:t>СВЪРЗВАНЕ</w:t>
      </w:r>
      <w:r>
        <w:rPr>
          <w:rStyle w:val="Ohne"/>
          <w:noProof/>
        </w:rPr>
        <w:t>: сближаване на младите хора в целия ЕС и извън него с цел насърчаване на доброволната ангажираност, мобилността с учебна цел, солидарността и междукултурното разбирателство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Style w:val="Ohne"/>
          <w:rFonts w:eastAsia="Times New Roman"/>
          <w:noProof/>
        </w:rPr>
      </w:pPr>
      <w:r>
        <w:rPr>
          <w:rStyle w:val="Ohne"/>
          <w:b/>
          <w:noProof/>
        </w:rPr>
        <w:t>ОВЛАСТЯВАНЕ</w:t>
      </w:r>
      <w:r>
        <w:rPr>
          <w:rStyle w:val="Ohne"/>
          <w:noProof/>
        </w:rPr>
        <w:t>: подкрепа за овластяването на младите хора чрез качество, новаторство и признание за работата с младежта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В стратегията ще се обръща специално внимание на: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Достигането до всички млади хора: </w:t>
      </w:r>
      <w:r>
        <w:rPr>
          <w:rStyle w:val="Ohne"/>
          <w:noProof/>
        </w:rPr>
        <w:t>Със стратегията следва да се преследва стремежът за подобряване на перспективите пред всички млади хора независимо от тяхната среда или социален статус. Програмата „Еразъм+ за младежта“ разполага с необходимото, за да достигне до младите хора с по-малко възможности, които представляват над 36 % от нейните бенефициери</w:t>
      </w:r>
      <w:r>
        <w:rPr>
          <w:rStyle w:val="Ohne"/>
          <w:noProof/>
          <w:vertAlign w:val="superscript"/>
        </w:rPr>
        <w:footnoteReference w:id="15"/>
      </w:r>
      <w:r>
        <w:rPr>
          <w:rStyle w:val="Ohne"/>
          <w:noProof/>
        </w:rPr>
        <w:t>. Въпреки това са необходими повече действия, за да бъдат политиката на ЕС за младежта и програмата „Еразъм+“ наистина приобщаващи.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Обхващането на нивата от глобалното до местното: </w:t>
      </w:r>
      <w:r>
        <w:rPr>
          <w:rStyle w:val="Ohne"/>
          <w:noProof/>
        </w:rPr>
        <w:t>Младите хора са ангажирани с решаването на глобални предизвикателства, и особено на целите за устойчиво развитие. От друга страна, овластяването на младежта започва на най-непосредствено равнище и зависи от разнообразната ситуация на младите хора. Чрез сътрудничеството в ЕС по въпросите на младежта следва да се изграждат по-добри връзки със създателите на политики и прилагащите ги на регионално и местно ниво и да се насърчават инициативите на младежта на най-непосредствено равнище.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… и на виртуалния свят: </w:t>
      </w:r>
      <w:r>
        <w:rPr>
          <w:rStyle w:val="Ohne"/>
          <w:noProof/>
        </w:rPr>
        <w:t>Цифровите технологии коренно промениха живота на младите хора по много начини и политиките трябва да отразяват и възможностите, и предизвикателствата, като се използва потенциалът на социалните мрежи, на младежта се осигуряват цифрови умения и се насърчават критичното мислене и медийната грамотност.</w:t>
      </w:r>
    </w:p>
    <w:p>
      <w:pPr>
        <w:pStyle w:val="Heading2"/>
        <w:rPr>
          <w:rStyle w:val="Ohne"/>
          <w:noProof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128905</wp:posOffset>
            </wp:positionV>
            <wp:extent cx="1151890" cy="1151890"/>
            <wp:effectExtent l="0" t="0" r="0" b="0"/>
            <wp:wrapSquare wrapText="bothSides"/>
            <wp:docPr id="3" name="Picture 3" descr="C:\Users\metayfa\AppData\Local\Microsoft\Windows\Temporary Internet Files\Content.Word\Eng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ayfa\AppData\Local\Microsoft\Windows\Temporary Internet Files\Content.Word\Engage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Ohne"/>
          <w:noProof/>
        </w:rPr>
        <w:t xml:space="preserve">2.1. </w:t>
      </w:r>
      <w:r>
        <w:rPr>
          <w:noProof/>
        </w:rPr>
        <w:tab/>
      </w:r>
      <w:r>
        <w:rPr>
          <w:rStyle w:val="Ohne"/>
          <w:noProof/>
        </w:rPr>
        <w:t>АНГАЖИРАНЕ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На фона на размислите за бъдещето на Европа, сега е времето </w:t>
      </w:r>
      <w:r>
        <w:rPr>
          <w:rStyle w:val="Ohne"/>
          <w:b/>
          <w:noProof/>
        </w:rPr>
        <w:t>да се вслушваме в младите хора, както и да ги овластим</w:t>
      </w:r>
      <w:r>
        <w:rPr>
          <w:rStyle w:val="Ohne"/>
          <w:noProof/>
        </w:rPr>
        <w:t xml:space="preserve">, за да превърнат мечтите си в реалност.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Много от тях желаят да участват в политическия живот, но очакват мнението им да бъде зачитано. Често пъти те са по-слабо ангажирани от по-възрастните групи в гласуването или политическите партии, те заявяват интерес към политиката и имат най-положителното отношение към ЕС. Чувството на гражданска принадлежност към ЕС е по-силно сред хората, родени след 1980 г. (73 %), отколкото сред родените преди 1946 г. (54 %)</w:t>
      </w:r>
      <w:r>
        <w:rPr>
          <w:rStyle w:val="Ohne"/>
          <w:noProof/>
          <w:vertAlign w:val="superscript"/>
        </w:rPr>
        <w:footnoteReference w:id="16"/>
      </w:r>
      <w:r>
        <w:rPr>
          <w:rStyle w:val="Ohne"/>
          <w:noProof/>
        </w:rPr>
        <w:t>. Както се подчертава в Доклада за гражданството на ЕС от 2017 г.</w:t>
      </w:r>
      <w:r>
        <w:rPr>
          <w:rStyle w:val="Ohne"/>
          <w:noProof/>
          <w:vertAlign w:val="superscript"/>
        </w:rPr>
        <w:footnoteReference w:id="17"/>
      </w:r>
      <w:r>
        <w:rPr>
          <w:rStyle w:val="Ohne"/>
          <w:noProof/>
        </w:rPr>
        <w:t>, ангажираността на младите е от решаващо значение предвид изборите за Европейски парламент през 2019 г.</w:t>
      </w:r>
    </w:p>
    <w:p>
      <w:pPr>
        <w:rPr>
          <w:rStyle w:val="Ohne"/>
          <w:rFonts w:eastAsia="Times New Roman"/>
          <w:b/>
          <w:bCs/>
          <w:noProof/>
          <w:u w:val="single"/>
        </w:rPr>
      </w:pPr>
      <w:r>
        <w:rPr>
          <w:rStyle w:val="Ohne"/>
          <w:noProof/>
        </w:rPr>
        <w:t>Днес ангажираността с младите хора на политиката на ЕС за младежта се осъществява чрез структурирания диалог</w:t>
      </w:r>
      <w:r>
        <w:rPr>
          <w:rStyle w:val="Ohne"/>
          <w:noProof/>
          <w:vertAlign w:val="superscript"/>
        </w:rPr>
        <w:footnoteReference w:id="18"/>
      </w:r>
      <w:r>
        <w:rPr>
          <w:rStyle w:val="Ohne"/>
          <w:noProof/>
        </w:rPr>
        <w:t>,</w:t>
      </w:r>
      <w:r>
        <w:rPr>
          <w:rStyle w:val="Ohne"/>
          <w:noProof/>
          <w:vertAlign w:val="superscript"/>
        </w:rPr>
        <w:t xml:space="preserve"> </w:t>
      </w:r>
      <w:r>
        <w:rPr>
          <w:rStyle w:val="Ohne"/>
          <w:noProof/>
        </w:rPr>
        <w:t xml:space="preserve">достигнал от 2010 г. насам до над 200 000 от тях. Макар тази форма на диалог да се е превърнала във влиятелен инструмент, Комисията предлага да се направи още една крачка и той да бъде обновен. Въз основа и на поуките от „Новото повествование за Европа“ </w:t>
      </w:r>
      <w:r>
        <w:rPr>
          <w:rStyle w:val="Ohne"/>
          <w:b/>
          <w:noProof/>
        </w:rPr>
        <w:t xml:space="preserve">неговият обсег следва да бъде разширен </w:t>
      </w:r>
      <w:r>
        <w:rPr>
          <w:rStyle w:val="Ohne"/>
          <w:noProof/>
        </w:rPr>
        <w:t>отвъд младежките организации, работещи в сферата на ЕС, и той следва да обхване по-разнообразна аудитория, включително на местно равнище. Диалогът следва да е ориентиран повече към групите в неравностойно положение, например като се надгражда над стратегията за приобщаване и многообразие</w:t>
      </w:r>
      <w:r>
        <w:rPr>
          <w:rStyle w:val="Ohne"/>
          <w:noProof/>
          <w:vertAlign w:val="superscript"/>
        </w:rPr>
        <w:footnoteReference w:id="19"/>
      </w:r>
      <w:r>
        <w:rPr>
          <w:rStyle w:val="Ohne"/>
          <w:noProof/>
        </w:rPr>
        <w:t xml:space="preserve"> в рамките на програмата „Еразъм+“, като същевременно се разчита на експертния опит на млади експерти и изследователи. В допълнение към получилите признание младежки конференции и срещи, диалогът по въпросите на младежта в ЕС ще </w:t>
      </w:r>
      <w:r>
        <w:rPr>
          <w:rStyle w:val="Ohne"/>
          <w:b/>
          <w:noProof/>
        </w:rPr>
        <w:t>обхване</w:t>
      </w:r>
      <w:r>
        <w:rPr>
          <w:rStyle w:val="Ohne"/>
          <w:noProof/>
        </w:rPr>
        <w:t xml:space="preserve"> </w:t>
      </w:r>
      <w:r>
        <w:rPr>
          <w:rStyle w:val="Ohne"/>
          <w:b/>
          <w:noProof/>
        </w:rPr>
        <w:t>нови и</w:t>
      </w:r>
      <w:r>
        <w:rPr>
          <w:rStyle w:val="Ohne"/>
          <w:noProof/>
        </w:rPr>
        <w:t xml:space="preserve"> </w:t>
      </w:r>
      <w:r>
        <w:rPr>
          <w:rStyle w:val="Ohne"/>
          <w:b/>
          <w:noProof/>
        </w:rPr>
        <w:t>алтернативни форми на участие, включително онлайн кампании</w:t>
      </w:r>
      <w:r>
        <w:rPr>
          <w:rStyle w:val="Ohne"/>
          <w:noProof/>
        </w:rPr>
        <w:t xml:space="preserve"> и консултации посредством цифрови платформи, свързани с Европейския портал за младежта. Диалогът ще бъде координиран на равнището на ЕС, поддържан от младите хора на всички равнища и подкрепян чрез национални работни групи с подобрени механизми за мониторинг. Той следва да бъде </w:t>
      </w:r>
      <w:r>
        <w:rPr>
          <w:rStyle w:val="Ohne"/>
          <w:b/>
          <w:noProof/>
        </w:rPr>
        <w:t>прозрачен и</w:t>
      </w:r>
      <w:r>
        <w:rPr>
          <w:rStyle w:val="Ohne"/>
          <w:noProof/>
        </w:rPr>
        <w:t xml:space="preserve"> </w:t>
      </w:r>
      <w:r>
        <w:rPr>
          <w:rStyle w:val="Ohne"/>
          <w:b/>
          <w:noProof/>
        </w:rPr>
        <w:t>разпознаваем</w:t>
      </w:r>
      <w:r>
        <w:rPr>
          <w:rStyle w:val="Ohne"/>
          <w:noProof/>
        </w:rPr>
        <w:t xml:space="preserve"> от гледна точка на въздействието. За да се даде възможност на младите хора да формират своето мнение въз основа на факти и доводи, от съществено значение е достъпът до качествена информация.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851"/>
        </w:tabs>
        <w:rPr>
          <w:rStyle w:val="Ohne"/>
          <w:noProof/>
        </w:rPr>
      </w:pPr>
      <w:r>
        <w:rPr>
          <w:rStyle w:val="Ohne"/>
          <w:b/>
          <w:noProof/>
          <w:u w:val="single"/>
        </w:rPr>
        <w:t>Сътрудничеството на равнището на ЕС ще се съсредоточи върху:</w:t>
      </w:r>
    </w:p>
    <w:p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Ohne"/>
          <w:rFonts w:ascii="Times New Roman" w:eastAsiaTheme="minorHAnsi" w:hAnsi="Times New Roman" w:cs="Times New Roman"/>
          <w:noProof/>
          <w:color w:val="auto"/>
          <w:kern w:val="0"/>
          <w:bdr w:val="none" w:sz="0" w:space="0" w:color="auto"/>
        </w:rPr>
      </w:pPr>
      <w:r>
        <w:rPr>
          <w:rStyle w:val="Ohne"/>
          <w:rFonts w:ascii="Times New Roman" w:hAnsi="Times New Roman"/>
          <w:b/>
          <w:noProof/>
        </w:rPr>
        <w:t>Започване на нов диалог по въпросите на младежта в ЕС</w:t>
      </w:r>
      <w:r>
        <w:rPr>
          <w:rStyle w:val="Hyperlink2"/>
          <w:rFonts w:ascii="Times New Roman" w:hAnsi="Times New Roman"/>
          <w:noProof/>
        </w:rPr>
        <w:t>, за да може  за решенията за политиката на ЕС да допринасят млади хора с различни мнения;</w:t>
      </w:r>
    </w:p>
    <w:p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noProof/>
        </w:rPr>
      </w:pPr>
      <w:r>
        <w:rPr>
          <w:rStyle w:val="Ohne"/>
          <w:rFonts w:ascii="Times New Roman" w:hAnsi="Times New Roman"/>
          <w:b/>
          <w:noProof/>
        </w:rPr>
        <w:t xml:space="preserve">Консолидиране на Европейския портал за младежта </w:t>
      </w:r>
      <w:r>
        <w:rPr>
          <w:rStyle w:val="Hyperlink2"/>
          <w:rFonts w:ascii="Times New Roman" w:hAnsi="Times New Roman"/>
          <w:noProof/>
        </w:rPr>
        <w:t>като единен цифров вход за достъп, през който младите хора да се ангажират с ЕС;</w:t>
      </w:r>
    </w:p>
    <w:p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noProof/>
        </w:rPr>
      </w:pPr>
      <w:r>
        <w:rPr>
          <w:rStyle w:val="Ohne"/>
          <w:rFonts w:ascii="Times New Roman" w:hAnsi="Times New Roman"/>
          <w:b/>
          <w:noProof/>
        </w:rPr>
        <w:t>Активизиране на участието на младите хора</w:t>
      </w:r>
      <w:r>
        <w:rPr>
          <w:rStyle w:val="Hyperlink2"/>
          <w:rFonts w:ascii="Times New Roman" w:hAnsi="Times New Roman"/>
          <w:noProof/>
        </w:rPr>
        <w:t xml:space="preserve"> в демократичния живот, включващо достъп до качествена информация, удостоверена от надеждни източници, и насърчаване на участието в </w:t>
      </w:r>
      <w:r>
        <w:rPr>
          <w:rStyle w:val="Ohne"/>
          <w:rFonts w:ascii="Times New Roman" w:hAnsi="Times New Roman"/>
          <w:b/>
          <w:noProof/>
        </w:rPr>
        <w:t>европейските и други избори;</w:t>
      </w:r>
    </w:p>
    <w:p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rStyle w:val="Ohne"/>
          <w:rFonts w:ascii="Times New Roman" w:eastAsiaTheme="minorHAnsi" w:hAnsi="Times New Roman" w:cs="Times New Roman"/>
          <w:b/>
          <w:bCs/>
          <w:noProof/>
          <w:color w:val="auto"/>
          <w:kern w:val="0"/>
          <w:u w:val="single"/>
          <w:bdr w:val="none" w:sz="0" w:space="0" w:color="auto"/>
        </w:rPr>
      </w:pPr>
      <w:r>
        <w:rPr>
          <w:rStyle w:val="Ohne"/>
          <w:rFonts w:ascii="Times New Roman" w:hAnsi="Times New Roman"/>
          <w:b/>
          <w:noProof/>
        </w:rPr>
        <w:t xml:space="preserve">Подкрепа за принципа „да се научим да участваме“ </w:t>
      </w:r>
      <w:r>
        <w:rPr>
          <w:rStyle w:val="Hyperlink2"/>
          <w:rFonts w:ascii="Times New Roman" w:hAnsi="Times New Roman"/>
          <w:noProof/>
        </w:rPr>
        <w:t xml:space="preserve">и повишаване на интереса спрямо действия за включване, в цяла Европа и извън пределите ѝ посредством </w:t>
      </w:r>
      <w:r>
        <w:rPr>
          <w:rStyle w:val="Ohne"/>
          <w:rFonts w:ascii="Times New Roman" w:hAnsi="Times New Roman"/>
          <w:b/>
          <w:noProof/>
        </w:rPr>
        <w:t>„Еразъм+“</w:t>
      </w:r>
      <w:r>
        <w:rPr>
          <w:rStyle w:val="Hyperlink2"/>
          <w:rFonts w:ascii="Times New Roman" w:hAnsi="Times New Roman"/>
          <w:noProof/>
        </w:rPr>
        <w:t>.</w:t>
      </w:r>
      <w:r>
        <w:rPr>
          <w:rStyle w:val="Ohne"/>
          <w:b/>
          <w:noProof/>
          <w:u w:val="single"/>
        </w:rPr>
        <w:t xml:space="preserve">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noProof/>
        </w:rPr>
      </w:pPr>
      <w:r>
        <w:rPr>
          <w:rStyle w:val="Ohne"/>
          <w:b/>
          <w:noProof/>
          <w:u w:val="single"/>
        </w:rPr>
        <w:t>Държавите членки се насърчават да се съсредоточат върху:</w:t>
      </w:r>
    </w:p>
    <w:p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noProof/>
        </w:rPr>
      </w:pPr>
      <w:r>
        <w:rPr>
          <w:rStyle w:val="Ohne"/>
          <w:rFonts w:ascii="Times New Roman" w:hAnsi="Times New Roman"/>
          <w:b/>
          <w:noProof/>
        </w:rPr>
        <w:t xml:space="preserve">Поощряване на диалога и популяризиране на механизмите за участие на всички равнища на вземането на решения, </w:t>
      </w:r>
      <w:r>
        <w:rPr>
          <w:rStyle w:val="Hyperlink2"/>
          <w:rFonts w:ascii="Times New Roman" w:hAnsi="Times New Roman"/>
          <w:noProof/>
        </w:rPr>
        <w:t>например чрез съвети по въпросите на младежта,</w:t>
      </w:r>
      <w:r>
        <w:rPr>
          <w:rStyle w:val="Ohne"/>
          <w:rFonts w:ascii="Times New Roman" w:hAnsi="Times New Roman"/>
          <w:b/>
          <w:noProof/>
        </w:rPr>
        <w:t xml:space="preserve"> </w:t>
      </w:r>
      <w:r>
        <w:rPr>
          <w:rStyle w:val="Hyperlink2"/>
          <w:rFonts w:ascii="Times New Roman" w:hAnsi="Times New Roman"/>
          <w:noProof/>
        </w:rPr>
        <w:t xml:space="preserve">като се обръща специално внимание на механизмите за обратна информация и достигането до младите хора от най-различни среди. Това би могло да включва подкрепа за публичните органи, за да усвояват практики на участие, например чрез инструментариуми; </w:t>
      </w:r>
    </w:p>
    <w:p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b/>
          <w:bCs/>
          <w:noProof/>
        </w:rPr>
      </w:pPr>
      <w:r>
        <w:rPr>
          <w:rStyle w:val="Hyperlink2"/>
          <w:rFonts w:ascii="Times New Roman" w:hAnsi="Times New Roman"/>
          <w:b/>
          <w:noProof/>
        </w:rPr>
        <w:t>Насърчаване на социалното и гражданското ангажиране на младите хора</w:t>
      </w:r>
      <w:r>
        <w:rPr>
          <w:rStyle w:val="Ohne"/>
          <w:rFonts w:ascii="Times New Roman" w:hAnsi="Times New Roman"/>
          <w:noProof/>
        </w:rPr>
        <w:t>, включително на участието в младежки организации или на онлайн активизма;</w:t>
      </w:r>
    </w:p>
    <w:p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noProof/>
        </w:rPr>
      </w:pPr>
      <w:r>
        <w:rPr>
          <w:rStyle w:val="Ohne"/>
          <w:rFonts w:ascii="Times New Roman" w:hAnsi="Times New Roman"/>
          <w:b/>
          <w:noProof/>
        </w:rPr>
        <w:t>Подпомагане, за да се подготвят младите хора за участие</w:t>
      </w:r>
      <w:r>
        <w:rPr>
          <w:rStyle w:val="Hyperlink2"/>
          <w:rFonts w:ascii="Times New Roman" w:hAnsi="Times New Roman"/>
          <w:noProof/>
        </w:rPr>
        <w:t xml:space="preserve"> чрез работа с младежта, младежки парламенти или симулации, действия в сферата на гражданското образование и медийната грамотност чрез полезни взаимодействия с формалното образование и публичните органи;</w:t>
      </w:r>
    </w:p>
    <w:p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noProof/>
        </w:rPr>
      </w:pPr>
      <w:r>
        <w:rPr>
          <w:rStyle w:val="Hyperlink2"/>
          <w:rFonts w:ascii="Times New Roman" w:hAnsi="Times New Roman"/>
          <w:noProof/>
        </w:rPr>
        <w:t>Проучване на новаторски и алтернативни</w:t>
      </w:r>
      <w:r>
        <w:rPr>
          <w:rStyle w:val="Ohne"/>
          <w:rFonts w:ascii="Times New Roman" w:hAnsi="Times New Roman"/>
          <w:b/>
          <w:noProof/>
        </w:rPr>
        <w:t xml:space="preserve"> форми на демократично участие;</w:t>
      </w:r>
    </w:p>
    <w:p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rPr>
          <w:noProof/>
        </w:rPr>
      </w:pPr>
      <w:r>
        <w:rPr>
          <w:rStyle w:val="Ohne"/>
          <w:rFonts w:ascii="Times New Roman" w:hAnsi="Times New Roman"/>
          <w:b/>
          <w:noProof/>
        </w:rPr>
        <w:t>Използване на инструменти за насърчаване на дебата</w:t>
      </w:r>
      <w:r>
        <w:rPr>
          <w:rStyle w:val="Hyperlink2"/>
          <w:rFonts w:ascii="Times New Roman" w:hAnsi="Times New Roman"/>
          <w:noProof/>
        </w:rPr>
        <w:t xml:space="preserve"> относно ЕС, като например разработения в рамките на „Новото повествование за Европа“ инструментариум.</w:t>
      </w:r>
    </w:p>
    <w:p>
      <w:pPr>
        <w:pStyle w:val="Heading2"/>
        <w:rPr>
          <w:rStyle w:val="Ohne"/>
          <w:rFonts w:eastAsia="Times New Roman" w:cs="Times New Roman"/>
          <w:noProof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19685</wp:posOffset>
            </wp:positionV>
            <wp:extent cx="1151890" cy="1151890"/>
            <wp:effectExtent l="0" t="0" r="0" b="0"/>
            <wp:wrapSquare wrapText="bothSides"/>
            <wp:docPr id="5" name="Picture 5" descr="C:\Users\metayfa\AppData\Local\Microsoft\Windows\Temporary Internet Files\Content.Outlook\364SYTMB\Connect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ayfa\AppData\Local\Microsoft\Windows\Temporary Internet Files\Content.Outlook\364SYTMB\Connect3 (3)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Ohne"/>
          <w:noProof/>
        </w:rPr>
        <w:t xml:space="preserve">2.2. </w:t>
      </w:r>
      <w:r>
        <w:rPr>
          <w:noProof/>
        </w:rPr>
        <w:tab/>
      </w:r>
      <w:r>
        <w:rPr>
          <w:rStyle w:val="Ohne"/>
          <w:noProof/>
        </w:rPr>
        <w:t>СВЪРЗВАНЕ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Чрез стратегията за младежта ще бъдат подкрепени </w:t>
      </w:r>
      <w:r>
        <w:rPr>
          <w:rStyle w:val="Ohne"/>
          <w:b/>
          <w:noProof/>
        </w:rPr>
        <w:t>възможности</w:t>
      </w:r>
      <w:r>
        <w:rPr>
          <w:rStyle w:val="Ohne"/>
          <w:noProof/>
        </w:rPr>
        <w:t xml:space="preserve"> младите хора да придобият непосредствен опит в обмена, сътрудничеството и гражданското действие в европейски контекст.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„Еразъм+“ — един от най-успешните инструменти на ЕС, помага на младите хора да разширят своите хоризонти и да изградят мостове на територията на континента и отвъд. От 2014 до 2020 г. над 500 000 участници ще са придобили опит и умения в чужбина чрез младежки обмен и доброволчество. Виртуалният обмен по програмата „Еразъм+“</w:t>
      </w:r>
      <w:r>
        <w:rPr>
          <w:rStyle w:val="Ohne"/>
          <w:noProof/>
          <w:vertAlign w:val="superscript"/>
        </w:rPr>
        <w:footnoteReference w:id="20"/>
      </w:r>
      <w:r>
        <w:rPr>
          <w:rStyle w:val="Ohne"/>
          <w:noProof/>
        </w:rPr>
        <w:t xml:space="preserve"> благоприятства диалога между младежта в ЕС и в държавите от Южното Средиземноморие. Подобен опит увеличава пригодността за заетост и помага да се развие разбиране за европейските ценности и толерантност</w:t>
      </w:r>
      <w:r>
        <w:rPr>
          <w:rStyle w:val="Ohne"/>
          <w:noProof/>
          <w:vertAlign w:val="superscript"/>
        </w:rPr>
        <w:footnoteReference w:id="21"/>
      </w:r>
      <w:r>
        <w:rPr>
          <w:rStyle w:val="Ohne"/>
          <w:noProof/>
        </w:rPr>
        <w:t xml:space="preserve">. ЕС следва да </w:t>
      </w:r>
      <w:r>
        <w:rPr>
          <w:rStyle w:val="Ohne"/>
          <w:b/>
          <w:noProof/>
        </w:rPr>
        <w:t>разгърне новаторски начини за обединяване на младите хора</w:t>
      </w:r>
      <w:r>
        <w:rPr>
          <w:rStyle w:val="Ohne"/>
          <w:noProof/>
        </w:rPr>
        <w:t>, като същевременно извлича ползите от добре изпитани формати, като младежкия обмен и сътрудничеството между младежки организации.</w:t>
      </w:r>
    </w:p>
    <w:p>
      <w:pPr>
        <w:rPr>
          <w:rStyle w:val="Ohne"/>
          <w:rFonts w:eastAsia="Times New Roman"/>
          <w:b/>
          <w:bCs/>
          <w:noProof/>
          <w:u w:val="single"/>
        </w:rPr>
      </w:pPr>
      <w:r>
        <w:rPr>
          <w:rStyle w:val="Ohne"/>
          <w:noProof/>
        </w:rPr>
        <w:t>Младите хора все по-често се ангажират с доброволческа дейност</w:t>
      </w:r>
      <w:r>
        <w:rPr>
          <w:rStyle w:val="Ohne"/>
          <w:noProof/>
          <w:vertAlign w:val="superscript"/>
        </w:rPr>
        <w:footnoteReference w:id="22"/>
      </w:r>
      <w:r>
        <w:rPr>
          <w:rStyle w:val="Ohne"/>
          <w:noProof/>
        </w:rPr>
        <w:t xml:space="preserve">, но едва в 8 % от случаите в чужбина. ЕС подкрепя доброволчеството от над двадесет години. Понастоящем се предлага тази подкрепа да бъде разширена и да предоставя на младите хора нови възможности да изразяват солидарност (под формата на работни места или стажове) в рамките на Европейския корпус за солидарност. За да се осъществи неговият </w:t>
      </w:r>
      <w:r>
        <w:rPr>
          <w:rStyle w:val="Ohne"/>
          <w:b/>
          <w:noProof/>
        </w:rPr>
        <w:t xml:space="preserve">пълен потенциал </w:t>
      </w:r>
      <w:r>
        <w:rPr>
          <w:rStyle w:val="Ohne"/>
          <w:noProof/>
        </w:rPr>
        <w:t xml:space="preserve">и да се гарантира, че националните схеми позволяват трансграничен опит, Комисията и държавите членки следва да си сътрудничат с цел постигане на  подкрепяща среда по отношение на политиката и на правните и административните аспекти.  </w:t>
      </w:r>
    </w:p>
    <w:p>
      <w:pPr>
        <w:spacing w:before="0" w:after="200" w:line="276" w:lineRule="auto"/>
        <w:jc w:val="left"/>
        <w:rPr>
          <w:rStyle w:val="Ohne"/>
          <w:b/>
          <w:bCs/>
          <w:noProof/>
          <w:u w:val="single"/>
        </w:rPr>
      </w:pPr>
      <w:r>
        <w:rPr>
          <w:noProof/>
        </w:rPr>
        <w:br w:type="page"/>
      </w: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rPr>
          <w:noProof/>
        </w:rPr>
      </w:pPr>
      <w:r>
        <w:rPr>
          <w:rStyle w:val="Ohne"/>
          <w:b/>
          <w:noProof/>
          <w:u w:val="single"/>
        </w:rPr>
        <w:t>Сътрудничеството на равнището на ЕС ще се съсредоточи върху:</w:t>
      </w:r>
    </w:p>
    <w:p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Свързване на младите хора в цяла Европа и извън нея</w:t>
      </w:r>
      <w:r>
        <w:rPr>
          <w:rStyle w:val="Hyperlink2"/>
          <w:rFonts w:ascii="Times New Roman" w:hAnsi="Times New Roman"/>
          <w:noProof/>
        </w:rPr>
        <w:t xml:space="preserve">, отчитане на опита от </w:t>
      </w:r>
      <w:r>
        <w:rPr>
          <w:rStyle w:val="Ohne"/>
          <w:rFonts w:ascii="Times New Roman" w:hAnsi="Times New Roman"/>
          <w:b/>
          <w:noProof/>
        </w:rPr>
        <w:t>„Обединената европейска младеж“</w:t>
      </w:r>
      <w:r>
        <w:rPr>
          <w:rStyle w:val="FootnoteReference"/>
          <w:rFonts w:ascii="Times New Roman" w:hAnsi="Times New Roman"/>
          <w:b/>
          <w:noProof/>
        </w:rPr>
        <w:footnoteReference w:id="23"/>
      </w:r>
      <w:r>
        <w:rPr>
          <w:rStyle w:val="Hyperlink2"/>
          <w:rFonts w:ascii="Times New Roman" w:hAnsi="Times New Roman"/>
          <w:noProof/>
        </w:rPr>
        <w:t xml:space="preserve">, изграждане на мрежи от млади хора от различни части на Европа, </w:t>
      </w:r>
      <w:r>
        <w:rPr>
          <w:rStyle w:val="Ohne"/>
          <w:rFonts w:ascii="Times New Roman" w:hAnsi="Times New Roman"/>
          <w:b/>
          <w:noProof/>
        </w:rPr>
        <w:t xml:space="preserve">виртуален обмен </w:t>
      </w:r>
      <w:r>
        <w:rPr>
          <w:rStyle w:val="Hyperlink2"/>
          <w:rFonts w:ascii="Times New Roman" w:hAnsi="Times New Roman"/>
          <w:noProof/>
        </w:rPr>
        <w:t>по програмата „Еразъм+“, както и други действия по „Еразъм+ за младежта“;</w:t>
      </w:r>
    </w:p>
    <w:p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Подкрепа за внедряването на Европейския корпус за солидарност</w:t>
      </w:r>
      <w:r>
        <w:rPr>
          <w:noProof/>
        </w:rPr>
        <w:t xml:space="preserve"> </w:t>
      </w:r>
      <w:r>
        <w:rPr>
          <w:rStyle w:val="Hyperlink2"/>
          <w:rFonts w:ascii="Times New Roman" w:hAnsi="Times New Roman"/>
          <w:noProof/>
        </w:rPr>
        <w:t>чрез сътрудничество в областта на политиката и изграждане на общности, по-специално</w:t>
      </w:r>
      <w:r>
        <w:rPr>
          <w:rStyle w:val="Ohne"/>
          <w:rFonts w:ascii="Times New Roman" w:hAnsi="Times New Roman"/>
          <w:b/>
          <w:noProof/>
        </w:rPr>
        <w:t xml:space="preserve"> </w:t>
      </w:r>
      <w:r>
        <w:rPr>
          <w:rStyle w:val="Hyperlink2"/>
          <w:rFonts w:ascii="Times New Roman" w:hAnsi="Times New Roman"/>
          <w:noProof/>
        </w:rPr>
        <w:t>чрез</w:t>
      </w:r>
      <w:r>
        <w:rPr>
          <w:noProof/>
        </w:rPr>
        <w:t xml:space="preserve"> </w:t>
      </w:r>
      <w:r>
        <w:rPr>
          <w:rStyle w:val="Ohne"/>
          <w:rFonts w:ascii="Times New Roman" w:hAnsi="Times New Roman"/>
          <w:b/>
          <w:noProof/>
        </w:rPr>
        <w:t>актуализиране и разширяване на Препоръката на Съвета от 2008 г. относно мобилността на доброволците</w:t>
      </w:r>
      <w:r>
        <w:rPr>
          <w:noProof/>
        </w:rPr>
        <w:t>,</w:t>
      </w:r>
      <w:r>
        <w:rPr>
          <w:rStyle w:val="Hyperlink2"/>
          <w:rFonts w:ascii="Times New Roman" w:hAnsi="Times New Roman"/>
          <w:noProof/>
        </w:rPr>
        <w:t xml:space="preserve"> и доукрепване на потенциала на портала на</w:t>
      </w:r>
      <w:r>
        <w:rPr>
          <w:noProof/>
        </w:rPr>
        <w:t xml:space="preserve"> </w:t>
      </w:r>
      <w:r>
        <w:rPr>
          <w:rStyle w:val="Ohne"/>
          <w:rFonts w:ascii="Times New Roman" w:hAnsi="Times New Roman"/>
          <w:b/>
          <w:noProof/>
        </w:rPr>
        <w:t>Европейския корпус за солидарност</w:t>
      </w:r>
      <w:r>
        <w:rPr>
          <w:noProof/>
        </w:rPr>
        <w:t xml:space="preserve"> </w:t>
      </w:r>
      <w:r>
        <w:rPr>
          <w:rStyle w:val="Hyperlink2"/>
          <w:rFonts w:ascii="Times New Roman" w:hAnsi="Times New Roman"/>
          <w:noProof/>
        </w:rPr>
        <w:t>за достигане до младите хора и за спомагане за изграждането на общност</w:t>
      </w:r>
      <w:r>
        <w:rPr>
          <w:noProof/>
        </w:rPr>
        <w:t>;</w:t>
      </w:r>
    </w:p>
    <w:p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Увеличаване на участието в</w:t>
      </w:r>
      <w:r>
        <w:rPr>
          <w:rStyle w:val="Hyperlink2"/>
          <w:rFonts w:ascii="Times New Roman" w:hAnsi="Times New Roman"/>
          <w:noProof/>
        </w:rPr>
        <w:t xml:space="preserve"> </w:t>
      </w:r>
      <w:r>
        <w:rPr>
          <w:rStyle w:val="Ohne"/>
          <w:rFonts w:ascii="Times New Roman" w:hAnsi="Times New Roman"/>
          <w:b/>
          <w:noProof/>
        </w:rPr>
        <w:t xml:space="preserve">трансграничната мобилност с учебна цел и трансграничната солидарност </w:t>
      </w:r>
      <w:r>
        <w:rPr>
          <w:rStyle w:val="Hyperlink2"/>
          <w:rFonts w:ascii="Times New Roman" w:hAnsi="Times New Roman"/>
          <w:noProof/>
        </w:rPr>
        <w:t xml:space="preserve">в рамките на програмата </w:t>
      </w:r>
      <w:r>
        <w:rPr>
          <w:rStyle w:val="Ohne"/>
          <w:rFonts w:ascii="Times New Roman" w:hAnsi="Times New Roman"/>
          <w:b/>
          <w:noProof/>
        </w:rPr>
        <w:t>„Еразъм+“</w:t>
      </w:r>
      <w:r>
        <w:rPr>
          <w:rStyle w:val="Hyperlink2"/>
          <w:rFonts w:ascii="Times New Roman" w:hAnsi="Times New Roman"/>
          <w:noProof/>
        </w:rPr>
        <w:t xml:space="preserve"> и</w:t>
      </w:r>
      <w:r>
        <w:rPr>
          <w:rStyle w:val="Ohne"/>
          <w:rFonts w:ascii="Times New Roman" w:hAnsi="Times New Roman"/>
          <w:b/>
          <w:noProof/>
        </w:rPr>
        <w:t xml:space="preserve"> Европейския корпус за солидарност </w:t>
      </w:r>
      <w:r>
        <w:rPr>
          <w:rStyle w:val="Hyperlink2"/>
          <w:rFonts w:ascii="Times New Roman" w:hAnsi="Times New Roman"/>
          <w:noProof/>
        </w:rPr>
        <w:t xml:space="preserve">с акцент върху хората с по-малко възможности. </w:t>
      </w: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rPr>
          <w:noProof/>
        </w:rPr>
      </w:pPr>
      <w:r>
        <w:rPr>
          <w:rStyle w:val="Ohne"/>
          <w:b/>
          <w:noProof/>
          <w:u w:val="single"/>
        </w:rPr>
        <w:t>Държавите членки се насърчават да се съсредоточат върху:</w:t>
      </w:r>
    </w:p>
    <w:p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jc w:val="both"/>
        <w:rPr>
          <w:rFonts w:ascii="Times New Roman" w:hAnsi="Times New Roman" w:cs="Times New Roman"/>
          <w:b/>
          <w:bCs/>
          <w:noProof/>
        </w:rPr>
      </w:pPr>
      <w:r>
        <w:rPr>
          <w:rStyle w:val="Hyperlink2"/>
          <w:rFonts w:ascii="Times New Roman" w:hAnsi="Times New Roman"/>
          <w:b/>
          <w:noProof/>
        </w:rPr>
        <w:t>Насърчаване на ангажираността на младите хора по отношение на солидарността</w:t>
      </w:r>
      <w:r>
        <w:rPr>
          <w:rStyle w:val="Ohne"/>
          <w:rFonts w:ascii="Times New Roman" w:hAnsi="Times New Roman"/>
          <w:noProof/>
        </w:rPr>
        <w:t>: поощряване на схеми за подпомагане и на изграждане на капацитет за организации, работещи в тази област, повишаване на осведомеността за възможностите и предоставяне на информация за правата и ползите при участие в доброволческа дейност или работа в служба на обществото. При разработването на национални схеми държавите членки следва да се стремят към допълняемост и полезни взаимодействия с Европейския корпус за солидарност;</w:t>
      </w:r>
      <w:r>
        <w:rPr>
          <w:rStyle w:val="Hyperlink2"/>
          <w:rFonts w:ascii="Times New Roman" w:hAnsi="Times New Roman"/>
          <w:noProof/>
        </w:rPr>
        <w:t xml:space="preserve"> </w:t>
      </w:r>
    </w:p>
    <w:p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Преглед и премахване на правните и административните пречки пред трансграничната солидарност</w:t>
      </w:r>
      <w:r>
        <w:rPr>
          <w:rStyle w:val="Hyperlink2"/>
          <w:rFonts w:ascii="Times New Roman" w:hAnsi="Times New Roman"/>
          <w:noProof/>
        </w:rPr>
        <w:t>: държавите членки следва да установят препятствията пред младите хора, желаещи да се занимават с трансгранична доброволческа дейност (от гледна точка на осигурителни плащания, здравно осигуряване и др.), и да предприемат отстраняването на тези препятствия;</w:t>
      </w:r>
    </w:p>
    <w:p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Насърчаване на признаването на доброволческия опит и на валидирането на резултатите от наученото</w:t>
      </w:r>
      <w:r>
        <w:rPr>
          <w:rStyle w:val="Hyperlink2"/>
          <w:rFonts w:ascii="Times New Roman" w:hAnsi="Times New Roman"/>
          <w:noProof/>
        </w:rPr>
        <w:t>: освен вътрешно присъщата стойност на доброволчеството, която то носи на обществото, уменията, развивани от доброволците, заслужават да получат признание на пазара на труда.</w:t>
      </w:r>
    </w:p>
    <w:p>
      <w:pPr>
        <w:pStyle w:val="Heading2"/>
        <w:rPr>
          <w:rStyle w:val="Ohne"/>
          <w:noProof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127000</wp:posOffset>
            </wp:positionV>
            <wp:extent cx="1151890" cy="1151890"/>
            <wp:effectExtent l="0" t="0" r="0" b="0"/>
            <wp:wrapSquare wrapText="bothSides"/>
            <wp:docPr id="6" name="Picture 6" descr="C:\Users\metayfa\AppData\Local\Microsoft\Windows\Temporary Internet Files\Content.Word\Empow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ayfa\AppData\Local\Microsoft\Windows\Temporary Internet Files\Content.Word\Empower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Ohne"/>
          <w:noProof/>
        </w:rPr>
        <w:t xml:space="preserve">2.3. </w:t>
      </w:r>
      <w:r>
        <w:rPr>
          <w:noProof/>
        </w:rPr>
        <w:tab/>
      </w:r>
      <w:r>
        <w:rPr>
          <w:rStyle w:val="Ohne"/>
          <w:noProof/>
        </w:rPr>
        <w:t>ОВЛАСТЯВАНЕ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Работата с младежта носи единствени по рода си ползи за младите хора при прехода им към зряла възраст</w:t>
      </w:r>
      <w:r>
        <w:rPr>
          <w:rStyle w:val="Ohne"/>
          <w:noProof/>
          <w:vertAlign w:val="superscript"/>
        </w:rPr>
        <w:footnoteReference w:id="24"/>
      </w:r>
      <w:r>
        <w:rPr>
          <w:rStyle w:val="Ohne"/>
          <w:noProof/>
        </w:rPr>
        <w:t xml:space="preserve">, като им предлага сигурна среда за придобиване на самоувереност и учене по неформален начин. За работата с младежта се знае, че осигурява на младите хора ключови компетентности и умения като работа в екип, лидерски качества, междукулурни компетентности, управление на проекти, решаване на проблеми и критично мислене. В някои случаи тя е мостът към образование, обучение или работа и така предотвратява изключването.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За да се извлекат ползите от това, е </w:t>
      </w:r>
      <w:r>
        <w:rPr>
          <w:rStyle w:val="Ohne"/>
          <w:b/>
          <w:noProof/>
        </w:rPr>
        <w:t xml:space="preserve">необходимо по-голямо признание </w:t>
      </w:r>
      <w:r>
        <w:rPr>
          <w:rStyle w:val="Ohne"/>
          <w:noProof/>
        </w:rPr>
        <w:t xml:space="preserve">за неформалното учене чрез работа с младежта, която е особено полезна за хората с ограничени формални квалификации като начин за подобряване на пригодността за заетост и предприемаческите умения. Признанието може да бъде подобрено чрез по-системно </w:t>
      </w:r>
      <w:r>
        <w:rPr>
          <w:rStyle w:val="Ohne"/>
          <w:b/>
          <w:noProof/>
        </w:rPr>
        <w:t>използване на качествени инструменти</w:t>
      </w:r>
      <w:r>
        <w:rPr>
          <w:rStyle w:val="Ohne"/>
          <w:noProof/>
        </w:rPr>
        <w:t xml:space="preserve">. </w:t>
      </w:r>
    </w:p>
    <w:p>
      <w:pPr>
        <w:rPr>
          <w:rFonts w:eastAsia="Times New Roman"/>
          <w:noProof/>
        </w:rPr>
      </w:pPr>
      <w:r>
        <w:rPr>
          <w:rStyle w:val="Ohne"/>
          <w:noProof/>
        </w:rPr>
        <w:t xml:space="preserve">От друга страна, самите хора, работещи с младежта, трябва да се адаптират към променящите се нужди и навици на младите хора и към </w:t>
      </w:r>
      <w:r>
        <w:rPr>
          <w:rStyle w:val="Ohne"/>
          <w:b/>
          <w:noProof/>
        </w:rPr>
        <w:t>технологичната промяна</w:t>
      </w:r>
      <w:r>
        <w:rPr>
          <w:rStyle w:val="Ohne"/>
          <w:noProof/>
        </w:rPr>
        <w:t>. Те трябва да актуализират своите умения, за да разбират проблемите, с които се сблъскват младите хора онлайн, и да използват новите възможности, предлагани от цифровото обучение, в съответствие с Европейската рамка за цифрова компетентност на гражданите</w:t>
      </w:r>
      <w:r>
        <w:rPr>
          <w:rStyle w:val="Ohne"/>
          <w:noProof/>
          <w:vertAlign w:val="superscript"/>
        </w:rPr>
        <w:footnoteReference w:id="25"/>
      </w:r>
      <w:r>
        <w:rPr>
          <w:rStyle w:val="Ohne"/>
          <w:noProof/>
        </w:rPr>
        <w:t xml:space="preserve"> и плана за действие в областта на цифровото образование</w:t>
      </w:r>
      <w:r>
        <w:rPr>
          <w:rStyle w:val="Ohne"/>
          <w:noProof/>
          <w:vertAlign w:val="superscript"/>
        </w:rPr>
        <w:footnoteReference w:id="26"/>
      </w:r>
      <w:r>
        <w:rPr>
          <w:rStyle w:val="Ohne"/>
          <w:noProof/>
        </w:rPr>
        <w:t>. Работата с младежта пострада от намаляването на финансирането в много части на Европа</w:t>
      </w:r>
      <w:r>
        <w:rPr>
          <w:rStyle w:val="Ohne"/>
          <w:noProof/>
          <w:vertAlign w:val="superscript"/>
        </w:rPr>
        <w:footnoteReference w:id="27"/>
      </w:r>
      <w:r>
        <w:rPr>
          <w:rStyle w:val="Ohne"/>
          <w:noProof/>
        </w:rPr>
        <w:t>, ето защо такова финансиране нерядко е предизвикателство.</w:t>
      </w:r>
    </w:p>
    <w:p>
      <w:pPr>
        <w:pStyle w:val="Standard"/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240" w:line="240" w:lineRule="auto"/>
        <w:jc w:val="both"/>
        <w:rPr>
          <w:rStyle w:val="Ohne"/>
          <w:rFonts w:ascii="Times New Roman" w:eastAsiaTheme="minorHAnsi" w:hAnsi="Times New Roman" w:cs="Times New Roman"/>
          <w:b/>
          <w:bCs/>
          <w:noProof/>
          <w:color w:val="auto"/>
          <w:kern w:val="0"/>
          <w:bdr w:val="none" w:sz="0" w:space="0" w:color="auto"/>
        </w:rPr>
      </w:pPr>
      <w:r>
        <w:rPr>
          <w:rStyle w:val="Ohne"/>
          <w:rFonts w:ascii="Times New Roman" w:hAnsi="Times New Roman"/>
          <w:b/>
          <w:noProof/>
          <w:u w:val="single"/>
        </w:rPr>
        <w:t>Сътрудничеството на равнището на ЕС ще се съсредоточи върху изпълнението на програма за работа с младежта с цел качество, новаторство и признание на работата с младежта:</w:t>
      </w:r>
    </w:p>
    <w:p>
      <w:pPr>
        <w:pStyle w:val="Standard"/>
        <w:widowControl/>
        <w:numPr>
          <w:ilvl w:val="0"/>
          <w:numId w:val="20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spacing w:after="240" w:line="240" w:lineRule="auto"/>
        <w:ind w:left="851" w:hanging="851"/>
        <w:jc w:val="both"/>
        <w:rPr>
          <w:rStyle w:val="Hyperlink2"/>
          <w:rFonts w:ascii="Times New Roman" w:eastAsiaTheme="minorHAnsi" w:hAnsi="Times New Roman" w:cs="Times New Roman"/>
          <w:noProof/>
          <w:color w:val="auto"/>
          <w:kern w:val="0"/>
          <w:bdr w:val="none" w:sz="0" w:space="0" w:color="auto"/>
        </w:rPr>
      </w:pPr>
      <w:r>
        <w:rPr>
          <w:rStyle w:val="Hyperlink2"/>
          <w:rFonts w:ascii="Times New Roman" w:hAnsi="Times New Roman"/>
          <w:noProof/>
        </w:rPr>
        <w:t xml:space="preserve">Разработване и разпространение на </w:t>
      </w:r>
      <w:r>
        <w:rPr>
          <w:rStyle w:val="Hyperlink2"/>
          <w:rFonts w:ascii="Times New Roman" w:hAnsi="Times New Roman"/>
          <w:b/>
          <w:noProof/>
        </w:rPr>
        <w:t>практически инструментариуми</w:t>
      </w:r>
      <w:r>
        <w:rPr>
          <w:rStyle w:val="Hyperlink2"/>
          <w:rFonts w:ascii="Times New Roman" w:hAnsi="Times New Roman"/>
          <w:noProof/>
        </w:rPr>
        <w:t xml:space="preserve"> за качествена работа с младежта;</w:t>
      </w:r>
    </w:p>
    <w:p>
      <w:pPr>
        <w:pStyle w:val="Standard"/>
        <w:widowControl/>
        <w:numPr>
          <w:ilvl w:val="0"/>
          <w:numId w:val="20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spacing w:after="240" w:line="240" w:lineRule="auto"/>
        <w:ind w:left="851" w:hanging="851"/>
        <w:jc w:val="both"/>
        <w:rPr>
          <w:rStyle w:val="Hyperlink2"/>
          <w:rFonts w:ascii="Times New Roman" w:eastAsiaTheme="minorHAnsi" w:hAnsi="Times New Roman" w:cs="Times New Roman"/>
          <w:noProof/>
          <w:color w:val="auto"/>
          <w:kern w:val="0"/>
          <w:bdr w:val="none" w:sz="0" w:space="0" w:color="auto"/>
        </w:rPr>
      </w:pPr>
      <w:r>
        <w:rPr>
          <w:rStyle w:val="Hyperlink2"/>
          <w:rFonts w:ascii="Times New Roman" w:hAnsi="Times New Roman"/>
          <w:noProof/>
        </w:rPr>
        <w:t xml:space="preserve">Подкрепа за дейности на най-непосредствено равнище, насочени към </w:t>
      </w:r>
      <w:r>
        <w:rPr>
          <w:rStyle w:val="Ohne"/>
          <w:rFonts w:ascii="Times New Roman" w:hAnsi="Times New Roman"/>
          <w:b/>
          <w:noProof/>
        </w:rPr>
        <w:t>признанието,</w:t>
      </w:r>
      <w:r>
        <w:rPr>
          <w:rStyle w:val="Hyperlink2"/>
          <w:rFonts w:ascii="Times New Roman" w:hAnsi="Times New Roman"/>
          <w:noProof/>
        </w:rPr>
        <w:t xml:space="preserve"> </w:t>
      </w:r>
      <w:r>
        <w:rPr>
          <w:rStyle w:val="Ohne"/>
          <w:rFonts w:ascii="Times New Roman" w:hAnsi="Times New Roman"/>
          <w:b/>
          <w:noProof/>
        </w:rPr>
        <w:t xml:space="preserve">новаторството </w:t>
      </w:r>
      <w:r>
        <w:rPr>
          <w:rStyle w:val="Hyperlink2"/>
          <w:rFonts w:ascii="Times New Roman" w:hAnsi="Times New Roman"/>
          <w:b/>
          <w:noProof/>
        </w:rPr>
        <w:t xml:space="preserve">и </w:t>
      </w:r>
      <w:r>
        <w:rPr>
          <w:rStyle w:val="Ohne"/>
          <w:rFonts w:ascii="Times New Roman" w:hAnsi="Times New Roman"/>
          <w:b/>
          <w:noProof/>
        </w:rPr>
        <w:t xml:space="preserve">изграждането на капацитет </w:t>
      </w:r>
      <w:r>
        <w:rPr>
          <w:rStyle w:val="Hyperlink2"/>
          <w:rFonts w:ascii="Times New Roman" w:hAnsi="Times New Roman"/>
          <w:b/>
          <w:noProof/>
        </w:rPr>
        <w:t xml:space="preserve">във връзка с </w:t>
      </w:r>
      <w:r>
        <w:rPr>
          <w:rStyle w:val="Ohne"/>
          <w:rFonts w:ascii="Times New Roman" w:hAnsi="Times New Roman"/>
          <w:b/>
          <w:noProof/>
        </w:rPr>
        <w:t xml:space="preserve">работата с младежта </w:t>
      </w:r>
      <w:r>
        <w:rPr>
          <w:rStyle w:val="Hyperlink2"/>
          <w:rFonts w:ascii="Times New Roman" w:hAnsi="Times New Roman"/>
          <w:noProof/>
        </w:rPr>
        <w:t>по програмата „Еразъм+“;</w:t>
      </w:r>
    </w:p>
    <w:p>
      <w:pPr>
        <w:pStyle w:val="Standard"/>
        <w:widowControl/>
        <w:numPr>
          <w:ilvl w:val="0"/>
          <w:numId w:val="20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spacing w:after="240" w:line="240" w:lineRule="auto"/>
        <w:ind w:left="851" w:hanging="851"/>
        <w:jc w:val="both"/>
        <w:rPr>
          <w:noProof/>
        </w:rPr>
      </w:pPr>
      <w:r>
        <w:rPr>
          <w:rStyle w:val="Hyperlink2"/>
          <w:rFonts w:ascii="Times New Roman" w:hAnsi="Times New Roman"/>
          <w:noProof/>
        </w:rPr>
        <w:t xml:space="preserve">Подкрепа за взаимното обучение и набирането на фактология относно </w:t>
      </w:r>
      <w:r>
        <w:rPr>
          <w:rStyle w:val="Ohne"/>
          <w:rFonts w:ascii="Times New Roman" w:hAnsi="Times New Roman"/>
          <w:b/>
          <w:noProof/>
        </w:rPr>
        <w:t>цифровата работа с младежта, уменията на хората, работещи с младежта, и финансирането</w:t>
      </w:r>
      <w:r>
        <w:rPr>
          <w:rStyle w:val="Hyperlink2"/>
          <w:rFonts w:ascii="Times New Roman" w:hAnsi="Times New Roman"/>
          <w:noProof/>
        </w:rPr>
        <w:t xml:space="preserve"> на работата с младежта.</w:t>
      </w:r>
    </w:p>
    <w:p>
      <w:pPr>
        <w:pStyle w:val="Standard"/>
        <w:keepNext/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240" w:line="240" w:lineRule="auto"/>
        <w:ind w:left="851" w:hanging="851"/>
        <w:jc w:val="both"/>
        <w:rPr>
          <w:rStyle w:val="Ohne"/>
          <w:rFonts w:ascii="Times New Roman" w:hAnsi="Times New Roman" w:cs="Times New Roman"/>
          <w:b/>
          <w:bCs/>
          <w:noProof/>
        </w:rPr>
      </w:pPr>
      <w:r>
        <w:rPr>
          <w:rStyle w:val="Ohne"/>
          <w:rFonts w:ascii="Times New Roman" w:hAnsi="Times New Roman"/>
          <w:b/>
          <w:noProof/>
          <w:u w:val="single"/>
        </w:rPr>
        <w:t>Държавите членки се насърчават да се съсредоточат върху:</w:t>
      </w:r>
    </w:p>
    <w:p>
      <w:pPr>
        <w:pStyle w:val="Standard"/>
        <w:keepNext/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spacing w:after="240" w:line="240" w:lineRule="auto"/>
        <w:ind w:left="851" w:hanging="851"/>
        <w:jc w:val="both"/>
        <w:rPr>
          <w:rStyle w:val="Ohne"/>
          <w:rFonts w:ascii="Times New Roman" w:hAnsi="Times New Roman" w:cs="Times New Roman"/>
          <w:b/>
          <w:bCs/>
          <w:noProof/>
        </w:rPr>
      </w:pPr>
      <w:r>
        <w:rPr>
          <w:rStyle w:val="Ohne"/>
          <w:rFonts w:ascii="Times New Roman" w:hAnsi="Times New Roman"/>
          <w:b/>
          <w:noProof/>
        </w:rPr>
        <w:t xml:space="preserve">- </w:t>
      </w:r>
      <w:r>
        <w:rPr>
          <w:noProof/>
        </w:rPr>
        <w:tab/>
      </w:r>
      <w:r>
        <w:rPr>
          <w:noProof/>
        </w:rPr>
        <w:tab/>
      </w:r>
      <w:r>
        <w:rPr>
          <w:rStyle w:val="Ohne"/>
          <w:rFonts w:ascii="Times New Roman" w:hAnsi="Times New Roman"/>
          <w:b/>
          <w:noProof/>
        </w:rPr>
        <w:t>Развиване на качеството:</w:t>
      </w:r>
      <w:r>
        <w:rPr>
          <w:rStyle w:val="Hyperlink2"/>
          <w:rFonts w:ascii="Times New Roman" w:hAnsi="Times New Roman"/>
          <w:noProof/>
        </w:rPr>
        <w:t xml:space="preserve"> инструментите и системите за качество, които трябва да бъдат използвани при обучението на хората, работещи с младежта, следва да съответстват на променящите се обстоятелства в живота на младите хора и да бъдат интегрирани в по-широк подход към качеството с цел да се овластят организациите.</w:t>
      </w:r>
    </w:p>
    <w:p>
      <w:pPr>
        <w:pStyle w:val="Standard"/>
        <w:keepNext/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spacing w:after="240" w:line="240" w:lineRule="auto"/>
        <w:ind w:left="851" w:hanging="851"/>
        <w:jc w:val="both"/>
        <w:rPr>
          <w:rStyle w:val="Ohne"/>
          <w:rFonts w:ascii="Times New Roman" w:eastAsiaTheme="minorHAnsi" w:hAnsi="Times New Roman" w:cs="Times New Roman"/>
          <w:b/>
          <w:bCs/>
          <w:noProof/>
          <w:color w:val="auto"/>
          <w:kern w:val="0"/>
          <w:bdr w:val="none" w:sz="0" w:space="0" w:color="auto"/>
        </w:rPr>
      </w:pPr>
      <w:r>
        <w:rPr>
          <w:rStyle w:val="Ohne"/>
          <w:rFonts w:ascii="Times New Roman" w:hAnsi="Times New Roman"/>
          <w:b/>
          <w:noProof/>
        </w:rPr>
        <w:t xml:space="preserve">- </w:t>
      </w:r>
      <w:r>
        <w:rPr>
          <w:noProof/>
        </w:rPr>
        <w:tab/>
      </w:r>
      <w:r>
        <w:rPr>
          <w:rStyle w:val="Ohne"/>
          <w:rFonts w:ascii="Times New Roman" w:hAnsi="Times New Roman"/>
          <w:b/>
          <w:noProof/>
        </w:rPr>
        <w:t>Адаптиране към цифровите възможности:</w:t>
      </w:r>
      <w:r>
        <w:rPr>
          <w:rStyle w:val="Hyperlink2"/>
          <w:rFonts w:ascii="Times New Roman" w:hAnsi="Times New Roman"/>
          <w:noProof/>
        </w:rPr>
        <w:t xml:space="preserve"> структурата, методите и каналите за комуникация на работата с младежта следва да се адаптират към цифровия свят — при тази работа следва да се използват технологиите и педагогически практики, за да се увеличи достъпът и да се помогне на младите хора да се справят с цифровите средства. Цифровата работа с младежта следва да бъде включена в обучението на хората, работещи с младежта, както и в трудовите стандарти и стандартите във връзка с компетентностите в сферата на работата с младежта, когато тези стандарти съществуват.</w:t>
      </w:r>
    </w:p>
    <w:p>
      <w:pPr>
        <w:pStyle w:val="Standard"/>
        <w:keepNext/>
        <w:widowControl/>
        <w:numPr>
          <w:ilvl w:val="0"/>
          <w:numId w:val="24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spacing w:after="240" w:line="240" w:lineRule="auto"/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 xml:space="preserve">Насърчаване на признанието: </w:t>
      </w:r>
      <w:r>
        <w:rPr>
          <w:rStyle w:val="Hyperlink2"/>
          <w:rFonts w:ascii="Times New Roman" w:hAnsi="Times New Roman"/>
          <w:noProof/>
        </w:rPr>
        <w:t>за да придобие работата с младежта по-голяма стойност за младите хора, участващи в нея, следва да се разработят подходящи и общоприети инструменти за признание в съответствие с Препоръката на Съвета относно валидирането на неформалното и самостоятелното учене и с програмата за развитието на уменията</w:t>
      </w:r>
      <w:r>
        <w:rPr>
          <w:rStyle w:val="FootnoteReference"/>
          <w:rFonts w:ascii="Times New Roman" w:hAnsi="Times New Roman"/>
          <w:noProof/>
        </w:rPr>
        <w:footnoteReference w:id="28"/>
      </w:r>
      <w:r>
        <w:rPr>
          <w:rStyle w:val="Hyperlink2"/>
          <w:rFonts w:ascii="Times New Roman" w:hAnsi="Times New Roman"/>
          <w:noProof/>
        </w:rPr>
        <w:t>.</w:t>
      </w:r>
    </w:p>
    <w:p>
      <w:pPr>
        <w:pStyle w:val="Standard"/>
        <w:widowControl/>
        <w:numPr>
          <w:ilvl w:val="0"/>
          <w:numId w:val="24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EEECE1" w:themeFill="background2"/>
        <w:tabs>
          <w:tab w:val="clear" w:pos="720"/>
          <w:tab w:val="left" w:pos="851"/>
        </w:tabs>
        <w:spacing w:line="240" w:lineRule="auto"/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>Достигане до всички млади хора, и особено до тези от тях с по-малко възможности</w:t>
      </w:r>
      <w:r>
        <w:rPr>
          <w:rStyle w:val="Hyperlink2"/>
          <w:rFonts w:ascii="Times New Roman" w:hAnsi="Times New Roman"/>
          <w:noProof/>
        </w:rPr>
        <w:t>: работата с младежта притежава единствен по рода си потенциал да достига до най-уязвимите хора и да решава техните индивидуални нужди.</w:t>
      </w:r>
    </w:p>
    <w:p>
      <w:pPr>
        <w:pStyle w:val="Heading1"/>
        <w:rPr>
          <w:rStyle w:val="Ohne"/>
          <w:rFonts w:eastAsia="Times New Roman"/>
          <w:b w:val="0"/>
          <w:bCs w:val="0"/>
          <w:noProof/>
        </w:rPr>
      </w:pPr>
      <w:r>
        <w:rPr>
          <w:rStyle w:val="Ohne"/>
          <w:noProof/>
        </w:rPr>
        <w:t xml:space="preserve">3. </w:t>
      </w:r>
      <w:r>
        <w:rPr>
          <w:noProof/>
        </w:rPr>
        <w:tab/>
      </w:r>
      <w:r>
        <w:rPr>
          <w:rStyle w:val="Ohne"/>
          <w:noProof/>
        </w:rPr>
        <w:t>Ефективно, фокусирано и съвместно изпълнение между отделните сектори</w:t>
      </w:r>
    </w:p>
    <w:p>
      <w:pPr>
        <w:pStyle w:val="Heading2"/>
        <w:rPr>
          <w:rStyle w:val="Ohne"/>
          <w:noProof/>
        </w:rPr>
      </w:pPr>
      <w:r>
        <w:rPr>
          <w:rStyle w:val="Ohne"/>
          <w:noProof/>
        </w:rPr>
        <w:t xml:space="preserve">3.1. </w:t>
      </w:r>
      <w:r>
        <w:rPr>
          <w:noProof/>
        </w:rPr>
        <w:tab/>
      </w:r>
      <w:r>
        <w:rPr>
          <w:rStyle w:val="Ohne"/>
          <w:noProof/>
        </w:rPr>
        <w:t>Работа между отделните сектори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Положението на младите хора в Европа е многообразно и белязано от предизвикателства, които трябва да бъдат решавани в рамките на различни области на политиката. Въпреки положителните тенденции, като повишеното участие във висшето образование, намаляването на случаите на преждевременно напускане на училище и на равнищата на младежката безработица (въпреки че са все още високи)</w:t>
      </w:r>
      <w:r>
        <w:rPr>
          <w:rStyle w:val="Ohne"/>
          <w:noProof/>
          <w:vertAlign w:val="superscript"/>
        </w:rPr>
        <w:footnoteReference w:id="29"/>
      </w:r>
      <w:r>
        <w:rPr>
          <w:rStyle w:val="Ohne"/>
          <w:noProof/>
        </w:rPr>
        <w:t xml:space="preserve">, продължават да са налице големи, често взаимосвързани предизвикателства. Сред тях е много високата безработица в някои държави членки, региони и групи, растящата младежка бедност, несигурната заетост, неравнопоставения достъп до качествено образование или въпроси, свързани със здравето.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В този контекст справянето с младежката безработица и с високия процент на млади хора, намиращи се извън системите на заетост, образование или обучение (NEET), бе приоритет на ЕС, подкрепян чрез конкретни инициативи: над 3,5 милиона души — млади хора, са се ползвали всяка година от въведената през 2013 г. гаранция за младежта. За периода от 2014 до 2020 г. по линия на Европейския социален фонд и инициативата за младежка заетост за преки инвестиции в мерки за младежка заетост са заделени общо 14,5 милиарда евро. Въпреки напредъка в стратегията на ЕС за младежта и в доклада за оценка относно изпълнението на гаранцията за младежта в държавите членки се подчертава нуждата от изграждане на мостове между сектора на младежта и този на заетостта и от достигане до младите хора, намиращи се извън системите на заетост, образование или обучение, които се сблъскват с множество пречки. </w:t>
      </w:r>
      <w:r>
        <w:rPr>
          <w:noProof/>
        </w:rPr>
        <w:t>Освен това в плана за действие относно интеграцията на граждани на трети държави</w:t>
      </w:r>
      <w:r>
        <w:rPr>
          <w:noProof/>
          <w:vertAlign w:val="superscript"/>
        </w:rPr>
        <w:footnoteReference w:id="30"/>
      </w:r>
      <w:r>
        <w:rPr>
          <w:noProof/>
        </w:rPr>
        <w:t xml:space="preserve"> и в Съобщението „Закрилата на децата мигранти“</w:t>
      </w:r>
      <w:r>
        <w:rPr>
          <w:noProof/>
          <w:vertAlign w:val="superscript"/>
        </w:rPr>
        <w:footnoteReference w:id="31"/>
      </w:r>
      <w:r>
        <w:rPr>
          <w:noProof/>
        </w:rPr>
        <w:t xml:space="preserve"> се признава важността на подкрепата за интеграцията на младите мигранти и бежанци.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В не всички осем области на действие</w:t>
      </w:r>
      <w:r>
        <w:rPr>
          <w:rStyle w:val="Ohne"/>
          <w:noProof/>
          <w:vertAlign w:val="superscript"/>
        </w:rPr>
        <w:footnoteReference w:id="32"/>
      </w:r>
      <w:r>
        <w:rPr>
          <w:rStyle w:val="Ohne"/>
          <w:noProof/>
        </w:rPr>
        <w:t xml:space="preserve"> са постигнати еднакво положителни резултати — съгласно оценката те се движат в твърде широки граници. Никоя държава членка не е предприела действия по всички тези области на действие едновременно, тъй като не навсякъде те са имали еднакво значение.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За да се повиши ефективността, Комисията предлага двустранен подход: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1) Укрепване на младежката перспектива между всички области на политиката на равнището на ЕС чрез: </w:t>
      </w:r>
    </w:p>
    <w:p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 w:val="0"/>
        <w:spacing w:after="240"/>
        <w:jc w:val="both"/>
        <w:rPr>
          <w:rStyle w:val="Ohne"/>
          <w:noProof/>
          <w:color w:val="auto"/>
        </w:rPr>
      </w:pPr>
      <w:r>
        <w:rPr>
          <w:rStyle w:val="Ohne"/>
          <w:rFonts w:ascii="Times New Roman" w:hAnsi="Times New Roman"/>
          <w:b/>
          <w:noProof/>
          <w:color w:val="auto"/>
        </w:rPr>
        <w:t>Гарантиране, че опасенията на младите хора се вземат предвид при изготвянето на политиките на ЕС</w:t>
      </w:r>
      <w:r>
        <w:rPr>
          <w:noProof/>
        </w:rPr>
        <w:t xml:space="preserve">, </w:t>
      </w:r>
      <w:r>
        <w:rPr>
          <w:rStyle w:val="Hyperlink2"/>
          <w:rFonts w:ascii="Times New Roman" w:hAnsi="Times New Roman"/>
          <w:noProof/>
          <w:color w:val="auto"/>
        </w:rPr>
        <w:t>именно чрез</w:t>
      </w:r>
      <w:r>
        <w:rPr>
          <w:noProof/>
        </w:rPr>
        <w:t xml:space="preserve"> </w:t>
      </w:r>
      <w:r>
        <w:rPr>
          <w:rStyle w:val="Ohne"/>
          <w:rFonts w:ascii="Times New Roman" w:hAnsi="Times New Roman"/>
          <w:b/>
          <w:noProof/>
          <w:color w:val="auto"/>
        </w:rPr>
        <w:t>координатор на ЕС по въпросите на младежта</w:t>
      </w:r>
      <w:r>
        <w:rPr>
          <w:noProof/>
        </w:rPr>
        <w:t xml:space="preserve">, </w:t>
      </w:r>
      <w:r>
        <w:rPr>
          <w:rStyle w:val="Ohne"/>
          <w:rFonts w:ascii="Times New Roman" w:hAnsi="Times New Roman"/>
          <w:noProof/>
          <w:color w:val="auto"/>
        </w:rPr>
        <w:t>който ще бъде контактът на Европейската комисия и видимото референтно звено за младите хора. Мисията на координатора на ЕС по въпросите на младежта е да предоставя съвети относно политиката за младежта на отговорния комисар; да спомага за осигуряване на координиране и съгласуваност, и да повишава осведомеността относно действията на ЕС в тази област в тясно сътрудничество с институциите и агенциите на ЕС, както и с държавите членки. както и да</w:t>
      </w:r>
      <w:r>
        <w:rPr>
          <w:noProof/>
        </w:rPr>
        <w:t xml:space="preserve"> </w:t>
      </w:r>
      <w:r>
        <w:rPr>
          <w:rStyle w:val="Hyperlink2"/>
          <w:rFonts w:ascii="Times New Roman" w:hAnsi="Times New Roman"/>
          <w:noProof/>
          <w:color w:val="auto"/>
        </w:rPr>
        <w:t>споделя резултатите от диалога по въпросите на младежта в ЕС и да предоставя</w:t>
      </w:r>
      <w:r>
        <w:rPr>
          <w:noProof/>
        </w:rPr>
        <w:t xml:space="preserve"> </w:t>
      </w:r>
      <w:r>
        <w:rPr>
          <w:rStyle w:val="Ohne"/>
          <w:rFonts w:ascii="Times New Roman" w:hAnsi="Times New Roman"/>
          <w:noProof/>
          <w:color w:val="auto"/>
        </w:rPr>
        <w:t>обратна връзка на младите хора</w:t>
      </w:r>
      <w:r>
        <w:rPr>
          <w:noProof/>
        </w:rPr>
        <w:t>,</w:t>
      </w:r>
      <w:r>
        <w:rPr>
          <w:rStyle w:val="Hyperlink2"/>
          <w:rFonts w:ascii="Times New Roman" w:hAnsi="Times New Roman"/>
          <w:noProof/>
          <w:color w:val="auto"/>
        </w:rPr>
        <w:t xml:space="preserve"> включително чрез Европейския портал за младежта и платформата на стратегията на ЕС за младежта</w:t>
      </w:r>
      <w:r>
        <w:rPr>
          <w:rStyle w:val="FootnoteReference"/>
          <w:rFonts w:ascii="Times New Roman" w:hAnsi="Times New Roman"/>
          <w:noProof/>
          <w:color w:val="auto"/>
        </w:rPr>
        <w:footnoteReference w:id="33"/>
      </w:r>
      <w:r>
        <w:rPr>
          <w:rStyle w:val="Hyperlink2"/>
          <w:rFonts w:ascii="Times New Roman" w:hAnsi="Times New Roman"/>
          <w:noProof/>
          <w:color w:val="auto"/>
        </w:rPr>
        <w:t>;</w:t>
      </w:r>
    </w:p>
    <w:p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Style w:val="Ohne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укрепване на </w:t>
      </w:r>
      <w:r>
        <w:rPr>
          <w:rStyle w:val="Ohne"/>
          <w:rFonts w:ascii="Times New Roman" w:hAnsi="Times New Roman"/>
          <w:b/>
          <w:noProof/>
        </w:rPr>
        <w:t>прозрачността на действията на ЕС</w:t>
      </w:r>
      <w:r>
        <w:rPr>
          <w:rStyle w:val="Hyperlink2"/>
          <w:rFonts w:ascii="Times New Roman" w:hAnsi="Times New Roman"/>
          <w:noProof/>
        </w:rPr>
        <w:t xml:space="preserve"> в полза на младите хора, включително проследяване на разходите на ЕС във връзка с младите хора</w:t>
      </w:r>
      <w:r>
        <w:rPr>
          <w:rStyle w:val="Ohne"/>
          <w:rFonts w:ascii="Times New Roman" w:hAnsi="Times New Roman"/>
          <w:noProof/>
          <w:vertAlign w:val="superscript"/>
        </w:rPr>
        <w:footnoteReference w:id="34"/>
      </w:r>
      <w:r>
        <w:rPr>
          <w:rStyle w:val="Hyperlink2"/>
          <w:rFonts w:ascii="Times New Roman" w:hAnsi="Times New Roman"/>
          <w:noProof/>
        </w:rPr>
        <w:t>;</w:t>
      </w:r>
    </w:p>
    <w:p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Style w:val="Ohne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насърчаване на </w:t>
      </w:r>
      <w:r>
        <w:rPr>
          <w:rStyle w:val="Ohne"/>
          <w:rFonts w:ascii="Times New Roman" w:hAnsi="Times New Roman"/>
          <w:b/>
          <w:noProof/>
        </w:rPr>
        <w:t>модели на създаване на политики, основани на участието</w:t>
      </w:r>
      <w:r>
        <w:rPr>
          <w:rStyle w:val="Hyperlink2"/>
          <w:rFonts w:ascii="Times New Roman" w:hAnsi="Times New Roman"/>
          <w:noProof/>
        </w:rPr>
        <w:t xml:space="preserve">, включващи младите хора, като например </w:t>
      </w:r>
      <w:r>
        <w:rPr>
          <w:rStyle w:val="Ohne"/>
          <w:rFonts w:ascii="Times New Roman" w:hAnsi="Times New Roman"/>
          <w:b/>
          <w:noProof/>
        </w:rPr>
        <w:t>лаборатории за политиката за младежта</w:t>
      </w:r>
      <w:r>
        <w:rPr>
          <w:rStyle w:val="FootnoteReference"/>
          <w:rFonts w:ascii="Times New Roman" w:hAnsi="Times New Roman"/>
          <w:noProof/>
        </w:rPr>
        <w:footnoteReference w:id="35"/>
      </w:r>
      <w:r>
        <w:rPr>
          <w:rStyle w:val="Hyperlink2"/>
          <w:rFonts w:ascii="Times New Roman" w:hAnsi="Times New Roman"/>
          <w:noProof/>
        </w:rPr>
        <w:t>;</w:t>
      </w:r>
    </w:p>
    <w:p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Style w:val="Hyperlink2"/>
          <w:rFonts w:ascii="Times New Roman" w:eastAsia="Times New Roman" w:hAnsi="Times New Roman" w:cs="Times New Roman"/>
          <w:noProof/>
        </w:rPr>
      </w:pPr>
      <w:r>
        <w:rPr>
          <w:rStyle w:val="Ohne"/>
          <w:rFonts w:ascii="Times New Roman" w:hAnsi="Times New Roman"/>
          <w:b/>
          <w:noProof/>
        </w:rPr>
        <w:t xml:space="preserve">подкрепа за държавите членки при разработването на политики за младежта </w:t>
      </w:r>
      <w:r>
        <w:rPr>
          <w:rStyle w:val="Hyperlink2"/>
          <w:rFonts w:ascii="Times New Roman" w:hAnsi="Times New Roman"/>
          <w:noProof/>
        </w:rPr>
        <w:t>чрез събиране на фактология, взаимни обучения и споделяне на добри практики, в т.ч. на нови инструменти, като например партньорски оценки и консултации;</w:t>
      </w:r>
    </w:p>
    <w:p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Style w:val="Ohne"/>
          <w:rFonts w:ascii="Times New Roman" w:eastAsia="Times New Roman" w:hAnsi="Times New Roman" w:cs="Times New Roman"/>
          <w:noProof/>
        </w:rPr>
      </w:pPr>
      <w:r>
        <w:rPr>
          <w:rStyle w:val="Hyperlink2"/>
          <w:rFonts w:ascii="Times New Roman" w:hAnsi="Times New Roman"/>
          <w:noProof/>
        </w:rPr>
        <w:t xml:space="preserve">принос, посредством инструменти за младежко сътрудничество като взаимни обучения, фактология, координатора или диалога, към </w:t>
      </w:r>
      <w:r>
        <w:rPr>
          <w:rStyle w:val="Ohne"/>
          <w:rFonts w:ascii="Times New Roman" w:hAnsi="Times New Roman"/>
          <w:b/>
          <w:noProof/>
        </w:rPr>
        <w:t>междусекторните инициативи</w:t>
      </w:r>
      <w:r>
        <w:rPr>
          <w:rStyle w:val="Hyperlink2"/>
          <w:rFonts w:ascii="Times New Roman" w:hAnsi="Times New Roman"/>
          <w:noProof/>
        </w:rPr>
        <w:t xml:space="preserve"> за младежта, като например гаранцията за младежта, Европейската мрежа на стажуващите</w:t>
      </w:r>
      <w:r>
        <w:rPr>
          <w:rStyle w:val="Ohne"/>
          <w:rFonts w:ascii="Times New Roman" w:hAnsi="Times New Roman"/>
          <w:noProof/>
          <w:vertAlign w:val="superscript"/>
        </w:rPr>
        <w:footnoteReference w:id="36"/>
      </w:r>
      <w:r>
        <w:rPr>
          <w:rStyle w:val="Hyperlink2"/>
          <w:rFonts w:ascii="Times New Roman" w:hAnsi="Times New Roman"/>
          <w:noProof/>
        </w:rPr>
        <w:t xml:space="preserve"> и призива от Тарту за здравословен начин на живот</w:t>
      </w:r>
      <w:r>
        <w:rPr>
          <w:rStyle w:val="Ohne"/>
          <w:rFonts w:ascii="Times New Roman" w:hAnsi="Times New Roman"/>
          <w:noProof/>
          <w:vertAlign w:val="superscript"/>
        </w:rPr>
        <w:footnoteReference w:id="37"/>
      </w:r>
      <w:r>
        <w:rPr>
          <w:rStyle w:val="Hyperlink2"/>
          <w:rFonts w:ascii="Times New Roman" w:hAnsi="Times New Roman"/>
          <w:noProof/>
        </w:rPr>
        <w:t>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2) Насочване на фокуса на стратегията: Комисията приканва държавите членки да се концентрират върху целенасочени действия, въплъщаващи приоритетите на ЕС в национален контекст, които да бъдат определени в </w:t>
      </w:r>
      <w:r>
        <w:rPr>
          <w:rStyle w:val="Ohne"/>
          <w:b/>
          <w:noProof/>
        </w:rPr>
        <w:t>национални планове за действие</w:t>
      </w:r>
      <w:r>
        <w:rPr>
          <w:rStyle w:val="Ohne"/>
          <w:noProof/>
        </w:rPr>
        <w:t xml:space="preserve">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Тези планове следва да се основават на междусекторно сътрудничество в рамките на политиката за младежта и други области на политики, като се надгражда върху съществуващи механизми за управление, например като част от осъществяването на схемата за гаранция за младежта.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 xml:space="preserve">Те следва да гарантират солидни връзки между </w:t>
      </w:r>
      <w:r>
        <w:rPr>
          <w:rStyle w:val="Ohne"/>
          <w:b/>
          <w:noProof/>
        </w:rPr>
        <w:t>транснационалните дейности на сътрудничество</w:t>
      </w:r>
      <w:r>
        <w:rPr>
          <w:rStyle w:val="Ohne"/>
          <w:b/>
          <w:noProof/>
          <w:vertAlign w:val="superscript"/>
        </w:rPr>
        <w:footnoteReference w:id="38"/>
      </w:r>
      <w:r>
        <w:rPr>
          <w:rStyle w:val="Ohne"/>
          <w:b/>
          <w:noProof/>
        </w:rPr>
        <w:t xml:space="preserve"> </w:t>
      </w:r>
      <w:r>
        <w:rPr>
          <w:rStyle w:val="Ohne"/>
          <w:noProof/>
        </w:rPr>
        <w:t>на националните агенции, изпълняващи програмата „Еразъм+“, и областите, установени в националните планове за действие като области за повишаване на съгласуваността между изпълнението на политиката и на програмата.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b/>
          <w:noProof/>
        </w:rPr>
        <w:t xml:space="preserve">Междусекторното сътрудничество </w:t>
      </w:r>
      <w:r>
        <w:rPr>
          <w:rStyle w:val="Ohne"/>
          <w:noProof/>
        </w:rPr>
        <w:t>следва да се укрепи</w:t>
      </w:r>
      <w:r>
        <w:rPr>
          <w:rStyle w:val="Ohne"/>
          <w:b/>
          <w:noProof/>
        </w:rPr>
        <w:t xml:space="preserve"> на всички нива на вземане на решения</w:t>
      </w:r>
      <w:r>
        <w:rPr>
          <w:rStyle w:val="Ohne"/>
          <w:noProof/>
        </w:rPr>
        <w:t>, като се търсят полезни взаимодействия и допълняемост между действията и се включва по-сериозно участие на младежта. Държавите членки следва да насърчават младите хора и други заинтересовани страни да организират съвместни инициативи, например в сферата на образованието, заетостта, цифровите технологии, спорта, устойчивостта и международното сътрудничество, като използват пълния потенциал на финансирането от ЕС.</w:t>
      </w:r>
    </w:p>
    <w:p>
      <w:pPr>
        <w:rPr>
          <w:rStyle w:val="Ohne"/>
          <w:rFonts w:eastAsia="Times New Roman"/>
          <w:b/>
          <w:bCs/>
          <w:noProof/>
          <w:u w:val="single"/>
        </w:rPr>
      </w:pPr>
      <w:r>
        <w:rPr>
          <w:rStyle w:val="Ohne"/>
          <w:noProof/>
        </w:rPr>
        <w:t>През 2017 г. — „Годината на вслушването“, заинтересовани страни обърнаха внимание на следните предизвикателства, които биха могли да послужат като области за интегриране на действията: образование — обучение; заетост — предприемачество; здраве, включително психично здраве; бедност — социално изключване; интеграция на младежта с мигрантски произход</w:t>
      </w:r>
      <w:r>
        <w:rPr>
          <w:rStyle w:val="FootnoteReference"/>
          <w:noProof/>
        </w:rPr>
        <w:footnoteReference w:id="39"/>
      </w:r>
      <w:r>
        <w:rPr>
          <w:rStyle w:val="Ohne"/>
          <w:noProof/>
        </w:rPr>
        <w:t>; интернет грамотност — медийна грамотност; устойчивост — изменение на климата.</w:t>
      </w:r>
    </w:p>
    <w:p>
      <w:pPr>
        <w:pStyle w:val="Heading2"/>
        <w:rPr>
          <w:rStyle w:val="Ohne"/>
          <w:noProof/>
        </w:rPr>
      </w:pPr>
      <w:r>
        <w:rPr>
          <w:rStyle w:val="Ohne"/>
          <w:noProof/>
        </w:rPr>
        <w:t xml:space="preserve">3.2. </w:t>
      </w:r>
      <w:r>
        <w:rPr>
          <w:noProof/>
        </w:rPr>
        <w:tab/>
      </w:r>
      <w:r>
        <w:rPr>
          <w:rStyle w:val="Ohne"/>
          <w:noProof/>
        </w:rPr>
        <w:t>Многостепенно управление чрез участие</w:t>
      </w:r>
    </w:p>
    <w:p>
      <w:pPr>
        <w:rPr>
          <w:rStyle w:val="Ohne"/>
          <w:rFonts w:eastAsia="Times New Roman"/>
          <w:noProof/>
          <w:u w:val="single"/>
        </w:rPr>
      </w:pPr>
      <w:r>
        <w:rPr>
          <w:rStyle w:val="Ohne"/>
          <w:noProof/>
          <w:u w:val="single"/>
        </w:rPr>
        <w:t xml:space="preserve">Управлението ще бъде подобрено чрез: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Основано на факти създаване на политики и мониторинг: </w:t>
      </w:r>
      <w:r>
        <w:rPr>
          <w:rStyle w:val="Ohne"/>
          <w:noProof/>
        </w:rPr>
        <w:t xml:space="preserve">Ефективното изпълнение почива на солидни факти. </w:t>
      </w:r>
      <w:r>
        <w:rPr>
          <w:rStyle w:val="Ohne"/>
          <w:b/>
          <w:noProof/>
        </w:rPr>
        <w:t>Таблицата с показатели във връзка с младежта</w:t>
      </w:r>
      <w:r>
        <w:rPr>
          <w:rStyle w:val="Ohne"/>
          <w:noProof/>
        </w:rPr>
        <w:t xml:space="preserve"> се превърна във високо ценен инструмент за проследяване на тенденциите в състоянието на младежта. В рамките на сътрудничеството в ЕС следва да се проучи още използването на </w:t>
      </w:r>
      <w:r>
        <w:rPr>
          <w:rStyle w:val="Ohne"/>
          <w:b/>
          <w:noProof/>
        </w:rPr>
        <w:t xml:space="preserve">показатели на политиката </w:t>
      </w:r>
      <w:r>
        <w:rPr>
          <w:rStyle w:val="Ohne"/>
          <w:noProof/>
        </w:rPr>
        <w:t>за проследяване на изпълнението на стратегията</w:t>
      </w:r>
      <w:r>
        <w:rPr>
          <w:rStyle w:val="Ohne"/>
          <w:noProof/>
          <w:vertAlign w:val="superscript"/>
        </w:rPr>
        <w:footnoteReference w:id="40"/>
      </w:r>
      <w:r>
        <w:rPr>
          <w:rStyle w:val="Ohne"/>
          <w:noProof/>
        </w:rPr>
        <w:t xml:space="preserve">. През 2019 г. ще бъде извършен преглед на политиката за финансираните от ЕС научноизследователски проекти, за да се изведат важни констатации за тази област.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Акцент и гъвкавост: </w:t>
      </w:r>
      <w:r>
        <w:rPr>
          <w:rStyle w:val="Ohne"/>
          <w:noProof/>
        </w:rPr>
        <w:t xml:space="preserve">Стратегията ще акцентира върху общите между държавите членки приоритети за младежта в ЕС, като същевременно ще позволява гъвкавост при изпълнение на интегриращите действия с цел да се приспособят приоритетите на ЕС към националните условия. Очаква се Съветът да определи тригодишни </w:t>
      </w:r>
      <w:r>
        <w:rPr>
          <w:rStyle w:val="Ohne"/>
          <w:b/>
          <w:noProof/>
        </w:rPr>
        <w:t>работни планове на равнището на ЕС</w:t>
      </w:r>
      <w:r>
        <w:rPr>
          <w:rStyle w:val="Ohne"/>
          <w:noProof/>
        </w:rPr>
        <w:t xml:space="preserve"> заедно с Комисията.</w:t>
      </w:r>
    </w:p>
    <w:p>
      <w:pPr>
        <w:rPr>
          <w:rStyle w:val="Ohne"/>
          <w:rFonts w:eastAsia="Times New Roman"/>
          <w:b/>
          <w:bCs/>
          <w:i/>
          <w:iCs/>
          <w:noProof/>
        </w:rPr>
      </w:pPr>
      <w:r>
        <w:rPr>
          <w:rStyle w:val="Ohne"/>
          <w:i/>
          <w:noProof/>
        </w:rPr>
        <w:t xml:space="preserve">Управление чрез участие: </w:t>
      </w:r>
      <w:r>
        <w:rPr>
          <w:rStyle w:val="Ohne"/>
          <w:noProof/>
        </w:rPr>
        <w:t xml:space="preserve">Нова </w:t>
      </w:r>
      <w:r>
        <w:rPr>
          <w:rStyle w:val="Ohne"/>
          <w:b/>
          <w:noProof/>
        </w:rPr>
        <w:t>платформа</w:t>
      </w:r>
      <w:r>
        <w:rPr>
          <w:rStyle w:val="Ohne"/>
          <w:noProof/>
        </w:rPr>
        <w:t xml:space="preserve"> ще предоставя на заинтересованите страни по-голяма роля за координиране на изпълнението на стратегията, като ще предлага възможности за обмен на информация относно дейностите и резултатите. Комисията ще организира специални срещи за представителите на младежки организации, организации на гражданското общество, институциите на ЕС и социални партньори. 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>Рационализирано докладване и оценяване:</w:t>
      </w:r>
      <w:r>
        <w:rPr>
          <w:rStyle w:val="Ohne"/>
          <w:noProof/>
        </w:rPr>
        <w:t xml:space="preserve"> Комисията ще докладва на всеки три години относно изпълнението въз основа на информацията, предоставяна от държавите членки, уикисайта за младежта</w:t>
      </w:r>
      <w:r>
        <w:rPr>
          <w:rStyle w:val="Ohne"/>
          <w:noProof/>
          <w:vertAlign w:val="superscript"/>
        </w:rPr>
        <w:footnoteReference w:id="41"/>
      </w:r>
      <w:r>
        <w:rPr>
          <w:rStyle w:val="Ohne"/>
          <w:noProof/>
        </w:rPr>
        <w:t xml:space="preserve"> и показатели. Докладът ще съдържа информация за използването на програмите на ЕС за постигане на целите на политиката. Комисията ще проведе междинна оценка през 2023 г. и евентуално преглед през 2024 г. Държавите членки се насърчават да направят същото.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Взаимно обучение и разпространение: </w:t>
      </w:r>
      <w:r>
        <w:rPr>
          <w:rStyle w:val="Ohne"/>
          <w:noProof/>
        </w:rPr>
        <w:t>Експертни групи ще продължат да разработват насоки на политиката и практически инструменти и да споделят добри практики; стратегията ще предлага нови инструменти за взаимно обучение, като партньорски проверки и консултации. Чрез нея ще бъде преследван по-систематичен подход към качествена информация за младежта, разяснителни дейности и разпространение, като за основа се използват съществуващи нейни мрежи.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i/>
          <w:noProof/>
        </w:rPr>
        <w:t xml:space="preserve">Мобилизиране на програмите и фондовете на ЕС: </w:t>
      </w:r>
      <w:r>
        <w:rPr>
          <w:rStyle w:val="Ohne"/>
          <w:noProof/>
        </w:rPr>
        <w:t>Чрез стратегията ще се насърчава ефективното използване на програмите и фондовете на ЕС, като „Еразъм+“, Европейския корпус за солидарност, европейските структурни и инвестиционни фондове, „Хоризонт 2020“, в т.ч. действията „Мария Склодовска-Кюри“, „Творческа Европа“ и техните програми приемници. Комисията призовава държавите членки да проучат възможности за полезни взаимодействия между източниците на финансиране на равнището на ЕС и на национално, регионално и местно равнище.</w:t>
      </w:r>
    </w:p>
    <w:p>
      <w:pPr>
        <w:pStyle w:val="Heading1"/>
        <w:rPr>
          <w:rStyle w:val="Ohne"/>
          <w:noProof/>
        </w:rPr>
      </w:pPr>
      <w:r>
        <w:rPr>
          <w:rStyle w:val="Ohne"/>
          <w:noProof/>
        </w:rPr>
        <w:t>Заключения и следващи стъпки</w:t>
      </w:r>
    </w:p>
    <w:p>
      <w:pPr>
        <w:rPr>
          <w:rStyle w:val="Ohne"/>
          <w:rFonts w:eastAsia="Times New Roman"/>
          <w:noProof/>
        </w:rPr>
      </w:pPr>
      <w:r>
        <w:rPr>
          <w:rStyle w:val="Ohne"/>
          <w:noProof/>
        </w:rPr>
        <w:t>Младите хора имат основателни амбиции за своето бъдеще в Европа. От своя страна, Европа трябва да им предложи по-добри възможности за живот и да предприема действия предвид техните безпокойства.</w:t>
      </w:r>
    </w:p>
    <w:p>
      <w:pPr>
        <w:rPr>
          <w:rStyle w:val="Hyperlink2"/>
          <w:rFonts w:eastAsia="Times New Roman"/>
          <w:noProof/>
        </w:rPr>
      </w:pPr>
      <w:r>
        <w:rPr>
          <w:rStyle w:val="Ohne"/>
          <w:noProof/>
        </w:rPr>
        <w:t xml:space="preserve">Чрез стратегията ще </w:t>
      </w:r>
      <w:r>
        <w:rPr>
          <w:rStyle w:val="Hyperlink2"/>
          <w:noProof/>
        </w:rPr>
        <w:t xml:space="preserve">се изгради по-силна връзка между ЕС и младите хора посредством приобщаващи и цифрови методи за провеждане на диалог, ще се получат ефективни резултати чрез фокусирани приоритети и действия и ще се осигури по-ефективна структура с цел набелязване и предаване на идеите на младите хора и споделяне на информация относно предприетите в тяхна полза действия. </w:t>
      </w:r>
    </w:p>
    <w:p>
      <w:pPr>
        <w:rPr>
          <w:noProof/>
        </w:rPr>
      </w:pPr>
      <w:r>
        <w:rPr>
          <w:noProof/>
        </w:rPr>
        <w:t>Всичко това ще бъде подпомогнато посредством по-силни връзки с фондовете на ЕС. Освен това чрез стратегията за младежта ще се търси по-голяма ангажираност от страна на заинтересованите страни чрез по-сериозно включване на младежта и чрез нови платформи на равнището на ЕС и извън неговите предели. Гъвкавото определяне на приоритетите и изпълнение на равнището на ЕС ще направи стратегията по-приложима към местните условия, като се зачитат компетентностите на всяко ниво на управление, и то с подкрепата на Европейската комисия.</w:t>
      </w:r>
    </w:p>
    <w:p>
      <w:pPr>
        <w:rPr>
          <w:noProof/>
        </w:rPr>
      </w:pPr>
      <w:r>
        <w:rPr>
          <w:noProof/>
        </w:rPr>
        <w:t>Комисията приканва Съвета да одобри предложената стратегия на ЕС за младежта за периода 2019 — 2027 г., като се основава също и на целите за младежта</w:t>
      </w:r>
      <w:r>
        <w:rPr>
          <w:rStyle w:val="Ohne"/>
          <w:noProof/>
          <w:kern w:val="3"/>
          <w:vertAlign w:val="superscript"/>
        </w:rPr>
        <w:footnoteReference w:id="42"/>
      </w:r>
      <w:r>
        <w:rPr>
          <w:noProof/>
        </w:rPr>
        <w:t>, предложени в рамките на конференцията на ЕС за младежта през април 2018 г.</w:t>
      </w:r>
    </w:p>
    <w:p>
      <w:pPr>
        <w:rPr>
          <w:noProof/>
        </w:rPr>
      </w:pPr>
      <w:r>
        <w:rPr>
          <w:noProof/>
        </w:rPr>
        <w:t>Съветът се приканва още да приеме работен план за периода 2019 — 2021 г., като вземе предвид предложените в настоящото съобщение мерки, подробно разгледани в работния документ на службите на Комисията относно резултатите от отворения метод на координация.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1195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40" w:hanging="240"/>
        <w:rPr>
          <w:lang w:val="en-GB"/>
        </w:rPr>
      </w:pPr>
      <w:r>
        <w:rPr>
          <w:vertAlign w:val="superscript"/>
        </w:rPr>
        <w:footnoteRef/>
      </w:r>
      <w:r>
        <w:tab/>
      </w:r>
      <w:r>
        <w:rPr>
          <w:rStyle w:val="Hyperlink2"/>
        </w:rPr>
        <w:t>Бяла книга за бъдещето на Европа, март 2017 г.</w:t>
      </w:r>
    </w:p>
  </w:footnote>
  <w:footnote w:id="2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40" w:hanging="240"/>
        <w:rPr>
          <w:lang w:val="en-GB"/>
        </w:rPr>
      </w:pPr>
      <w:r>
        <w:rPr>
          <w:vertAlign w:val="superscript"/>
        </w:rPr>
        <w:footnoteRef/>
      </w:r>
      <w:r>
        <w:tab/>
      </w:r>
      <w:r>
        <w:rPr>
          <w:rStyle w:val="Hyperlink2"/>
        </w:rPr>
        <w:t>Евростат, 2016 г.</w:t>
      </w:r>
    </w:p>
  </w:footnote>
  <w:footnote w:id="3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40" w:hanging="240"/>
        <w:rPr>
          <w:lang w:val="en-GB"/>
        </w:rPr>
      </w:pPr>
      <w:r>
        <w:rPr>
          <w:vertAlign w:val="superscript"/>
        </w:rPr>
        <w:footnoteRef/>
      </w:r>
      <w:r>
        <w:tab/>
      </w:r>
      <w:r>
        <w:rPr>
          <w:rStyle w:val="Hyperlink2"/>
        </w:rPr>
        <w:t xml:space="preserve">Eurofound – раздел за NEET: </w:t>
      </w:r>
      <w:hyperlink r:id="rId1">
        <w:r>
          <w:rPr>
            <w:rStyle w:val="Hyperlink0"/>
          </w:rPr>
          <w:t>https://www.eurofound.europa.eu/topic/NEETs</w:t>
        </w:r>
      </w:hyperlink>
      <w:r>
        <w:rPr>
          <w:rStyle w:val="Hyperlink2"/>
        </w:rPr>
        <w:t>.</w:t>
      </w:r>
    </w:p>
  </w:footnote>
  <w:footnote w:id="4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40" w:hanging="240"/>
        <w:rPr>
          <w:lang w:val="en-GB"/>
        </w:rPr>
      </w:pPr>
      <w:r>
        <w:rPr>
          <w:vertAlign w:val="superscript"/>
        </w:rPr>
        <w:footnoteRef/>
      </w:r>
      <w:r>
        <w:rPr>
          <w:rStyle w:val="Hyperlink2"/>
        </w:rPr>
        <w:t xml:space="preserve"> </w:t>
      </w:r>
      <w:r>
        <w:tab/>
      </w:r>
      <w:r>
        <w:rPr>
          <w:rStyle w:val="Hyperlink2"/>
        </w:rPr>
        <w:t>Съобщение на Комисията „Инвестиране в младежта на Европа“ (COM(2016)940).</w:t>
      </w:r>
    </w:p>
  </w:footnote>
  <w:footnote w:id="5">
    <w:p>
      <w:pPr>
        <w:pStyle w:val="FootnoteText"/>
        <w:tabs>
          <w:tab w:val="clear" w:pos="720"/>
        </w:tabs>
        <w:spacing w:after="0" w:line="240" w:lineRule="auto"/>
        <w:ind w:left="240" w:hanging="240"/>
        <w:rPr>
          <w:lang w:val="en-GB"/>
        </w:rPr>
      </w:pPr>
      <w:r>
        <w:rPr>
          <w:vertAlign w:val="superscript"/>
        </w:rPr>
        <w:footnoteRef/>
      </w:r>
      <w:r>
        <w:tab/>
      </w:r>
      <w:hyperlink r:id="rId2">
        <w:r>
          <w:rPr>
            <w:rStyle w:val="Hyperlink0"/>
          </w:rPr>
          <w:t>https://www.consilium.europa.eu/media/21229/160916-bratislava-declaration-and-roadmap-bg.pdf</w:t>
        </w:r>
      </w:hyperlink>
    </w:p>
  </w:footnote>
  <w:footnote w:id="6">
    <w:p>
      <w:pPr>
        <w:pStyle w:val="FootnoteText"/>
        <w:tabs>
          <w:tab w:val="clear" w:pos="720"/>
        </w:tabs>
        <w:spacing w:after="0" w:line="240" w:lineRule="auto"/>
        <w:ind w:left="240" w:hanging="240"/>
        <w:rPr>
          <w:lang w:val="en-GB"/>
        </w:rPr>
      </w:pPr>
      <w:r>
        <w:rPr>
          <w:rStyle w:val="Ohne"/>
          <w:vertAlign w:val="superscript"/>
        </w:rPr>
        <w:footnoteRef/>
      </w:r>
      <w:r>
        <w:tab/>
      </w:r>
      <w:hyperlink r:id="rId3">
        <w:r>
          <w:rPr>
            <w:rStyle w:val="Hyperlink0"/>
          </w:rPr>
          <w:t>https://ec.europa.eu/commission/news/towards-european-education-area-2025-2017-nov-14_bg</w:t>
        </w:r>
      </w:hyperlink>
      <w:r>
        <w:rPr>
          <w:rStyle w:val="Hyperlink0"/>
        </w:rPr>
        <w:t xml:space="preserve"> </w:t>
      </w:r>
    </w:p>
  </w:footnote>
  <w:footnote w:id="7">
    <w:p>
      <w:pPr>
        <w:pStyle w:val="Default"/>
        <w:ind w:left="284" w:hanging="284"/>
        <w:jc w:val="both"/>
      </w:pPr>
      <w:r>
        <w:rPr>
          <w:rStyle w:val="Ohne"/>
          <w:sz w:val="20"/>
          <w:vertAlign w:val="superscript"/>
        </w:rPr>
        <w:footnoteRef/>
      </w:r>
      <w:r>
        <w:tab/>
      </w:r>
      <w:r>
        <w:rPr>
          <w:rStyle w:val="Ohne"/>
          <w:sz w:val="20"/>
        </w:rPr>
        <w:t>Съобщение на Комисията „Укрепване на европейската идентичност чрез образование и култура“ (COM(2017)673).</w:t>
      </w:r>
    </w:p>
  </w:footnote>
  <w:footnote w:id="8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Експресно проучване на Евробарометър № 455.</w:t>
      </w:r>
    </w:p>
  </w:footnote>
  <w:footnote w:id="9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Съобщение на Комисията „Инвестиране в младежта на Европа“ (COM(2016)940).</w:t>
      </w:r>
    </w:p>
  </w:footnote>
  <w:footnote w:id="10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Заключения на Съвета относно стратегическите перспективи за европейското сътрудничество по въпросите на младежта след 2018 г., май 2017 г.</w:t>
      </w:r>
    </w:p>
  </w:footnote>
  <w:footnote w:id="11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1"/>
        </w:rPr>
        <w:t>Експресно проучване на Евробарометър № 455; Евростат (</w:t>
      </w:r>
      <w:hyperlink r:id="rId4">
        <w:r>
          <w:rPr>
            <w:rStyle w:val="Hyperlink0"/>
          </w:rPr>
          <w:t>http://ec.europa.eu/eurostat/web/youth/data/database</w:t>
        </w:r>
      </w:hyperlink>
      <w:r>
        <w:rPr>
          <w:rStyle w:val="Hyperlink1"/>
        </w:rPr>
        <w:t xml:space="preserve">). </w:t>
      </w:r>
    </w:p>
  </w:footnote>
  <w:footnote w:id="12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SWD(2017) 280 и SWD(2017) 281 относно оценката на стратегията на ЕС за младежта.</w:t>
      </w:r>
    </w:p>
  </w:footnote>
  <w:footnote w:id="13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 xml:space="preserve">Становища от държавите членки, Европейския парламент, Европейския комитет на регионите и Европейския икономически и социален комитет, както и резултати от структурирания диалог, целеви групи, онлайн консултации и конференция на заинтересованите страни. Вж. придружаващия Работен документ относно резултатите от отворения метод на координация </w:t>
      </w:r>
      <w:r>
        <w:rPr>
          <w:rStyle w:val="Ohne"/>
          <w:color w:val="000000" w:themeColor="text1"/>
          <w:u w:color="003F59"/>
        </w:rPr>
        <w:t>в областта на младежта в периода 2010 — 2018 г.</w:t>
      </w:r>
    </w:p>
  </w:footnote>
  <w:footnote w:id="14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5">
        <w:r>
          <w:rPr>
            <w:rStyle w:val="Hyperlink0"/>
          </w:rPr>
          <w:t>http://europa.eu/youth/have-your-say/new-narrative-for-europe_bg</w:t>
        </w:r>
      </w:hyperlink>
    </w:p>
  </w:footnote>
  <w:footnote w:id="15">
    <w:p>
      <w:pPr>
        <w:pStyle w:val="FootnoteText"/>
        <w:tabs>
          <w:tab w:val="clear" w:pos="720"/>
        </w:tabs>
        <w:spacing w:after="0" w:line="240" w:lineRule="auto"/>
        <w:ind w:left="238" w:hanging="238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Годишен доклад за програмата „Еразъм+“ за 2016 г.</w:t>
      </w:r>
    </w:p>
  </w:footnote>
  <w:footnote w:id="16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Стандартно проучване на Евробарометър № 86, 2016 г.</w:t>
      </w:r>
    </w:p>
  </w:footnote>
  <w:footnote w:id="17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6" w:history="1">
        <w:r>
          <w:rPr>
            <w:rStyle w:val="Hyperlink"/>
          </w:rPr>
          <w:t>http://europa.eu/rapid/press-release_IP-17-118_bg.htm</w:t>
        </w:r>
      </w:hyperlink>
      <w:r>
        <w:t>.</w:t>
      </w:r>
      <w:hyperlink r:id="rId7"/>
    </w:p>
  </w:footnote>
  <w:footnote w:id="18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 xml:space="preserve">Структурираният диалог е консултативният процес за младежта съгласно стратегията за периода 2010 — 2018 г. </w:t>
      </w:r>
    </w:p>
  </w:footnote>
  <w:footnote w:id="19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8">
        <w:r>
          <w:rPr>
            <w:rStyle w:val="Hyperlink0"/>
          </w:rPr>
          <w:t>http://ec.europa.eu/assets/eac/youth/library/reports/inclusion-diversity-strategy_en.pdf</w:t>
        </w:r>
      </w:hyperlink>
    </w:p>
  </w:footnote>
  <w:footnote w:id="20">
    <w:p>
      <w:pPr>
        <w:pStyle w:val="FootnoteText"/>
        <w:tabs>
          <w:tab w:val="clear" w:pos="720"/>
          <w:tab w:val="left" w:pos="284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9">
        <w:r>
          <w:rPr>
            <w:rStyle w:val="Hyperlink0"/>
          </w:rPr>
          <w:t>https://europa.eu/youth/erasmusvirtual_bg</w:t>
        </w:r>
      </w:hyperlink>
    </w:p>
  </w:footnote>
  <w:footnote w:id="21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10">
        <w:r>
          <w:rPr>
            <w:rStyle w:val="Hyperlink0"/>
          </w:rPr>
          <w:t>http://www.researchyouth.net/documents/ray_policybrief_2014.pdf</w:t>
        </w:r>
      </w:hyperlink>
    </w:p>
  </w:footnote>
  <w:footnote w:id="22">
    <w:p>
      <w:pPr>
        <w:pStyle w:val="Standard"/>
        <w:tabs>
          <w:tab w:val="clear" w:pos="720"/>
        </w:tabs>
        <w:spacing w:line="240" w:lineRule="auto"/>
        <w:ind w:left="284" w:hanging="284"/>
        <w:jc w:val="both"/>
      </w:pPr>
      <w:r>
        <w:rPr>
          <w:rStyle w:val="Ohne"/>
          <w:rFonts w:ascii="Times New Roman" w:hAnsi="Times New Roman"/>
          <w:sz w:val="20"/>
          <w:vertAlign w:val="superscript"/>
        </w:rPr>
        <w:footnoteRef/>
      </w:r>
      <w:r>
        <w:tab/>
      </w:r>
      <w:r>
        <w:rPr>
          <w:rStyle w:val="Ohne"/>
          <w:rFonts w:ascii="Times New Roman" w:hAnsi="Times New Roman"/>
          <w:sz w:val="20"/>
        </w:rPr>
        <w:t>През последните 12 месеца 31 % от младите хора са участвали в доброволчески дейности (увеличение с 6 пункта спрямо 2014 г., проучване на Евробарометър № 455).</w:t>
      </w:r>
    </w:p>
  </w:footnote>
  <w:footnote w:id="23">
    <w:p>
      <w:pPr>
        <w:suppressAutoHyphens/>
        <w:spacing w:before="0" w:after="0"/>
        <w:ind w:left="284" w:hanging="284"/>
        <w:rPr>
          <w:sz w:val="20"/>
          <w:szCs w:val="20"/>
        </w:rPr>
      </w:pPr>
      <w:r>
        <w:rPr>
          <w:rStyle w:val="FootnoteReference"/>
          <w:sz w:val="20"/>
        </w:rPr>
        <w:footnoteRef/>
      </w:r>
      <w:r>
        <w:tab/>
      </w:r>
      <w:hyperlink r:id="rId11">
        <w:r>
          <w:rPr>
            <w:rStyle w:val="Hyperlink"/>
            <w:sz w:val="20"/>
          </w:rPr>
          <w:t>https://eacea.ec.europa.eu/erasmus-plus/funding/european-youth-together-eacea162018_en</w:t>
        </w:r>
      </w:hyperlink>
    </w:p>
  </w:footnote>
  <w:footnote w:id="24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 xml:space="preserve">Експертна група по темата „Принос на работата с младежта и на неформалното и самостоятелното учене за справяне с предизвикателствата пред младите хора, особено с прехода от образование към заетост“. </w:t>
      </w:r>
      <w:hyperlink r:id="rId12">
        <w:r>
          <w:rPr>
            <w:rStyle w:val="Hyperlink0"/>
          </w:rPr>
          <w:t>http://ec.europa.eu/assets/eac/youth/library/reports/contribution-youth-work-summary_en.pdf</w:t>
        </w:r>
      </w:hyperlink>
    </w:p>
  </w:footnote>
  <w:footnote w:id="25">
    <w:p>
      <w:pPr>
        <w:pStyle w:val="FootnoteText"/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 xml:space="preserve">Известна също така като DigComp. </w:t>
      </w:r>
    </w:p>
  </w:footnote>
  <w:footnote w:id="26">
    <w:p>
      <w:pPr>
        <w:pStyle w:val="Default"/>
        <w:tabs>
          <w:tab w:val="left" w:pos="284"/>
          <w:tab w:val="left" w:pos="851"/>
        </w:tabs>
        <w:ind w:left="284" w:hanging="284"/>
        <w:jc w:val="both"/>
      </w:pPr>
      <w:r>
        <w:rPr>
          <w:rStyle w:val="Ohne"/>
          <w:sz w:val="20"/>
          <w:vertAlign w:val="superscript"/>
        </w:rPr>
        <w:footnoteRef/>
      </w:r>
      <w:r>
        <w:tab/>
      </w:r>
      <w:r>
        <w:rPr>
          <w:rStyle w:val="Ohne"/>
          <w:kern w:val="0"/>
          <w:sz w:val="20"/>
        </w:rPr>
        <w:t>СОМ(2018) 22 final.</w:t>
      </w:r>
    </w:p>
  </w:footnote>
  <w:footnote w:id="27">
    <w:p>
      <w:pPr>
        <w:pStyle w:val="FootnoteText"/>
        <w:tabs>
          <w:tab w:val="left" w:pos="284"/>
          <w:tab w:val="left" w:pos="851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Проучване Working with young people: the value of youth work in the EU (Работа с младите хора: стойността на работата с младежта в ЕС), ICF-GHK, 2014 г., Европейска комисия.</w:t>
      </w:r>
    </w:p>
  </w:footnote>
  <w:footnote w:id="28">
    <w:p>
      <w:pPr>
        <w:pStyle w:val="FootnoteText"/>
        <w:spacing w:after="0" w:line="240" w:lineRule="auto"/>
        <w:ind w:left="284" w:hanging="284"/>
      </w:pPr>
      <w:r>
        <w:rPr>
          <w:rStyle w:val="FootnoteReference"/>
        </w:rPr>
        <w:footnoteRef/>
      </w:r>
      <w:r>
        <w:tab/>
        <w:t>„Образование и обучение 2020“ (2015/C 417/04), „Нова европейска програма за умения“ COM(2016) 381.</w:t>
      </w:r>
    </w:p>
  </w:footnote>
  <w:footnote w:id="29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Придружаващ Работен документ относно положението на младите хора в ЕС.</w:t>
      </w:r>
    </w:p>
  </w:footnote>
  <w:footnote w:id="30">
    <w:p>
      <w:pPr>
        <w:pStyle w:val="FootnoteText"/>
        <w:spacing w:after="0" w:line="240" w:lineRule="auto"/>
        <w:ind w:left="284" w:hanging="284"/>
      </w:pPr>
      <w:r>
        <w:rPr>
          <w:rStyle w:val="FootnoteReference"/>
        </w:rPr>
        <w:footnoteRef/>
      </w:r>
      <w:r>
        <w:tab/>
        <w:t>COM(2016) 377</w:t>
      </w:r>
    </w:p>
  </w:footnote>
  <w:footnote w:id="31">
    <w:p>
      <w:pPr>
        <w:pStyle w:val="FootnoteText"/>
        <w:spacing w:after="0" w:line="240" w:lineRule="auto"/>
        <w:ind w:left="284" w:hanging="284"/>
      </w:pPr>
      <w:r>
        <w:rPr>
          <w:rStyle w:val="FootnoteReference"/>
        </w:rPr>
        <w:footnoteRef/>
      </w:r>
      <w:r>
        <w:tab/>
        <w:t>COM(2017) 211 final</w:t>
      </w:r>
    </w:p>
  </w:footnote>
  <w:footnote w:id="32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Образование и обучение, заетост и предприемачество, здраве и благосъстояние, участие, доброволчески дейности, социално приобщаване, младежта и светът, творчество и култура.</w:t>
      </w:r>
    </w:p>
  </w:footnote>
  <w:footnote w:id="33">
    <w:p>
      <w:pPr>
        <w:suppressAutoHyphens/>
        <w:spacing w:before="0" w:after="0"/>
        <w:ind w:left="284" w:hanging="284"/>
        <w:rPr>
          <w:sz w:val="20"/>
          <w:szCs w:val="20"/>
        </w:rPr>
      </w:pPr>
      <w:r>
        <w:rPr>
          <w:rStyle w:val="FootnoteReference"/>
          <w:sz w:val="20"/>
        </w:rPr>
        <w:footnoteRef/>
      </w:r>
      <w:r>
        <w:tab/>
      </w:r>
      <w:r>
        <w:rPr>
          <w:sz w:val="20"/>
        </w:rPr>
        <w:t xml:space="preserve">Координаторът на ЕС по въпросите на младежта ще бъде съветник, работещ в службите, подпомаган от генералната дирекция, отговаряща за политиката за младежта. Задачите на координатора ще включват ръководене на диалога по въпросите на младежта в ЕС от страна на Комисията, обработване на мненията на младите хора и на резултатите от диалога по въпросите на младежта в ЕС, за да ги споделя със съответните служби на Комисията, както и да поддържа отношения с Европейския парламент и със създателите на политики в държавите членки. Координаторът ще служи също така като първа точка за контакт за младите хора и техните представители, ще ръководи действията по информиране и комуникация, насочени към младите хора, в сътрудничество с други съответни служби на Комисията. </w:t>
      </w:r>
    </w:p>
  </w:footnote>
  <w:footnote w:id="34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 xml:space="preserve">Става дума за финансирането, насочено към отделни лица, а също и за използването на приблизителни оценки, за да се избегне създаването на допълнителна административна тежест от гледна точка на докладването и събирането на данни, по-специално за програми като Еразъм+. Европейския корпус за солидарност; </w:t>
      </w:r>
      <w:r>
        <w:t xml:space="preserve">Европейска програма за заетост и социални иновации; </w:t>
      </w:r>
      <w:r>
        <w:rPr>
          <w:rStyle w:val="Hyperlink2"/>
        </w:rPr>
        <w:t xml:space="preserve">„Хоризонт 2020“; „Творческа Европа“; „Европа на гражданите“; Програма „Права, равенство и граждани“; </w:t>
      </w:r>
      <w:r>
        <w:t>Здравна програма на ЕС;</w:t>
      </w:r>
      <w:r>
        <w:rPr>
          <w:rStyle w:val="Hyperlink2"/>
        </w:rPr>
        <w:t xml:space="preserve"> „Еразъм за млади предприемачи“ (COSME); Инициатива за младежка заетост; </w:t>
      </w:r>
      <w:r>
        <w:t xml:space="preserve">Европейски структурни и инвестиционни фондове;  </w:t>
      </w:r>
      <w:r>
        <w:rPr>
          <w:rStyle w:val="Hyperlink2"/>
        </w:rPr>
        <w:t>Схема за млади земеделски стопани (Обща селскостопанска политика); Доброволци на ЕС за хуманитарна помощ; Европейски инструмент за съседство.</w:t>
      </w:r>
    </w:p>
  </w:footnote>
  <w:footnote w:id="35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FootnoteReference"/>
        </w:rPr>
        <w:footnoteRef/>
      </w:r>
      <w:r>
        <w:tab/>
        <w:t xml:space="preserve">Първата лаборатория за политиката за младежта се проведе през 2017 г. с участието на три съседни държави: </w:t>
      </w:r>
      <w:hyperlink r:id="rId13">
        <w:r>
          <w:rPr>
            <w:rStyle w:val="Hyperlink0"/>
          </w:rPr>
          <w:t>https://blogs.ec.europa.eu/eupolicylab/</w:t>
        </w:r>
      </w:hyperlink>
    </w:p>
  </w:footnote>
  <w:footnote w:id="36">
    <w:p>
      <w:pPr>
        <w:pStyle w:val="FootnoteText"/>
        <w:tabs>
          <w:tab w:val="clear" w:pos="720"/>
        </w:tabs>
        <w:spacing w:after="0" w:line="240" w:lineRule="auto"/>
        <w:ind w:left="284" w:hanging="284"/>
        <w:rPr>
          <w:rStyle w:val="Hyperlink0"/>
        </w:rPr>
      </w:pPr>
      <w:r>
        <w:rPr>
          <w:rStyle w:val="Ohne"/>
          <w:vertAlign w:val="superscript"/>
        </w:rPr>
        <w:footnoteRef/>
      </w:r>
      <w:r>
        <w:tab/>
      </w:r>
      <w:hyperlink r:id="rId14">
        <w:r>
          <w:rPr>
            <w:rStyle w:val="Hyperlink0"/>
          </w:rPr>
          <w:t>http://ec.europa.eu/social/main.jsp?catId=1147&amp;langId=bg.</w:t>
        </w:r>
      </w:hyperlink>
    </w:p>
  </w:footnote>
  <w:footnote w:id="37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15">
        <w:r>
          <w:rPr>
            <w:rStyle w:val="Hyperlink0"/>
          </w:rPr>
          <w:t>https://ec.europa.eu/sport/news/20170922-ewos-navracsics-health-call-tartu_fr</w:t>
        </w:r>
      </w:hyperlink>
    </w:p>
  </w:footnote>
  <w:footnote w:id="38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Дейности, организирани от националните агенции, отговарящи за програмата „Еразъм+“.</w:t>
      </w:r>
    </w:p>
  </w:footnote>
  <w:footnote w:id="39">
    <w:p>
      <w:pPr>
        <w:pStyle w:val="FootnoteText"/>
        <w:spacing w:after="0" w:line="240" w:lineRule="auto"/>
        <w:ind w:left="284" w:hanging="284"/>
      </w:pPr>
      <w:r>
        <w:rPr>
          <w:rStyle w:val="FootnoteReference"/>
        </w:rPr>
        <w:footnoteRef/>
      </w:r>
      <w:r>
        <w:tab/>
      </w:r>
      <w:r>
        <w:rPr>
          <w:rStyle w:val="Hyperlink2"/>
        </w:rPr>
        <w:t>През 2014 г. родените в чужбина млади хора, както и тези, родени тук, но чиито родители, са родени в чужбина, представляват 20 % от жителите на ЕС на възраст 15 — 29 години, като се предвижда този дял бързо да расте поради притоците мигранти от първите години на ХХІ век насам.</w:t>
      </w:r>
    </w:p>
  </w:footnote>
  <w:footnote w:id="40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r>
        <w:rPr>
          <w:rStyle w:val="Hyperlink2"/>
        </w:rPr>
        <w:t>Предложение, включено в Работния документ на службите на Комисията относно резултатите от отворения метод на координация.</w:t>
      </w:r>
    </w:p>
  </w:footnote>
  <w:footnote w:id="41">
    <w:p>
      <w:pPr>
        <w:pStyle w:val="FootnoteText"/>
        <w:tabs>
          <w:tab w:val="clear" w:pos="720"/>
        </w:tabs>
        <w:spacing w:after="0" w:line="240" w:lineRule="auto"/>
        <w:ind w:left="284" w:hanging="284"/>
      </w:pPr>
      <w:r>
        <w:rPr>
          <w:rStyle w:val="Ohne"/>
          <w:vertAlign w:val="superscript"/>
        </w:rPr>
        <w:footnoteRef/>
      </w:r>
      <w:r>
        <w:tab/>
      </w:r>
      <w:hyperlink r:id="rId16">
        <w:r>
          <w:rPr>
            <w:rStyle w:val="Hyperlink0"/>
          </w:rPr>
          <w:t>https://eacea.ec.europa.eu/national-policies/en/youthwiki</w:t>
        </w:r>
      </w:hyperlink>
    </w:p>
  </w:footnote>
  <w:footnote w:id="42">
    <w:p>
      <w:pPr>
        <w:pStyle w:val="FootnoteText"/>
        <w:tabs>
          <w:tab w:val="clear" w:pos="720"/>
        </w:tabs>
        <w:spacing w:after="0" w:line="240" w:lineRule="auto"/>
        <w:ind w:left="284" w:hanging="284"/>
        <w:rPr>
          <w:lang w:val="en-GB"/>
        </w:rPr>
      </w:pPr>
      <w:r>
        <w:rPr>
          <w:rStyle w:val="Ohne"/>
          <w:vertAlign w:val="superscript"/>
        </w:rPr>
        <w:footnoteRef/>
      </w:r>
      <w:r>
        <w:tab/>
      </w:r>
      <w:hyperlink r:id="rId17">
        <w:r>
          <w:rPr>
            <w:rStyle w:val="Hyperlink"/>
            <w:u w:color="0000FF"/>
          </w:rPr>
          <w:t>http://www.youthgoals.eu/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4F8"/>
    <w:multiLevelType w:val="hybridMultilevel"/>
    <w:tmpl w:val="D1A2BD88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842F1"/>
    <w:multiLevelType w:val="hybridMultilevel"/>
    <w:tmpl w:val="954292FC"/>
    <w:lvl w:ilvl="0" w:tplc="E6803BE4">
      <w:start w:val="1"/>
      <w:numFmt w:val="bullet"/>
      <w:lvlText w:val="-"/>
      <w:lvlJc w:val="left"/>
      <w:pPr>
        <w:ind w:left="43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1DCB36CD"/>
    <w:multiLevelType w:val="hybridMultilevel"/>
    <w:tmpl w:val="2C145092"/>
    <w:lvl w:ilvl="0" w:tplc="484267DC">
      <w:start w:val="1"/>
      <w:numFmt w:val="bullet"/>
      <w:lvlText w:val="-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2FCF8">
      <w:start w:val="1"/>
      <w:numFmt w:val="bullet"/>
      <w:lvlText w:val="o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663CE">
      <w:start w:val="1"/>
      <w:numFmt w:val="bullet"/>
      <w:lvlText w:val="▪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4ED34">
      <w:start w:val="1"/>
      <w:numFmt w:val="bullet"/>
      <w:lvlText w:val="•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C324C">
      <w:start w:val="1"/>
      <w:numFmt w:val="bullet"/>
      <w:lvlText w:val="o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CC712">
      <w:start w:val="1"/>
      <w:numFmt w:val="bullet"/>
      <w:lvlText w:val="▪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63098">
      <w:start w:val="1"/>
      <w:numFmt w:val="bullet"/>
      <w:lvlText w:val="•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C61CA">
      <w:start w:val="1"/>
      <w:numFmt w:val="bullet"/>
      <w:lvlText w:val="o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6D834">
      <w:start w:val="1"/>
      <w:numFmt w:val="bullet"/>
      <w:lvlText w:val="▪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A7F77C8"/>
    <w:multiLevelType w:val="hybridMultilevel"/>
    <w:tmpl w:val="10A878C4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6B52CA"/>
    <w:multiLevelType w:val="hybridMultilevel"/>
    <w:tmpl w:val="46DE113E"/>
    <w:numStyleLink w:val="WWNum19"/>
  </w:abstractNum>
  <w:abstractNum w:abstractNumId="5">
    <w:nsid w:val="2CC943DB"/>
    <w:multiLevelType w:val="hybridMultilevel"/>
    <w:tmpl w:val="FAAE9F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464333"/>
    <w:multiLevelType w:val="hybridMultilevel"/>
    <w:tmpl w:val="9FD2CABE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C67926"/>
    <w:multiLevelType w:val="hybridMultilevel"/>
    <w:tmpl w:val="EB141678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511C13"/>
    <w:multiLevelType w:val="hybridMultilevel"/>
    <w:tmpl w:val="57828AAA"/>
    <w:lvl w:ilvl="0" w:tplc="E6803B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16202"/>
    <w:multiLevelType w:val="hybridMultilevel"/>
    <w:tmpl w:val="2DA0DB3A"/>
    <w:lvl w:ilvl="0" w:tplc="E6803BE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DD66CBA"/>
    <w:multiLevelType w:val="multilevel"/>
    <w:tmpl w:val="3A706B36"/>
    <w:lvl w:ilvl="0">
      <w:start w:val="4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03861F0"/>
    <w:multiLevelType w:val="hybridMultilevel"/>
    <w:tmpl w:val="13C2728C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557ED3"/>
    <w:multiLevelType w:val="hybridMultilevel"/>
    <w:tmpl w:val="80BE8EFC"/>
    <w:lvl w:ilvl="0" w:tplc="DABE513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6B9E4">
      <w:start w:val="1"/>
      <w:numFmt w:val="bullet"/>
      <w:lvlText w:val="o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046E">
      <w:start w:val="1"/>
      <w:numFmt w:val="bullet"/>
      <w:lvlText w:val="▪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E7948">
      <w:start w:val="1"/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466D4">
      <w:start w:val="1"/>
      <w:numFmt w:val="bullet"/>
      <w:lvlText w:val="o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250A6">
      <w:start w:val="1"/>
      <w:numFmt w:val="bullet"/>
      <w:lvlText w:val="▪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4C336">
      <w:start w:val="1"/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A2EDC">
      <w:start w:val="1"/>
      <w:numFmt w:val="bullet"/>
      <w:lvlText w:val="o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4297C">
      <w:start w:val="1"/>
      <w:numFmt w:val="bullet"/>
      <w:lvlText w:val="▪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CE00322"/>
    <w:multiLevelType w:val="hybridMultilevel"/>
    <w:tmpl w:val="AE6605FA"/>
    <w:lvl w:ilvl="0" w:tplc="08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A7CB7"/>
    <w:multiLevelType w:val="hybridMultilevel"/>
    <w:tmpl w:val="BCC435A4"/>
    <w:lvl w:ilvl="0" w:tplc="5CA46784">
      <w:start w:val="1"/>
      <w:numFmt w:val="bullet"/>
      <w:lvlText w:val="-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E6436">
      <w:start w:val="1"/>
      <w:numFmt w:val="bullet"/>
      <w:lvlText w:val="o"/>
      <w:lvlJc w:val="left"/>
      <w:pPr>
        <w:ind w:left="136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2A240">
      <w:start w:val="1"/>
      <w:numFmt w:val="bullet"/>
      <w:lvlText w:val="▪"/>
      <w:lvlJc w:val="left"/>
      <w:pPr>
        <w:ind w:left="208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65AE">
      <w:start w:val="1"/>
      <w:numFmt w:val="bullet"/>
      <w:lvlText w:val="•"/>
      <w:lvlJc w:val="left"/>
      <w:pPr>
        <w:ind w:left="280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0F94E">
      <w:start w:val="1"/>
      <w:numFmt w:val="bullet"/>
      <w:lvlText w:val="o"/>
      <w:lvlJc w:val="left"/>
      <w:pPr>
        <w:ind w:left="352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E6790">
      <w:start w:val="1"/>
      <w:numFmt w:val="bullet"/>
      <w:lvlText w:val="▪"/>
      <w:lvlJc w:val="left"/>
      <w:pPr>
        <w:ind w:left="42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E7726">
      <w:start w:val="1"/>
      <w:numFmt w:val="bullet"/>
      <w:lvlText w:val="•"/>
      <w:lvlJc w:val="left"/>
      <w:pPr>
        <w:ind w:left="496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4BBA8">
      <w:start w:val="1"/>
      <w:numFmt w:val="bullet"/>
      <w:lvlText w:val="o"/>
      <w:lvlJc w:val="left"/>
      <w:pPr>
        <w:ind w:left="568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EB15C">
      <w:start w:val="1"/>
      <w:numFmt w:val="bullet"/>
      <w:lvlText w:val="▪"/>
      <w:lvlJc w:val="left"/>
      <w:pPr>
        <w:ind w:left="640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909046F"/>
    <w:multiLevelType w:val="hybridMultilevel"/>
    <w:tmpl w:val="B178C046"/>
    <w:lvl w:ilvl="0" w:tplc="08090001">
      <w:start w:val="1"/>
      <w:numFmt w:val="bullet"/>
      <w:lvlText w:val=""/>
      <w:lvlJc w:val="left"/>
      <w:pPr>
        <w:tabs>
          <w:tab w:val="left" w:pos="28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6C432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EC5AC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D0F1E8">
      <w:start w:val="1"/>
      <w:numFmt w:val="bullet"/>
      <w:lvlText w:val="•"/>
      <w:lvlJc w:val="left"/>
      <w:pPr>
        <w:tabs>
          <w:tab w:val="left" w:pos="284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4438E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8EECA6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C6E30">
      <w:start w:val="1"/>
      <w:numFmt w:val="bullet"/>
      <w:lvlText w:val="•"/>
      <w:lvlJc w:val="left"/>
      <w:pPr>
        <w:tabs>
          <w:tab w:val="left" w:pos="284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64E2E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96C232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3B72C25"/>
    <w:multiLevelType w:val="hybridMultilevel"/>
    <w:tmpl w:val="9EFE03E4"/>
    <w:lvl w:ilvl="0" w:tplc="E6803B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A1844"/>
    <w:multiLevelType w:val="hybridMultilevel"/>
    <w:tmpl w:val="243EB1B0"/>
    <w:lvl w:ilvl="0" w:tplc="E6803B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26E90"/>
    <w:multiLevelType w:val="hybridMultilevel"/>
    <w:tmpl w:val="9B0CB5DE"/>
    <w:lvl w:ilvl="0" w:tplc="9D4603AA">
      <w:start w:val="1"/>
      <w:numFmt w:val="bullet"/>
      <w:lvlText w:val="-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888E4">
      <w:start w:val="1"/>
      <w:numFmt w:val="bullet"/>
      <w:lvlText w:val="o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8CE9E">
      <w:start w:val="1"/>
      <w:numFmt w:val="bullet"/>
      <w:lvlText w:val="▪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8DDCE">
      <w:start w:val="1"/>
      <w:numFmt w:val="bullet"/>
      <w:lvlText w:val="•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2E3DB2">
      <w:start w:val="1"/>
      <w:numFmt w:val="bullet"/>
      <w:lvlText w:val="o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0BC28">
      <w:start w:val="1"/>
      <w:numFmt w:val="bullet"/>
      <w:lvlText w:val="▪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EB85A">
      <w:start w:val="1"/>
      <w:numFmt w:val="bullet"/>
      <w:lvlText w:val="•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0440">
      <w:start w:val="1"/>
      <w:numFmt w:val="bullet"/>
      <w:lvlText w:val="o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0E3C6">
      <w:start w:val="1"/>
      <w:numFmt w:val="bullet"/>
      <w:lvlText w:val="▪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B613619"/>
    <w:multiLevelType w:val="hybridMultilevel"/>
    <w:tmpl w:val="4650E6B0"/>
    <w:lvl w:ilvl="0" w:tplc="E6803B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C1AE0"/>
    <w:multiLevelType w:val="hybridMultilevel"/>
    <w:tmpl w:val="9496CA62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E07302"/>
    <w:multiLevelType w:val="hybridMultilevel"/>
    <w:tmpl w:val="CB2E301A"/>
    <w:lvl w:ilvl="0" w:tplc="E6803B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81246D"/>
    <w:multiLevelType w:val="hybridMultilevel"/>
    <w:tmpl w:val="46DE113E"/>
    <w:styleLink w:val="WWNum19"/>
    <w:lvl w:ilvl="0" w:tplc="DE2AB26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8BBA0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24F3F2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58F762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65B6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0735E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29D06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E5C5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229C3C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8"/>
  </w:num>
  <w:num w:numId="5">
    <w:abstractNumId w:val="14"/>
  </w:num>
  <w:num w:numId="6">
    <w:abstractNumId w:val="12"/>
    <w:lvlOverride w:ilvl="0">
      <w:lvl w:ilvl="0" w:tplc="DABE5134">
        <w:start w:val="1"/>
        <w:numFmt w:val="bullet"/>
        <w:lvlText w:val="-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D6B9E4">
        <w:start w:val="1"/>
        <w:numFmt w:val="bullet"/>
        <w:lvlText w:val="o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06046E">
        <w:start w:val="1"/>
        <w:numFmt w:val="bullet"/>
        <w:lvlText w:val="▪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9E7948">
        <w:start w:val="1"/>
        <w:numFmt w:val="bullet"/>
        <w:lvlText w:val="•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7466D4">
        <w:start w:val="1"/>
        <w:numFmt w:val="bullet"/>
        <w:lvlText w:val="o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E250A6">
        <w:start w:val="1"/>
        <w:numFmt w:val="bullet"/>
        <w:lvlText w:val="▪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C336">
        <w:start w:val="1"/>
        <w:numFmt w:val="bullet"/>
        <w:lvlText w:val="•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7A2EDC">
        <w:start w:val="1"/>
        <w:numFmt w:val="bullet"/>
        <w:lvlText w:val="o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64297C">
        <w:start w:val="1"/>
        <w:numFmt w:val="bullet"/>
        <w:lvlText w:val="▪"/>
        <w:lvlJc w:val="left"/>
        <w:pPr>
          <w:ind w:left="641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21"/>
  </w:num>
  <w:num w:numId="14">
    <w:abstractNumId w:val="20"/>
  </w:num>
  <w:num w:numId="15">
    <w:abstractNumId w:val="0"/>
  </w:num>
  <w:num w:numId="16">
    <w:abstractNumId w:val="13"/>
  </w:num>
  <w:num w:numId="17">
    <w:abstractNumId w:val="12"/>
  </w:num>
  <w:num w:numId="18">
    <w:abstractNumId w:val="3"/>
  </w:num>
  <w:num w:numId="19">
    <w:abstractNumId w:val="17"/>
  </w:num>
  <w:num w:numId="20">
    <w:abstractNumId w:val="9"/>
  </w:num>
  <w:num w:numId="21">
    <w:abstractNumId w:val="16"/>
  </w:num>
  <w:num w:numId="22">
    <w:abstractNumId w:val="8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32E47B1-3C92-4170-A4E2-02BB5C13A33B"/>
    <w:docVar w:name="LW_COVERPAGE_TYPE" w:val="1"/>
    <w:docVar w:name="LW_CROSSREFERENCE" w:val="{SWD(2018) 168 final}_x000b_{SWD(2018) 169 final}"/>
    <w:docVar w:name="LW_DocType" w:val="NORMAL"/>
    <w:docVar w:name="LW_EMISSION" w:val="22.5.2018"/>
    <w:docVar w:name="LW_EMISSION_ISODATE" w:val="2018-05-22"/>
    <w:docVar w:name="LW_EMISSION_LOCATION" w:val="BRX"/>
    <w:docVar w:name="LW_EMISSION_PREFIX" w:val="Брюксел, "/>
    <w:docVar w:name="LW_EMISSION_SUFFIX" w:val="\u1075?."/>
    <w:docVar w:name="LW_ID_DOCTYPE_NONLW" w:val="CP-00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2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FMT:Italic&gt;\u1040?\u1085?\u1075?\u1072?\u1078?\u1080?\u1088?\u1072?\u1085?\u1077?, \u1089?\u1074?\u1098?\u1088?\u1079?\u1074?\u1072?\u1085?\u1077? \u1080? \u1086?\u1074?\u1083?\u1072?\u1089?\u1090?\u1103?\u1074?\u1072?\u1085?\u1077? \u1085?\u1072? \u1084?\u1083?\u1072?\u1076?\u1080?\u1090?\u1077? \u1093?\u1086?\u1088?\u1072?: \u1085?\u1086?\u1074?\u1072? \u1089?\u1090?\u1088?\u1072?\u1090?\u1077?\u1075?\u1080?\u1103? \u1085?\u1072? \u1045?\u1057? \u1079?\u1072? \u1084?\u1083?\u1072?\u1076?\u1077?\u1078?\u1090?\u1072? _x000b_&lt;/FMT&gt;"/>
    <w:docVar w:name="LW_TYPE.DOC.CP" w:val="\u1057?\u1066?\u1054?\u1041?\u1065?\u1045?\u1053?\u1048?\u1045? \u1053?\u1040? \u1050?\u1054?\u1052?\u1048?\u1057?\u1048?\u1071?\u1058?\u1040?"/>
    <w:docVar w:name="LW_TYPE.DOC.CP.USERTEXT" w:val="\u1044?\u1054? \u1045?\u1042?\u1056?\u1054?\u1055?\u1045?\u1049?\u1057?\u1050?\u1048?\u1071? \u1055?\u1040?\u1056?\u1051?\u1040?\u1052?\u1045?\u1053?\u1058?, \u1045?\u1042?\u1056?\u1054?\u1055?\u1045?\u1049?\u1057?\u1050?\u1048?\u1071? \u1057?\u1066?\u1042?\u1045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szCs w:val="24"/>
    </w:rPr>
  </w:style>
  <w:style w:type="paragraph" w:customStyle="1" w:styleId="Standard">
    <w:name w:val="Standard"/>
    <w:link w:val="StandardChar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0" w:line="100" w:lineRule="atLeast"/>
    </w:pPr>
    <w:rPr>
      <w:rFonts w:ascii="Verdana" w:eastAsia="Verdana" w:hAnsi="Verdana" w:cs="Verdana"/>
      <w:color w:val="000000"/>
      <w:kern w:val="3"/>
      <w:sz w:val="24"/>
      <w:szCs w:val="24"/>
      <w:u w:color="000000"/>
      <w:bdr w:val="nil"/>
    </w:rPr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28" w:after="100" w:line="240" w:lineRule="auto"/>
    </w:pPr>
    <w:rPr>
      <w:rFonts w:ascii="Times" w:eastAsia="Arial Unicode MS" w:hAnsi="Times" w:cs="Arial Unicode MS"/>
      <w:color w:val="000000"/>
      <w:kern w:val="3"/>
      <w:sz w:val="20"/>
      <w:szCs w:val="20"/>
      <w:u w:color="000000"/>
      <w:bdr w:val="nil"/>
    </w:rPr>
  </w:style>
  <w:style w:type="paragraph" w:styleId="FootnoteText">
    <w:name w:val="footnote text"/>
    <w:link w:val="FootnoteTextChar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240" w:line="100" w:lineRule="atLeast"/>
      <w:ind w:left="357" w:hanging="357"/>
      <w:jc w:val="both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val="bg-BG" w:eastAsia="bg-BG" w:bidi="bg-BG"/>
    </w:rPr>
  </w:style>
  <w:style w:type="character" w:customStyle="1" w:styleId="Hyperlink2">
    <w:name w:val="Hyperlink.2"/>
    <w:rPr>
      <w:lang w:val="bg-BG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FF"/>
      <w:u w:val="single" w:color="0000FF"/>
      <w:lang w:val="bg-BG"/>
    </w:rPr>
  </w:style>
  <w:style w:type="paragraph" w:customStyle="1" w:styleId="Default">
    <w:name w:val="Default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</w:rPr>
  </w:style>
  <w:style w:type="character" w:customStyle="1" w:styleId="Hyperlink1">
    <w:name w:val="Hyperlink.1"/>
    <w:rPr>
      <w:lang w:val="bg-BG"/>
    </w:rPr>
  </w:style>
  <w:style w:type="numbering" w:customStyle="1" w:styleId="WWNum19">
    <w:name w:val="WWNum19"/>
    <w:pPr>
      <w:numPr>
        <w:numId w:val="1"/>
      </w:numPr>
    </w:pPr>
  </w:style>
  <w:style w:type="character" w:customStyle="1" w:styleId="StandardChar">
    <w:name w:val="Standard Char"/>
    <w:basedOn w:val="DefaultParagraphFont"/>
    <w:link w:val="Standard"/>
    <w:rPr>
      <w:rFonts w:ascii="Verdana" w:eastAsia="Verdana" w:hAnsi="Verdana" w:cs="Verdana"/>
      <w:color w:val="000000"/>
      <w:kern w:val="3"/>
      <w:sz w:val="24"/>
      <w:szCs w:val="24"/>
      <w:u w:color="000000"/>
      <w:bdr w:val="nil"/>
      <w:lang w:val="bg-BG" w:eastAsia="bg-BG" w:bidi="bg-BG"/>
    </w:rPr>
  </w:style>
  <w:style w:type="character" w:styleId="Hyperlink">
    <w:name w:val="Hyperlink"/>
    <w:rPr>
      <w:u w:val="single"/>
    </w:rPr>
  </w:style>
  <w:style w:type="paragraph" w:styleId="ListParagraph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line="100" w:lineRule="atLeast"/>
      <w:ind w:left="720"/>
    </w:pPr>
    <w:rPr>
      <w:rFonts w:ascii="Verdana" w:eastAsia="Arial Unicode MS" w:hAnsi="Verdana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TextA">
    <w:name w:val="Text 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</w:rPr>
  </w:style>
  <w:style w:type="paragraph" w:styleId="CommentText">
    <w:name w:val="annotation text"/>
    <w:link w:val="CommentTextChar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0" w:line="100" w:lineRule="atLeast"/>
    </w:pPr>
    <w:rPr>
      <w:rFonts w:ascii="Verdana" w:eastAsia="Arial Unicode MS" w:hAnsi="Verdana" w:cs="Arial Unicode MS"/>
      <w:color w:val="000000"/>
      <w:kern w:val="3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Pr>
      <w:rFonts w:ascii="Verdana" w:eastAsia="Arial Unicode MS" w:hAnsi="Verdana" w:cs="Arial Unicode MS"/>
      <w:color w:val="000000"/>
      <w:kern w:val="3"/>
      <w:sz w:val="20"/>
      <w:szCs w:val="20"/>
      <w:u w:color="000000"/>
      <w:bdr w:val="nil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Text1">
    <w:name w:val="Text 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85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szCs w:val="24"/>
    </w:rPr>
  </w:style>
  <w:style w:type="paragraph" w:customStyle="1" w:styleId="Standard">
    <w:name w:val="Standard"/>
    <w:link w:val="StandardChar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0" w:line="100" w:lineRule="atLeast"/>
    </w:pPr>
    <w:rPr>
      <w:rFonts w:ascii="Verdana" w:eastAsia="Verdana" w:hAnsi="Verdana" w:cs="Verdana"/>
      <w:color w:val="000000"/>
      <w:kern w:val="3"/>
      <w:sz w:val="24"/>
      <w:szCs w:val="24"/>
      <w:u w:color="000000"/>
      <w:bdr w:val="nil"/>
    </w:rPr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28" w:after="100" w:line="240" w:lineRule="auto"/>
    </w:pPr>
    <w:rPr>
      <w:rFonts w:ascii="Times" w:eastAsia="Arial Unicode MS" w:hAnsi="Times" w:cs="Arial Unicode MS"/>
      <w:color w:val="000000"/>
      <w:kern w:val="3"/>
      <w:sz w:val="20"/>
      <w:szCs w:val="20"/>
      <w:u w:color="000000"/>
      <w:bdr w:val="nil"/>
    </w:rPr>
  </w:style>
  <w:style w:type="paragraph" w:styleId="FootnoteText">
    <w:name w:val="footnote text"/>
    <w:link w:val="FootnoteTextChar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240" w:line="100" w:lineRule="atLeast"/>
      <w:ind w:left="357" w:hanging="357"/>
      <w:jc w:val="both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val="bg-BG" w:eastAsia="bg-BG" w:bidi="bg-BG"/>
    </w:rPr>
  </w:style>
  <w:style w:type="character" w:customStyle="1" w:styleId="Hyperlink2">
    <w:name w:val="Hyperlink.2"/>
    <w:rPr>
      <w:lang w:val="bg-BG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000FF"/>
      <w:u w:val="single" w:color="0000FF"/>
      <w:lang w:val="bg-BG"/>
    </w:rPr>
  </w:style>
  <w:style w:type="paragraph" w:customStyle="1" w:styleId="Default">
    <w:name w:val="Default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</w:rPr>
  </w:style>
  <w:style w:type="character" w:customStyle="1" w:styleId="Hyperlink1">
    <w:name w:val="Hyperlink.1"/>
    <w:rPr>
      <w:lang w:val="bg-BG"/>
    </w:rPr>
  </w:style>
  <w:style w:type="numbering" w:customStyle="1" w:styleId="WWNum19">
    <w:name w:val="WWNum19"/>
    <w:pPr>
      <w:numPr>
        <w:numId w:val="1"/>
      </w:numPr>
    </w:pPr>
  </w:style>
  <w:style w:type="character" w:customStyle="1" w:styleId="StandardChar">
    <w:name w:val="Standard Char"/>
    <w:basedOn w:val="DefaultParagraphFont"/>
    <w:link w:val="Standard"/>
    <w:rPr>
      <w:rFonts w:ascii="Verdana" w:eastAsia="Verdana" w:hAnsi="Verdana" w:cs="Verdana"/>
      <w:color w:val="000000"/>
      <w:kern w:val="3"/>
      <w:sz w:val="24"/>
      <w:szCs w:val="24"/>
      <w:u w:color="000000"/>
      <w:bdr w:val="nil"/>
      <w:lang w:val="bg-BG" w:eastAsia="bg-BG" w:bidi="bg-BG"/>
    </w:rPr>
  </w:style>
  <w:style w:type="character" w:styleId="Hyperlink">
    <w:name w:val="Hyperlink"/>
    <w:rPr>
      <w:u w:val="single"/>
    </w:rPr>
  </w:style>
  <w:style w:type="paragraph" w:styleId="ListParagraph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line="100" w:lineRule="atLeast"/>
      <w:ind w:left="720"/>
    </w:pPr>
    <w:rPr>
      <w:rFonts w:ascii="Verdana" w:eastAsia="Arial Unicode MS" w:hAnsi="Verdana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TextA">
    <w:name w:val="Text 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</w:rPr>
  </w:style>
  <w:style w:type="paragraph" w:styleId="CommentText">
    <w:name w:val="annotation text"/>
    <w:link w:val="CommentTextChar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after="0" w:line="100" w:lineRule="atLeast"/>
    </w:pPr>
    <w:rPr>
      <w:rFonts w:ascii="Verdana" w:eastAsia="Arial Unicode MS" w:hAnsi="Verdana" w:cs="Arial Unicode MS"/>
      <w:color w:val="000000"/>
      <w:kern w:val="3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Pr>
      <w:rFonts w:ascii="Verdana" w:eastAsia="Arial Unicode MS" w:hAnsi="Verdana" w:cs="Arial Unicode MS"/>
      <w:color w:val="000000"/>
      <w:kern w:val="3"/>
      <w:sz w:val="20"/>
      <w:szCs w:val="20"/>
      <w:u w:color="000000"/>
      <w:bdr w:val="nil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Text1">
    <w:name w:val="Text 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85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assets/eac/youth/library/reports/inclusion-diversity-strategy_en.pdf" TargetMode="External"/><Relationship Id="rId13" Type="http://schemas.openxmlformats.org/officeDocument/2006/relationships/hyperlink" Target="https://blogs.ec.europa.eu/eupolicylab/" TargetMode="External"/><Relationship Id="rId3" Type="http://schemas.openxmlformats.org/officeDocument/2006/relationships/hyperlink" Target="https://ec.europa.eu/commission/news/towards-european-education-area-2025-2017-nov-14_bg" TargetMode="External"/><Relationship Id="rId7" Type="http://schemas.openxmlformats.org/officeDocument/2006/relationships/hyperlink" Target="http://europa.eu/rapid/press-release_IP-17-118_bg.htm." TargetMode="External"/><Relationship Id="rId12" Type="http://schemas.openxmlformats.org/officeDocument/2006/relationships/hyperlink" Target="http://ec.europa.eu/assets/eac/youth/library/reports/contribution-youth-work-summary_en.pdf" TargetMode="External"/><Relationship Id="rId17" Type="http://schemas.openxmlformats.org/officeDocument/2006/relationships/hyperlink" Target="http://www.youthgoals.eu/" TargetMode="External"/><Relationship Id="rId2" Type="http://schemas.openxmlformats.org/officeDocument/2006/relationships/hyperlink" Target="https://www.consilium.europa.eu/media/21229/160916-bratislava-declaration-and-roadmap-bg.pdf" TargetMode="External"/><Relationship Id="rId16" Type="http://schemas.openxmlformats.org/officeDocument/2006/relationships/hyperlink" Target="https://eacea.ec.europa.eu/national-policies/en/youthwiki" TargetMode="External"/><Relationship Id="rId1" Type="http://schemas.openxmlformats.org/officeDocument/2006/relationships/hyperlink" Target="https://www.eurofound.europa.eu/topic/NEETs" TargetMode="External"/><Relationship Id="rId6" Type="http://schemas.openxmlformats.org/officeDocument/2006/relationships/hyperlink" Target="http://europa.eu/rapid/press-release_IP-17-118_bg.htm" TargetMode="External"/><Relationship Id="rId11" Type="http://schemas.openxmlformats.org/officeDocument/2006/relationships/hyperlink" Target="https://eacea.ec.europa.eu/erasmus-plus/funding/european-youth-together-eacea162018_en" TargetMode="External"/><Relationship Id="rId5" Type="http://schemas.openxmlformats.org/officeDocument/2006/relationships/hyperlink" Target="http://europa.eu/youth/have-your-say/new-narrative-for-europe_bg" TargetMode="External"/><Relationship Id="rId15" Type="http://schemas.openxmlformats.org/officeDocument/2006/relationships/hyperlink" Target="https://ec.europa.eu/sport/news/20170922-ewos-navracsics-health-call-tartu_fr" TargetMode="External"/><Relationship Id="rId10" Type="http://schemas.openxmlformats.org/officeDocument/2006/relationships/hyperlink" Target="http://www.researchyouth.net/documents/ray_policybrief_2014.pdf" TargetMode="External"/><Relationship Id="rId4" Type="http://schemas.openxmlformats.org/officeDocument/2006/relationships/hyperlink" Target="http://ec.europa.eu/eurostat/web/youth/data/database" TargetMode="External"/><Relationship Id="rId9" Type="http://schemas.openxmlformats.org/officeDocument/2006/relationships/hyperlink" Target="https://europa.eu/youth/erasmusvirtual_bg" TargetMode="External"/><Relationship Id="rId14" Type="http://schemas.openxmlformats.org/officeDocument/2006/relationships/hyperlink" Target="http://ec.europa.eu/social/main.jsp?catId=1147&amp;langId=b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72E2-26FE-461B-906A-559C9CCD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4625</Words>
  <Characters>26876</Characters>
  <Application>Microsoft Office Word</Application>
  <DocSecurity>0</DocSecurity>
  <Lines>463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26</cp:revision>
  <dcterms:created xsi:type="dcterms:W3CDTF">2018-05-16T08:15:00Z</dcterms:created>
  <dcterms:modified xsi:type="dcterms:W3CDTF">2018-05-28T08:53:00Z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