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D4" w:rsidRDefault="004B3541">
      <w:pPr>
        <w:pStyle w:val="Pagedecouverture"/>
        <w:rPr>
          <w:noProof/>
          <w:highlight w:val="yellow"/>
        </w:rPr>
      </w:pPr>
      <w:r w:rsidRPr="004B354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3DFBE1B-38CE-4219-9428-DEDF20ED08C6" style="width:451.5pt;height:366pt">
            <v:imagedata r:id="rId9" o:title=""/>
          </v:shape>
        </w:pict>
      </w:r>
    </w:p>
    <w:p w:rsidR="007812D4" w:rsidRDefault="007812D4">
      <w:pPr>
        <w:rPr>
          <w:noProof/>
          <w:highlight w:val="yellow"/>
        </w:rPr>
        <w:sectPr w:rsidR="007812D4"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7812D4" w:rsidRDefault="007812D4">
      <w:pPr>
        <w:pStyle w:val="Exposdesmotifstitre"/>
        <w:rPr>
          <w:noProof/>
        </w:rPr>
      </w:pPr>
    </w:p>
    <w:p w:rsidR="007812D4" w:rsidRDefault="007812D4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</w:p>
    <w:p w:rsidR="007812D4" w:rsidRDefault="004B3541">
      <w:pPr>
        <w:pStyle w:val="Statut"/>
        <w:rPr>
          <w:noProof/>
        </w:rPr>
      </w:pPr>
      <w:r>
        <w:rPr>
          <w:noProof/>
        </w:rPr>
        <w:t>Препоръка за</w:t>
      </w:r>
    </w:p>
    <w:p w:rsidR="007812D4" w:rsidRDefault="004B3541">
      <w:pPr>
        <w:pStyle w:val="Typedudocument"/>
        <w:rPr>
          <w:noProof/>
        </w:rPr>
      </w:pPr>
      <w:r>
        <w:rPr>
          <w:noProof/>
        </w:rPr>
        <w:t>ПРЕПОРЪКА НА СЪВЕТА</w:t>
      </w:r>
    </w:p>
    <w:p w:rsidR="007812D4" w:rsidRDefault="004B3541">
      <w:pPr>
        <w:pStyle w:val="Titreobjet"/>
        <w:rPr>
          <w:noProof/>
        </w:rPr>
      </w:pPr>
      <w:r>
        <w:rPr>
          <w:noProof/>
        </w:rPr>
        <w:t xml:space="preserve">с оглед да се отстрани наблюдаваното значително отклонение от плана за корекции за постигане на средносрочната бюджетна цел </w:t>
      </w:r>
      <w:r>
        <w:rPr>
          <w:noProof/>
        </w:rPr>
        <w:br/>
      </w:r>
      <w:r>
        <w:rPr>
          <w:noProof/>
        </w:rPr>
        <w:br/>
        <w:t>в Румъния</w:t>
      </w:r>
    </w:p>
    <w:p w:rsidR="007812D4" w:rsidRDefault="004B3541"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 w:rsidR="007812D4" w:rsidRDefault="004B3541">
      <w:pPr>
        <w:rPr>
          <w:noProof/>
        </w:rPr>
      </w:pPr>
      <w:r>
        <w:rPr>
          <w:noProof/>
        </w:rPr>
        <w:t xml:space="preserve">като взе предвид Договора за функционирането на Европейския съюз, и по-специално член 121, </w:t>
      </w:r>
      <w:r>
        <w:rPr>
          <w:noProof/>
        </w:rPr>
        <w:t>параграф 4 от него,</w:t>
      </w:r>
    </w:p>
    <w:p w:rsidR="007812D4" w:rsidRDefault="004B3541">
      <w:pPr>
        <w:rPr>
          <w:noProof/>
        </w:rPr>
      </w:pPr>
      <w:r>
        <w:rPr>
          <w:noProof/>
        </w:rPr>
        <w:t>като взе предвид Регламе</w:t>
      </w:r>
      <w:bookmarkStart w:id="0" w:name="_GoBack"/>
      <w:bookmarkEnd w:id="0"/>
      <w:r>
        <w:rPr>
          <w:noProof/>
        </w:rPr>
        <w:t>нт (ЕО) № 1466/97 на Съвета от 7 юли 1997 г. за засилване на надзора върху състоянието на бюджета и на надзора и координацията на икономическите политики</w:t>
      </w:r>
      <w:r>
        <w:rPr>
          <w:rStyle w:val="FootnoteReference"/>
          <w:noProof/>
        </w:rPr>
        <w:footnoteReference w:id="1"/>
      </w:r>
      <w:r>
        <w:rPr>
          <w:noProof/>
        </w:rPr>
        <w:t>, и по-специално член 10, параграф 2, втора алинея от него</w:t>
      </w:r>
      <w:r>
        <w:rPr>
          <w:noProof/>
        </w:rPr>
        <w:t>,</w:t>
      </w:r>
    </w:p>
    <w:p w:rsidR="007812D4" w:rsidRDefault="004B3541">
      <w:pPr>
        <w:tabs>
          <w:tab w:val="num" w:pos="709"/>
        </w:tabs>
        <w:rPr>
          <w:noProof/>
        </w:rPr>
      </w:pPr>
      <w:r>
        <w:rPr>
          <w:noProof/>
        </w:rPr>
        <w:t>като взе предвид препоръката на Комисията,</w:t>
      </w:r>
    </w:p>
    <w:p w:rsidR="007812D4" w:rsidRDefault="004B3541">
      <w:pPr>
        <w:tabs>
          <w:tab w:val="num" w:pos="709"/>
        </w:tabs>
        <w:rPr>
          <w:noProof/>
        </w:rPr>
      </w:pPr>
      <w:r>
        <w:rPr>
          <w:noProof/>
        </w:rPr>
        <w:t>като има предвид, че:</w:t>
      </w:r>
    </w:p>
    <w:p w:rsidR="007812D4" w:rsidRDefault="004B3541"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Съгласно член 121 от Договора за функционирането на Европейския съюз държавите членки трябва да насърчават стабилни публични финанси в средносрочен план чрез координиране на икономическ</w:t>
      </w:r>
      <w:r>
        <w:rPr>
          <w:noProof/>
        </w:rPr>
        <w:t>ите политики и многостранно наблюдение, за да се избегне възникването на прекомерен държавен дефицит.</w:t>
      </w:r>
    </w:p>
    <w:p w:rsidR="007812D4" w:rsidRDefault="004B3541"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Пактът за стабилност и растеж (ПСР) се основава на целта за осигуряване на стабилни публични финанси като средство за укрепване на предпоставките за ц</w:t>
      </w:r>
      <w:r>
        <w:rPr>
          <w:noProof/>
        </w:rPr>
        <w:t>енова стабилност и висок и устойчив растеж, водещ до създаване на трудова заетост.</w:t>
      </w:r>
    </w:p>
    <w:p w:rsidR="007812D4" w:rsidRDefault="004B3541"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На 16 юни 2017 г. Съветът препоръча на Румъния да предприеме необходимите мерки, за да гарантира, че номиналният темп на растеж на нетните първични държавни разходи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не </w:t>
      </w:r>
      <w:r>
        <w:rPr>
          <w:noProof/>
        </w:rPr>
        <w:t>надвишава 3,3 % през 2017 г., което съответства на годишна структурна корекция от 0,5 % от БВП, като по този начин страната застава на подходящ път на корекции за постигане на средносрочната бюджетна цел. На 5 декември 2017 г. Съветът заключи, че Румъния н</w:t>
      </w:r>
      <w:r>
        <w:rPr>
          <w:noProof/>
        </w:rPr>
        <w:t xml:space="preserve">е е предприела ефективни действия в отговор на препоръката на Съвета на 16 юни 2017 г. Въз основа на това на 5 декември 2017 г. Съветът издаде преразгледана препоръка за </w:t>
      </w:r>
      <w:r>
        <w:rPr>
          <w:noProof/>
        </w:rPr>
        <w:lastRenderedPageBreak/>
        <w:t>това Румъния да предприеме необходимите мерки, за да гарантира, че номиналният темп на</w:t>
      </w:r>
      <w:r>
        <w:rPr>
          <w:noProof/>
        </w:rPr>
        <w:t xml:space="preserve"> растеж на нетните първични държавни разходи не надвишава 3,3 % през 2018 г., което съответства на годишна корекция на структурното салдо в размер на 0,8 % от БВП.</w:t>
      </w:r>
    </w:p>
    <w:p w:rsidR="007812D4" w:rsidRDefault="004B3541"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Въз основа на прогнозата на Комисията от пролетта на 2018 г. и данните за резултатите от</w:t>
      </w:r>
      <w:r>
        <w:rPr>
          <w:noProof/>
        </w:rPr>
        <w:t xml:space="preserve"> 2017 г., потвърдени от Евростат, през 2017 г. ръстът на нетните първични държавни разходи бе доста над целевия показател за разходите, което показва значително отклонение с голяма разлика (отклонение от 3,3 % от БВП). Структурното салдо се влоши до -3,3 %</w:t>
      </w:r>
      <w:r>
        <w:rPr>
          <w:noProof/>
        </w:rPr>
        <w:t xml:space="preserve"> от БВП в сравнение с -2,1 % от БВП през 2016 г., което показва значително отклонение от препоръчаната структурна корекция с голяма разлика (отклонение от 1,7 % от БВП). Размерът на отклонението, посочено от структурното салдо, е неблагоприятно повлиян от </w:t>
      </w:r>
      <w:r>
        <w:rPr>
          <w:noProof/>
        </w:rPr>
        <w:t>по-висока прогноза за потенциалния ръст на БВП в сравнение със средносрочната средна стойност, залегнала в целевия показател за разходите, както и от спад на публичните инвестиции, които са изгладени в целевия показател за разходите. Независимо от тази раз</w:t>
      </w:r>
      <w:r>
        <w:rPr>
          <w:noProof/>
        </w:rPr>
        <w:t>лика, и двата показателя потвърждават наличието на значително отклонение от изискванията на предпазните мерки на Пакта за стабилност и растеж през 2017 г.</w:t>
      </w:r>
    </w:p>
    <w:p w:rsidR="007812D4" w:rsidRDefault="004B3541"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На 23 май 2018 г. след цялостна оценка Комисията счете, че в Румъния съществува наблюдавано значи</w:t>
      </w:r>
      <w:r>
        <w:rPr>
          <w:noProof/>
        </w:rPr>
        <w:t>телно отклонение от средносрочната бюджетна цел, и отправи предупреждение към Румъния в съответствие с член 121, параграф 4 от ДФЕС и член 10, параграф 2, първа алинея от Регламент (ЕО) № 1466/97.</w:t>
      </w:r>
    </w:p>
    <w:p w:rsidR="007812D4" w:rsidRDefault="004B3541"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В съответствие с член 10, параграф 2, втора алинея от Р</w:t>
      </w:r>
      <w:r>
        <w:rPr>
          <w:noProof/>
        </w:rPr>
        <w:t xml:space="preserve">егламент (ЕО) № 1466/97 в рамките на един месец от датата на приемане на предупреждението Съветът следва да отправи препоръка към съответната държава членка да предприеме необходимите мерки на политиката. Съгласно регламента в препоръката се определя срок </w:t>
      </w:r>
      <w:r>
        <w:rPr>
          <w:noProof/>
        </w:rPr>
        <w:t>от не повече от пет месеца за справяне с отклонението в държавата членка. На тази основа крайният срок [15 октомври 2018 г.], в който Румъния да се справи с отклонението, изглежда подходящ. В рамките на този срок Румъния следва да докладва относно действия</w:t>
      </w:r>
      <w:r>
        <w:rPr>
          <w:noProof/>
        </w:rPr>
        <w:t xml:space="preserve">та, предприети в отговор на настоящата препоръка. </w:t>
      </w:r>
    </w:p>
    <w:p w:rsidR="007812D4" w:rsidRDefault="004B3541"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Според прогнозите за разликата между фактическия и потенциалния БВП в прогнозата на Комисията от пролетта на 2017 г. Румъния ще остане в нормална икономическа ситуация през 2018 и 2019 г. Съотношението</w:t>
      </w:r>
      <w:r>
        <w:rPr>
          <w:noProof/>
        </w:rPr>
        <w:t xml:space="preserve"> на консолидирания държавен дълг към БВП на Румъния е под прага от 60 % от БВП. Поради това изискваното минимално структурно подобрение, предвидено в Регламент (ЕО) № 1466/97 и матрицата с изисквания, в което са отчетени преобладаващите икономически услови</w:t>
      </w:r>
      <w:r>
        <w:rPr>
          <w:noProof/>
        </w:rPr>
        <w:t xml:space="preserve">я и евентуални опасения във връзка с устойчивостта, възлиза на 0,5 % от БВП за 2018 и 2019 г. </w:t>
      </w:r>
    </w:p>
    <w:p w:rsidR="007812D4" w:rsidRDefault="004B3541"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>Структурният дефицит на Румъния нарасна с 2,1 % от БВП през 2016 г. и с 1,2 % от БВП през 2017 г. до 3,3 % от БВП през 2017 г. Допълнителните и упорити усили</w:t>
      </w:r>
      <w:r>
        <w:rPr>
          <w:noProof/>
        </w:rPr>
        <w:t>я, необходими за коригиране на натрупаните отклонения и за връщане на Румъния към подходящ път на корекции след отклоненията през 2016 г. и 2017 г., следва да допълват минималната изисквана корекция. Допълнителната корекция от 0,3 % от БВП изглежда целесъо</w:t>
      </w:r>
      <w:r>
        <w:rPr>
          <w:noProof/>
        </w:rPr>
        <w:t xml:space="preserve">бразна предвид мащаба на наблюдаваното значително отклонение от препоръчания план за корекция към </w:t>
      </w:r>
      <w:r>
        <w:rPr>
          <w:noProof/>
        </w:rPr>
        <w:lastRenderedPageBreak/>
        <w:t xml:space="preserve">средносрочната бюджетна цел и тя ще ускори корекцията в посока към постигането на средносрочната бюджетна цел. </w:t>
      </w:r>
    </w:p>
    <w:p w:rsidR="007812D4" w:rsidRDefault="004B3541">
      <w:pPr>
        <w:pStyle w:val="ManualConsidrant"/>
        <w:rPr>
          <w:noProof/>
        </w:rPr>
      </w:pPr>
      <w:r>
        <w:t>(9)</w:t>
      </w:r>
      <w:r>
        <w:tab/>
      </w:r>
      <w:r>
        <w:rPr>
          <w:noProof/>
        </w:rPr>
        <w:t>Изискваното подобрение на структурното сал</w:t>
      </w:r>
      <w:r>
        <w:rPr>
          <w:noProof/>
        </w:rPr>
        <w:t>до с 0,8 % от БВП през 2018 г. и 2019 г. е в съответствие с номиналния темп на растеж на нетните първични държавни разходи, ненадвишаващи 3,3 % през 2018 г. и 5,1 % през 2019 г.</w:t>
      </w:r>
    </w:p>
    <w:p w:rsidR="007812D4" w:rsidRDefault="004B3541">
      <w:pPr>
        <w:pStyle w:val="ManualConsidrant"/>
        <w:rPr>
          <w:noProof/>
        </w:rPr>
      </w:pPr>
      <w:r>
        <w:t>(10)</w:t>
      </w:r>
      <w:r>
        <w:tab/>
      </w:r>
      <w:r>
        <w:rPr>
          <w:noProof/>
        </w:rPr>
        <w:t>Според прогнозата на Комисията от пролетта на 2018 г. се очаква допълните</w:t>
      </w:r>
      <w:r>
        <w:rPr>
          <w:noProof/>
        </w:rPr>
        <w:t xml:space="preserve">лно влошаване на структурното салдо с 0,5 % от БВП през 2018 г. и с още 0,4 % от БВП през 2019 г. Поради това структурно подобрение от 0,8 % от БВП през 2018 г. и 2019 г. съответства на необходимостта да се приемат мерки с общ структурен резултат от 1,3 % </w:t>
      </w:r>
      <w:r>
        <w:rPr>
          <w:noProof/>
        </w:rPr>
        <w:t>от БВП през 2018 г. и допълнителни мерки със структурен резултат от 1,2 % през 2019 г. в сравнение с настоящия основен сценарий съгласно прогнозата на Комисията от пролетта на 2018 г.</w:t>
      </w:r>
    </w:p>
    <w:p w:rsidR="007812D4" w:rsidRDefault="004B3541">
      <w:pPr>
        <w:pStyle w:val="ManualConsidrant"/>
        <w:rPr>
          <w:noProof/>
        </w:rPr>
      </w:pPr>
      <w:r>
        <w:t>(11)</w:t>
      </w:r>
      <w:r>
        <w:tab/>
      </w:r>
      <w:r>
        <w:rPr>
          <w:noProof/>
        </w:rPr>
        <w:t xml:space="preserve">Съгласно прогнозата на Комисията от пролетта на 2018 г. бюджетният </w:t>
      </w:r>
      <w:r>
        <w:rPr>
          <w:noProof/>
        </w:rPr>
        <w:t>дефицит ще възлиза на 3,4 % от БВП през 2018 г. и 3,8 % от БВП през 2019 г., което е над референтната стойност от 3 % от БВП по Договора. Изискваната корекция на структурното салдо също изглежда подходяща, за да се гарантира, че Румъния спазва референтната</w:t>
      </w:r>
      <w:r>
        <w:rPr>
          <w:noProof/>
        </w:rPr>
        <w:t xml:space="preserve"> стойност от 3 % от БВП съгласно Договора през 2018 г. и 2019 г. заедно с марж.</w:t>
      </w:r>
    </w:p>
    <w:p w:rsidR="007812D4" w:rsidRDefault="004B3541">
      <w:pPr>
        <w:pStyle w:val="ManualConsidrant"/>
        <w:rPr>
          <w:noProof/>
        </w:rPr>
      </w:pPr>
      <w:r>
        <w:t>(12)</w:t>
      </w:r>
      <w:r>
        <w:tab/>
      </w:r>
      <w:r>
        <w:rPr>
          <w:noProof/>
        </w:rPr>
        <w:t>Непредприемането на действия, свързани с предишните препоръки за коригиране на наблюдаваното значително отклонение, и рискът от превишаване на референтната стойност съгласно Договора налагат спешни действия за връщането на фискалната политика на Румъния къ</w:t>
      </w:r>
      <w:r>
        <w:rPr>
          <w:noProof/>
        </w:rPr>
        <w:t xml:space="preserve">м предпазлив подход. </w:t>
      </w:r>
    </w:p>
    <w:p w:rsidR="007812D4" w:rsidRDefault="004B3541">
      <w:pPr>
        <w:pStyle w:val="ManualConsidrant"/>
        <w:rPr>
          <w:noProof/>
        </w:rPr>
      </w:pPr>
      <w:r>
        <w:t>(13)</w:t>
      </w:r>
      <w:r>
        <w:tab/>
      </w:r>
      <w:r>
        <w:rPr>
          <w:noProof/>
        </w:rPr>
        <w:t>Целесъобразно е тази препоръка да се оповести публично.</w:t>
      </w:r>
    </w:p>
    <w:p w:rsidR="007812D4" w:rsidRDefault="004B3541">
      <w:pPr>
        <w:pStyle w:val="ManualConsidrant"/>
        <w:rPr>
          <w:noProof/>
        </w:rPr>
      </w:pPr>
      <w:r>
        <w:t>(14)</w:t>
      </w:r>
      <w:r>
        <w:tab/>
      </w:r>
      <w:r>
        <w:rPr>
          <w:noProof/>
        </w:rPr>
        <w:t>С оглед на постигането на бюджетните цели, е от решаващо значение Румъния да приеме и строго да прилага необходимите мерки, както и да следи отблизо промените в текущит</w:t>
      </w:r>
      <w:r>
        <w:rPr>
          <w:noProof/>
        </w:rPr>
        <w:t>е разходи,</w:t>
      </w:r>
    </w:p>
    <w:p w:rsidR="007812D4" w:rsidRDefault="004B3541">
      <w:pPr>
        <w:pStyle w:val="Formuledadoption"/>
        <w:rPr>
          <w:noProof/>
        </w:rPr>
      </w:pPr>
      <w:r>
        <w:rPr>
          <w:noProof/>
        </w:rPr>
        <w:t>ПРЕПОРЪЧВА:</w:t>
      </w:r>
    </w:p>
    <w:p w:rsidR="007812D4" w:rsidRDefault="004B3541">
      <w:pPr>
        <w:pStyle w:val="Point0number"/>
        <w:numPr>
          <w:ilvl w:val="0"/>
          <w:numId w:val="2"/>
        </w:numPr>
        <w:rPr>
          <w:noProof/>
        </w:rPr>
      </w:pPr>
      <w:r>
        <w:rPr>
          <w:noProof/>
        </w:rPr>
        <w:t>Румъния следва да предприеме необходимите мерки, за да гарантира, че номиналният темп на растеж на нетните първични държавни разходи не надвишава 3,3 % през 2018 г. и 5,1 % през 2019 г., което съответства на годишна корекция на струк</w:t>
      </w:r>
      <w:r>
        <w:rPr>
          <w:noProof/>
        </w:rPr>
        <w:t xml:space="preserve">турното салдо от 0,8 % от БВП за всяка година, като по този начин страната застава на подходящ път на корекции за постигане на средносрочната бюджетна цел. </w:t>
      </w:r>
    </w:p>
    <w:p w:rsidR="007812D4" w:rsidRDefault="004B3541">
      <w:pPr>
        <w:pStyle w:val="Point0number"/>
        <w:rPr>
          <w:noProof/>
        </w:rPr>
      </w:pPr>
      <w:r>
        <w:rPr>
          <w:noProof/>
        </w:rPr>
        <w:t>Румъния следва да използва всички извънредни приходи за намаляване на дефицита. Мерките за бюджетна</w:t>
      </w:r>
      <w:r>
        <w:rPr>
          <w:noProof/>
        </w:rPr>
        <w:t xml:space="preserve"> консолидация следва да гарантират трайно подобрение на структурното салдо по консолидирания държавен бюджет, като същевременно подкрепят растежа.</w:t>
      </w:r>
    </w:p>
    <w:p w:rsidR="007812D4" w:rsidRDefault="004B3541">
      <w:pPr>
        <w:pStyle w:val="Point0number"/>
        <w:rPr>
          <w:noProof/>
        </w:rPr>
      </w:pPr>
      <w:r>
        <w:rPr>
          <w:noProof/>
        </w:rPr>
        <w:t>Румъния следва да докладва на Съвета до [15 октомври 2018 г.] за предприетите действия в отговор на горепосоч</w:t>
      </w:r>
      <w:r>
        <w:rPr>
          <w:noProof/>
        </w:rPr>
        <w:t>ената препоръка. Докладът следва да съдържа достатъчно конкретни и надеждно представени мерки, включително бюджетното отражение на всяка от тях, както и актуализирани и подробни бюджетни прогнози за периода 2018—2019 г.</w:t>
      </w:r>
    </w:p>
    <w:p w:rsidR="007812D4" w:rsidRDefault="004B3541">
      <w:pPr>
        <w:keepNext/>
        <w:keepLines/>
        <w:rPr>
          <w:noProof/>
        </w:rPr>
      </w:pPr>
      <w:r>
        <w:rPr>
          <w:noProof/>
        </w:rPr>
        <w:t>Адресат на настоящата препоръка е Ру</w:t>
      </w:r>
      <w:r>
        <w:rPr>
          <w:noProof/>
        </w:rPr>
        <w:t>мъния.</w:t>
      </w:r>
    </w:p>
    <w:p w:rsidR="007812D4" w:rsidRDefault="004B3541"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 w:rsidR="007812D4" w:rsidRDefault="004B3541"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 w:rsidR="007812D4" w:rsidRDefault="004B3541"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 w:rsidR="007812D4">
      <w:footerReference w:type="default" r:id="rId11"/>
      <w:footerReference w:type="first" r:id="rId12"/>
      <w:pgSz w:w="11907" w:h="16839"/>
      <w:pgMar w:top="1134" w:right="1417" w:bottom="1134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2D4" w:rsidRDefault="004B3541">
      <w:pPr>
        <w:spacing w:before="0" w:after="0"/>
      </w:pPr>
      <w:r>
        <w:separator/>
      </w:r>
    </w:p>
  </w:endnote>
  <w:endnote w:type="continuationSeparator" w:id="0">
    <w:p w:rsidR="007812D4" w:rsidRDefault="004B35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D4" w:rsidRDefault="004B3541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proofErr w:type="spellStart"/>
    <w:r>
      <w:rPr>
        <w:rFonts w:ascii="Arial" w:hAnsi="Arial" w:cs="Arial"/>
        <w:b/>
        <w:sz w:val="48"/>
      </w:rPr>
      <w:t>BG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D4" w:rsidRDefault="004B3541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D4" w:rsidRDefault="007812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2D4" w:rsidRDefault="004B3541">
      <w:pPr>
        <w:spacing w:before="0" w:after="0"/>
      </w:pPr>
      <w:r>
        <w:separator/>
      </w:r>
    </w:p>
  </w:footnote>
  <w:footnote w:type="continuationSeparator" w:id="0">
    <w:p w:rsidR="007812D4" w:rsidRDefault="004B3541">
      <w:pPr>
        <w:spacing w:before="0" w:after="0"/>
      </w:pPr>
      <w:r>
        <w:continuationSeparator/>
      </w:r>
    </w:p>
  </w:footnote>
  <w:footnote w:id="1">
    <w:p w:rsidR="007812D4" w:rsidRDefault="004B3541">
      <w:pPr>
        <w:pStyle w:val="FootnoteText"/>
      </w:pPr>
      <w:r>
        <w:rPr>
          <w:rStyle w:val="FootnoteReference"/>
        </w:rPr>
        <w:footnoteRef/>
      </w:r>
      <w:r>
        <w:tab/>
        <w:t>ОВ L 209, 2.8.1997 г., стр. 1.</w:t>
      </w:r>
    </w:p>
  </w:footnote>
  <w:footnote w:id="2">
    <w:p w:rsidR="007812D4" w:rsidRDefault="004B3541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Нетните първични държавни разходи включват общите държавни разходи без разходите за лихви, разходите по програми на </w:t>
      </w:r>
      <w:r>
        <w:t xml:space="preserve">Съюза, които изцяло се покриват от приходи от средства на Съюза, и </w:t>
      </w:r>
      <w:proofErr w:type="spellStart"/>
      <w:r>
        <w:t>недискреционни</w:t>
      </w:r>
      <w:proofErr w:type="spellEnd"/>
      <w:r>
        <w:t xml:space="preserve"> промени в разходите за обезщетения при безработица. Бруто образуването на основен капитал, финансирано от държавата, се изглажда за 4-годишен период. </w:t>
      </w:r>
      <w:proofErr w:type="spellStart"/>
      <w:r>
        <w:t>Дискреционните</w:t>
      </w:r>
      <w:proofErr w:type="spellEnd"/>
      <w:r>
        <w:t xml:space="preserve"> мерки по </w:t>
      </w:r>
      <w:r>
        <w:t>отношение на приходите и предвиденото по закон увеличаване на приходите са взети предвид. Еднократните мерки по отношение както на приходите, така и на разходите, са нетирани.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786C3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3C805D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D7097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784C9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96CE9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1C2BD2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2CCE8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BFE1C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CHMITT-NILSON Ralph (ECFIN)">
    <w15:presenceInfo w15:providerId="None" w15:userId="SCHMITT-NILSON Ralph (ECF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28 13:44:32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RRIGENDUM" w:val="&lt;UNUSED&gt;"/>
    <w:docVar w:name="LW_COVERPAGE_EXISTS" w:val="True"/>
    <w:docVar w:name="LW_COVERPAGE_GUID" w:val="E3DFBE1B-38CE-4219-9428-DEDF20ED08C6"/>
    <w:docVar w:name="LW_COVERPAGE_TYPE" w:val="1"/>
    <w:docVar w:name="LW_CROSSREFERENCE" w:val="&lt;UNUSED&gt;"/>
    <w:docVar w:name="LW_DocType" w:val="COM"/>
    <w:docVar w:name="LW_EMISSION" w:val="23.5.2018"/>
    <w:docVar w:name="LW_EMISSION_ISODATE" w:val="2018-05-23"/>
    <w:docVar w:name="LW_EMISSION_LOCATION" w:val="BRX"/>
    <w:docVar w:name="LW_EMISSION_PREFIX" w:val="Брюксел, "/>
    <w:docVar w:name="LW_EMISSION_SUFFIX" w:val=" \u1075?."/>
    <w:docVar w:name="LW_ID_DOCMODEL" w:val="SG-002"/>
    <w:docVar w:name="LW_ID_DOCSIGNATURE" w:val="SG-002"/>
    <w:docVar w:name="LW_ID_DOCSTRUCTURE" w:val="COM/PL/ORG"/>
    <w:docVar w:name="LW_ID_DOCTYPE" w:val="SG-002"/>
    <w:docVar w:name="LW_ID_STATUT" w:val="SG-002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8"/>
    <w:docVar w:name="LW_REF.INST.NEW" w:val="COM"/>
    <w:docVar w:name="LW_REF.INST.NEW_ADOPTED" w:val="final"/>
    <w:docVar w:name="LW_REF.INST.NEW_TEXT" w:val="(2018) 43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TATUT.CP" w:val="\u1055?\u1088?\u1077?\u1087?\u1086?\u1088?\u1098?\u1082?\u1072? \u1079?\u1072?"/>
    <w:docVar w:name="LW_SUPERTITRE" w:val="&lt;UNUSED&gt;"/>
    <w:docVar w:name="LW_TITRE.OBJ.CP" w:val="\u1089? \u1086?\u1075?\u1083?\u1077?\u1076? \u1076?\u1072? \u1089?\u1077? \u1086?\u1090?\u1089?\u1090?\u1088?\u1072?\u1085?\u1080? \u1085?\u1072?\u1073?\u1083?\u1102?\u1076?\u1072?\u1074?\u1072?\u1085?\u1086?\u1090?\u1086? \u1079?\u1085?\u1072?\u1095?\u1080?\u1090?\u1077?\u1083?\u1085?\u1086? \u1086?\u1090?\u1082?\u1083?\u1086?\u1085?\u1077?\u1085?\u1080?\u1077? \u1086?\u1090? \u1087?\u1083?\u1072?\u1085?\u1072? \u1079?\u1072? \u1082?\u1086?\u1088?\u1077?\u1082?\u1094?\u1080?\u1080? \u1079?\u1072? \u1087?\u1086?\u1089?\u1090?\u1080?\u1075?\u1072?\u1085?\u1077? \u1085?\u1072? \u1089?\u1088?\u1077?\u1076?\u1085?\u1086?\u1089?\u1088?\u1086?\u1095?\u1085?\u1072?\u1090?\u1072? \u1073?\u1102?\u1076?\u1078?\u1077?\u1090?\u1085?\u1072? \u1094?\u1077?\u1083? _x000b__x000b_\u1074? \u1056?\u1091?\u1084?\u1098?\u1085?\u1080?\u1103?"/>
    <w:docVar w:name="LW_TYPE.DOC.CP" w:val="\u1055?\u1056?\u1045?\u1055?\u1054?\u1056?\u1066?\u1050?\u1040? \u1053?\u1040? \u1057?\u1066?\u1042?\u1045?\u1058?\u1040?"/>
  </w:docVars>
  <w:rsids>
    <w:rsidRoot w:val="007812D4"/>
    <w:rsid w:val="004B3541"/>
    <w:rsid w:val="0078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C802C-7334-4DE6-9E9C-8B4012A5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Stefanie Heilemann</cp:lastModifiedBy>
  <cp:revision>20</cp:revision>
  <dcterms:created xsi:type="dcterms:W3CDTF">2018-05-24T12:53:00Z</dcterms:created>
  <dcterms:modified xsi:type="dcterms:W3CDTF">2018-05-28T13:47:00Z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WTemplateID">
    <vt:lpwstr>SG-002</vt:lpwstr>
  </property>
  <property fmtid="{D5CDD505-2E9C-101B-9397-08002B2CF9AE}" pid="9" name="Level of sensitivity">
    <vt:lpwstr>Standard treatment</vt:lpwstr>
  </property>
  <property fmtid="{D5CDD505-2E9C-101B-9397-08002B2CF9AE}" pid="10" name="DQCStatus">
    <vt:lpwstr>Yellow (DQC version 03)</vt:lpwstr>
  </property>
</Properties>
</file>