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FC5BFC35-DC42-4DB1-9F38-6D5F7CD6A793" style="width:451.7pt;height:383.7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Point0"/>
        <w:rPr>
          <w:noProof/>
        </w:rPr>
      </w:pPr>
      <w:r>
        <w:rPr>
          <w:noProof/>
        </w:rPr>
        <w:t>1.</w:t>
      </w:r>
      <w:r>
        <w:rPr>
          <w:noProof/>
        </w:rPr>
        <w:tab/>
        <w:t>Приложение IА към Регламент (ЕС) 2018/120 се изменя, както следва:</w:t>
      </w:r>
    </w:p>
    <w:p>
      <w:pPr>
        <w:pStyle w:val="Point1number"/>
        <w:numPr>
          <w:ilvl w:val="2"/>
          <w:numId w:val="9"/>
        </w:numPr>
        <w:rPr>
          <w:noProof/>
        </w:rPr>
      </w:pPr>
      <w:r>
        <w:rPr>
          <w:noProof/>
        </w:rPr>
        <w:t>таблицата за възможностите за риболов на мегрим в зона 7 се заменя със следното:</w:t>
      </w:r>
    </w:p>
    <w:p>
      <w:pPr>
        <w:pStyle w:val="Point1"/>
        <w:ind w:left="850" w:firstLine="0"/>
        <w:rPr>
          <w:noProof/>
        </w:rPr>
      </w:pPr>
      <w:r>
        <w:rPr>
          <w:noProof/>
        </w:rPr>
        <w:t>„</w:t>
      </w:r>
    </w:p>
    <w:tbl>
      <w:tblPr>
        <w:tblW w:w="8303" w:type="dxa"/>
        <w:tblInd w:w="108" w:type="dxa"/>
        <w:tblLook w:val="04A0" w:firstRow="1" w:lastRow="0" w:firstColumn="1" w:lastColumn="0" w:noHBand="0" w:noVBand="1"/>
      </w:tblPr>
      <w:tblGrid>
        <w:gridCol w:w="976"/>
        <w:gridCol w:w="1471"/>
        <w:gridCol w:w="976"/>
        <w:gridCol w:w="976"/>
        <w:gridCol w:w="976"/>
        <w:gridCol w:w="976"/>
        <w:gridCol w:w="976"/>
        <w:gridCol w:w="976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1471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Мегрим, видове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single" w:sz="8" w:space="0" w:color="000000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7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423" w:type="dxa"/>
            <w:gridSpan w:val="3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 xml:space="preserve">Lepidorhombus </w:t>
            </w:r>
            <w:r>
              <w:rPr>
                <w:noProof/>
                <w:sz w:val="18"/>
              </w:rPr>
              <w:t>spp.</w:t>
            </w:r>
            <w:r>
              <w:rPr>
                <w:i/>
                <w:noProof/>
                <w:color w:val="000000"/>
                <w:sz w:val="18"/>
              </w:rPr>
              <w:t> </w:t>
            </w:r>
          </w:p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(LEZ/07.)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333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195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76" w:type="dxa"/>
            <w:tcBorders>
              <w:top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3 693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3904" w:type="dxa"/>
            <w:gridSpan w:val="4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  <w:r>
              <w:rPr>
                <w:noProof/>
                <w:color w:val="000000"/>
                <w:sz w:val="18"/>
              </w:rPr>
              <w:t>Прилага се член 7, параграф 2 от настоящия регламент.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4 481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3904" w:type="dxa"/>
            <w:gridSpan w:val="4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12, параграф 1 от настоящия регламент.</w:t>
            </w: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Ирландия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2 038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2447" w:type="dxa"/>
            <w:gridSpan w:val="2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1 765</w:t>
            </w:r>
          </w:p>
        </w:tc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12 310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55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471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12 310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6351" w:type="dxa"/>
            <w:gridSpan w:val="6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5 % от тази квота могат да бъдат използвани в зони 8a, 8b, 8d и 8e (LEZ/*8ABDE) за прилов при целеви риболов на морски език.</w:t>
            </w:r>
          </w:p>
        </w:tc>
        <w:tc>
          <w:tcPr>
            <w:tcW w:w="976" w:type="dxa"/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399" w:type="dxa"/>
            <w:gridSpan w:val="4"/>
            <w:tcBorders>
              <w:bottom w:val="single" w:sz="4" w:space="0" w:color="auto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Риболовът по 25 % от тази квота може да се извършва в зони 8a, 8b, 8d и 8e (LEZ/*8ABDE).</w:t>
            </w: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976" w:type="dxa"/>
            <w:tcBorders>
              <w:bottom w:val="single" w:sz="4" w:space="0" w:color="auto"/>
            </w:tcBorders>
            <w:noWrap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</w:tbl>
    <w:p>
      <w:pPr>
        <w:pStyle w:val="Point1"/>
        <w:ind w:left="850" w:firstLine="0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северна скарида в зона 3a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8249" w:type="dxa"/>
        <w:tblInd w:w="108" w:type="dxa"/>
        <w:tblLook w:val="04A0" w:firstRow="1" w:lastRow="0" w:firstColumn="1" w:lastColumn="0" w:noHBand="0" w:noVBand="1"/>
      </w:tblPr>
      <w:tblGrid>
        <w:gridCol w:w="976"/>
        <w:gridCol w:w="1316"/>
        <w:gridCol w:w="895"/>
        <w:gridCol w:w="641"/>
        <w:gridCol w:w="1341"/>
        <w:gridCol w:w="1092"/>
        <w:gridCol w:w="994"/>
        <w:gridCol w:w="994"/>
      </w:tblGrid>
      <w:tr>
        <w:trPr>
          <w:trHeight w:val="255"/>
        </w:trPr>
        <w:tc>
          <w:tcPr>
            <w:tcW w:w="976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211" w:type="dxa"/>
            <w:gridSpan w:val="2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Северна скарида</w:t>
            </w:r>
          </w:p>
        </w:tc>
        <w:tc>
          <w:tcPr>
            <w:tcW w:w="641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1341" w:type="dxa"/>
            <w:tcBorders>
              <w:top w:val="single" w:sz="8" w:space="0" w:color="000000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1092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3a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8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Pandalus borealis</w:t>
            </w: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1341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(PRA/03A.)</w:t>
            </w:r>
          </w:p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2 162</w:t>
            </w:r>
          </w:p>
        </w:tc>
        <w:tc>
          <w:tcPr>
            <w:tcW w:w="6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1 165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4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Прилага се член 7, параграф 2 от настоящия регламент.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3 327</w:t>
            </w: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6"/>
                <w:szCs w:val="16"/>
              </w:rPr>
            </w:pPr>
          </w:p>
        </w:tc>
        <w:tc>
          <w:tcPr>
            <w:tcW w:w="8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64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42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6 230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</w:tr>
    </w:tbl>
    <w:p>
      <w:pPr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цаца и свързания с нея прилов във водите на Съюза от зони 2а и 4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9150" w:type="dxa"/>
        <w:tblInd w:w="108" w:type="dxa"/>
        <w:tblLook w:val="04A0" w:firstRow="1" w:lastRow="0" w:firstColumn="1" w:lastColumn="0" w:noHBand="0" w:noVBand="1"/>
      </w:tblPr>
      <w:tblGrid>
        <w:gridCol w:w="1126"/>
        <w:gridCol w:w="1414"/>
        <w:gridCol w:w="1142"/>
        <w:gridCol w:w="790"/>
        <w:gridCol w:w="969"/>
        <w:gridCol w:w="513"/>
        <w:gridCol w:w="2049"/>
        <w:gridCol w:w="625"/>
        <w:gridCol w:w="261"/>
        <w:gridCol w:w="261"/>
      </w:tblGrid>
      <w:tr>
        <w:trPr>
          <w:trHeight w:val="255"/>
        </w:trPr>
        <w:tc>
          <w:tcPr>
            <w:tcW w:w="11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34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Цаца и свързания с нея прилов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44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Води на Съюза от 2a и 4</w:t>
            </w:r>
          </w:p>
        </w:tc>
        <w:tc>
          <w:tcPr>
            <w:tcW w:w="261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463"/>
        </w:trPr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5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Sprattus sprattus</w:t>
            </w:r>
          </w:p>
        </w:tc>
        <w:tc>
          <w:tcPr>
            <w:tcW w:w="79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 </w:t>
            </w:r>
          </w:p>
        </w:tc>
        <w:tc>
          <w:tcPr>
            <w:tcW w:w="969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(SPR/2AC4-C)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  <w:r>
              <w:rPr>
                <w:rFonts w:ascii="Calibri" w:hAnsi="Calibri"/>
                <w:noProof/>
                <w:color w:val="000000"/>
                <w:sz w:val="16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Белгия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26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155 660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Швеция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1 330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(1)(2)(3)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Обединено кралство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1 911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(1)(2)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166 545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Норвегия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10 000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Фарьорски острови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1 000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(1)(4)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177 545</w:t>
            </w: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43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Улов по тази квота може да се извършва само от 1 юли 2018 г. до 30 юни 2019 г.</w:t>
            </w:r>
          </w:p>
        </w:tc>
        <w:tc>
          <w:tcPr>
            <w:tcW w:w="318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802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Приловът на меджид може да бъде до 2 % от квотата (OTH/ *2AC4C). Сумата от прилова на меджид, отчетен спрямо квотата в съответствие с настоящата разпоредба, и от прилова на видове, отчетен спрямо квотата в съответствие с член 15, параграф 8 от Регламент (ЕС) № 1380/2013, не може да надхвърля 9 % от квотата.</w:t>
            </w:r>
          </w:p>
        </w:tc>
      </w:tr>
      <w:tr>
        <w:trPr>
          <w:trHeight w:val="270"/>
        </w:trPr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(3)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Включително пясъчница.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11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(4)</w:t>
            </w:r>
          </w:p>
        </w:tc>
        <w:tc>
          <w:tcPr>
            <w:tcW w:w="3346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Може да съдържа до 4 % прилов на херинга.</w:t>
            </w:r>
          </w:p>
        </w:tc>
        <w:tc>
          <w:tcPr>
            <w:tcW w:w="96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562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8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</w:tbl>
    <w:p>
      <w:pPr>
        <w:jc w:val="right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в таблицата за възможностите за риболов на херинга във водите на Съюза от зони 7g, 7h, 7j и 7k препратката „Прилага се член 7, параграф 2 от настоящия регламент.“ се заличава;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норвежки паут и свързания с него прилов в зона 3а и във водите на Съюза от зони 2а и 4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933"/>
        <w:gridCol w:w="159"/>
        <w:gridCol w:w="1507"/>
        <w:gridCol w:w="1334"/>
        <w:gridCol w:w="583"/>
        <w:gridCol w:w="867"/>
        <w:gridCol w:w="3049"/>
        <w:gridCol w:w="489"/>
        <w:gridCol w:w="260"/>
      </w:tblGrid>
      <w:tr>
        <w:trPr>
          <w:trHeight w:val="255"/>
        </w:trPr>
        <w:tc>
          <w:tcPr>
            <w:tcW w:w="99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467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Норвежки паут и свързания с него прилов</w:t>
            </w:r>
          </w:p>
        </w:tc>
        <w:tc>
          <w:tcPr>
            <w:tcW w:w="877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844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3a; води на Съюза от 2a и 4</w:t>
            </w:r>
          </w:p>
        </w:tc>
      </w:tr>
      <w:tr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878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Trisopterus esmarki</w:t>
            </w:r>
          </w:p>
        </w:tc>
        <w:tc>
          <w:tcPr>
            <w:tcW w:w="5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877" w:type="dxa"/>
            <w:tcBorders>
              <w:top w:val="nil"/>
              <w:left w:val="single" w:sz="8" w:space="0" w:color="000000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58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(NOP/2A3A4.)</w:t>
            </w:r>
          </w:p>
        </w:tc>
        <w:tc>
          <w:tcPr>
            <w:tcW w:w="2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Дания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85 186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Германия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16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 (2)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 xml:space="preserve"> 63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 (2)</w:t>
            </w:r>
          </w:p>
        </w:tc>
        <w:tc>
          <w:tcPr>
            <w:tcW w:w="47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85 265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 (3)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Норвегия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15 000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(4)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Фарьорски острови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6 000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(5)</w:t>
            </w: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FF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 се прилага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Приловът на пикша и меджид може да бъде до 5 % от квотата (OT2/*2A3A4). Сумата от прилова на пикша и меджид, отчетен спрямо квотата в съответствие с настоящата разпоредба, и от прилова на видове, отчетен спрямо квотата в съответствие с член 15, параграф 8 от Регламент (ЕС) № 1380/2013, не може да надхвърля 9 % от квотата.</w:t>
            </w: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(2)</w:t>
            </w:r>
          </w:p>
        </w:tc>
        <w:tc>
          <w:tcPr>
            <w:tcW w:w="45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Риболов по тази квота може да се извършва само във водите на Съюза от зони 2a, 3a и 4 на ICES.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(3)</w:t>
            </w:r>
          </w:p>
        </w:tc>
        <w:tc>
          <w:tcPr>
            <w:tcW w:w="759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Риболов по квотата на Съюза може да се извършва само от 1 ноември 2017 г. до 31 октомври 2018 г.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(4)</w:t>
            </w:r>
          </w:p>
        </w:tc>
        <w:tc>
          <w:tcPr>
            <w:tcW w:w="3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Използват се сортиращи решетки.</w:t>
            </w: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85"/>
        </w:trPr>
        <w:tc>
          <w:tcPr>
            <w:tcW w:w="83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(5)</w:t>
            </w:r>
          </w:p>
        </w:tc>
        <w:tc>
          <w:tcPr>
            <w:tcW w:w="8346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Използват се сортиращи решетки. Включва максимум 15 % неизбежен прилов (NOP/*2A3A4), който се приспада от тази квота.</w:t>
            </w:r>
          </w:p>
        </w:tc>
      </w:tr>
      <w:tr>
        <w:trPr>
          <w:trHeight w:val="270"/>
        </w:trPr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</w:rPr>
            </w:pP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</w:tr>
    </w:tbl>
    <w:p>
      <w:pPr>
        <w:pStyle w:val="Point1"/>
        <w:ind w:left="0" w:firstLine="0"/>
        <w:rPr>
          <w:noProof/>
        </w:rPr>
      </w:pPr>
      <w:r>
        <w:rPr>
          <w:noProof/>
        </w:rPr>
        <w:t>“;</w:t>
      </w:r>
    </w:p>
    <w:p>
      <w:pPr>
        <w:pStyle w:val="Point1number"/>
        <w:rPr>
          <w:noProof/>
        </w:rPr>
      </w:pPr>
      <w:r>
        <w:rPr>
          <w:noProof/>
        </w:rPr>
        <w:t>таблицата за възможностите за риболов на норвежки омар в зона 8c се заменя със следното:</w:t>
      </w:r>
    </w:p>
    <w:p>
      <w:pPr>
        <w:pStyle w:val="Point1"/>
        <w:rPr>
          <w:noProof/>
        </w:rPr>
      </w:pPr>
      <w:r>
        <w:rPr>
          <w:noProof/>
        </w:rPr>
        <w:t>„</w:t>
      </w:r>
    </w:p>
    <w:tbl>
      <w:tblPr>
        <w:tblW w:w="9181" w:type="dxa"/>
        <w:tblInd w:w="108" w:type="dxa"/>
        <w:tblLook w:val="04A0" w:firstRow="1" w:lastRow="0" w:firstColumn="1" w:lastColumn="0" w:noHBand="0" w:noVBand="1"/>
      </w:tblPr>
      <w:tblGrid>
        <w:gridCol w:w="892"/>
        <w:gridCol w:w="61"/>
        <w:gridCol w:w="1614"/>
        <w:gridCol w:w="1340"/>
        <w:gridCol w:w="586"/>
        <w:gridCol w:w="871"/>
        <w:gridCol w:w="3066"/>
        <w:gridCol w:w="491"/>
        <w:gridCol w:w="260"/>
      </w:tblGrid>
      <w:tr>
        <w:trPr>
          <w:trHeight w:val="255"/>
        </w:trPr>
        <w:tc>
          <w:tcPr>
            <w:tcW w:w="81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3044" w:type="dxa"/>
            <w:gridSpan w:val="3"/>
            <w:tcBorders>
              <w:top w:val="single" w:sz="8" w:space="0" w:color="000000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Норвежки омар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8" w:space="0" w:color="000000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310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8c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63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sz w:val="18"/>
                <w:szCs w:val="18"/>
              </w:rPr>
            </w:pPr>
            <w:r>
              <w:rPr>
                <w:i/>
                <w:noProof/>
                <w:sz w:val="18"/>
              </w:rPr>
              <w:t>Nephrops norvegicus</w:t>
            </w:r>
          </w:p>
        </w:tc>
        <w:tc>
          <w:tcPr>
            <w:tcW w:w="879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(NEP/08C.)</w:t>
            </w:r>
          </w:p>
        </w:tc>
        <w:tc>
          <w:tcPr>
            <w:tcW w:w="49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Испания</w:t>
            </w:r>
          </w:p>
        </w:tc>
        <w:tc>
          <w:tcPr>
            <w:tcW w:w="169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 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</w:t>
            </w:r>
          </w:p>
        </w:tc>
        <w:tc>
          <w:tcPr>
            <w:tcW w:w="5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3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Предпазен ОДУ</w:t>
            </w:r>
          </w:p>
        </w:tc>
        <w:tc>
          <w:tcPr>
            <w:tcW w:w="4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6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Франция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0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</w:t>
            </w: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55"/>
        </w:trPr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1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1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1690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sz w:val="18"/>
                <w:szCs w:val="18"/>
              </w:rPr>
            </w:pPr>
          </w:p>
        </w:tc>
        <w:tc>
          <w:tcPr>
            <w:tcW w:w="135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2</w:t>
            </w:r>
          </w:p>
        </w:tc>
        <w:tc>
          <w:tcPr>
            <w:tcW w:w="59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7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310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49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ascii="Calibri" w:eastAsia="Times New Roman" w:hAnsi="Calibri" w:cs="Arial"/>
                <w:noProof/>
                <w:color w:val="000000"/>
                <w:sz w:val="18"/>
                <w:szCs w:val="18"/>
              </w:rPr>
            </w:pPr>
          </w:p>
        </w:tc>
      </w:tr>
      <w:tr>
        <w:trPr>
          <w:trHeight w:val="270"/>
        </w:trPr>
        <w:tc>
          <w:tcPr>
            <w:tcW w:w="87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(1)</w:t>
            </w:r>
          </w:p>
        </w:tc>
        <w:tc>
          <w:tcPr>
            <w:tcW w:w="831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Изключително за улов, извършван в рамките на контролен улов за събиране на данни относно улова за единица усилие във функционална единица 25 в продължение на пет месечни курса през август и септември, с кораби, на които се намират наблюдатели.</w:t>
            </w:r>
          </w:p>
        </w:tc>
      </w:tr>
    </w:tbl>
    <w:p>
      <w:pPr>
        <w:pStyle w:val="Point1"/>
        <w:ind w:left="0" w:firstLine="0"/>
        <w:rPr>
          <w:noProof/>
        </w:rPr>
      </w:pPr>
      <w:r>
        <w:rPr>
          <w:noProof/>
        </w:rPr>
        <w:t>“;</w:t>
      </w:r>
    </w:p>
    <w:p>
      <w:pPr>
        <w:pStyle w:val="Point0"/>
        <w:rPr>
          <w:noProof/>
        </w:rPr>
      </w:pPr>
      <w:r>
        <w:rPr>
          <w:noProof/>
        </w:rPr>
        <w:t>2.</w:t>
      </w:r>
      <w:r>
        <w:rPr>
          <w:noProof/>
        </w:rPr>
        <w:tab/>
        <w:t>В приложение IЙ към Регламент (ЕС) 2018/120 таблицата за възможностите за риболов на чилийски сафрид в зоната на Конвенцията SPRFMO се заменя със следното:</w:t>
      </w:r>
    </w:p>
    <w:p>
      <w:pPr>
        <w:pStyle w:val="Point1"/>
        <w:ind w:left="850" w:firstLine="0"/>
        <w:rPr>
          <w:noProof/>
        </w:rPr>
      </w:pPr>
      <w:r>
        <w:rPr>
          <w:noProof/>
        </w:rPr>
        <w:t>„</w:t>
      </w:r>
    </w:p>
    <w:tbl>
      <w:tblPr>
        <w:tblW w:w="9778" w:type="dxa"/>
        <w:tblInd w:w="108" w:type="dxa"/>
        <w:tblLook w:val="04A0" w:firstRow="1" w:lastRow="0" w:firstColumn="1" w:lastColumn="0" w:noHBand="0" w:noVBand="1"/>
      </w:tblPr>
      <w:tblGrid>
        <w:gridCol w:w="1418"/>
        <w:gridCol w:w="2551"/>
        <w:gridCol w:w="426"/>
        <w:gridCol w:w="636"/>
        <w:gridCol w:w="4747"/>
      </w:tblGrid>
      <w:tr>
        <w:trPr>
          <w:trHeight w:val="270"/>
        </w:trPr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Вид:</w:t>
            </w:r>
          </w:p>
        </w:tc>
        <w:tc>
          <w:tcPr>
            <w:tcW w:w="2977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Чилийски сафрид</w:t>
            </w:r>
          </w:p>
        </w:tc>
        <w:tc>
          <w:tcPr>
            <w:tcW w:w="63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Зона:</w:t>
            </w:r>
          </w:p>
        </w:tc>
        <w:tc>
          <w:tcPr>
            <w:tcW w:w="4747" w:type="dxa"/>
            <w:tcBorders>
              <w:top w:val="single" w:sz="8" w:space="0" w:color="auto"/>
              <w:left w:val="nil"/>
              <w:bottom w:val="nil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Зона на Конвенцията SPRFMO</w:t>
            </w:r>
          </w:p>
        </w:tc>
      </w:tr>
      <w:tr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2977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i/>
                <w:iCs/>
                <w:noProof/>
                <w:color w:val="000000"/>
                <w:sz w:val="18"/>
                <w:szCs w:val="18"/>
              </w:rPr>
            </w:pPr>
            <w:r>
              <w:rPr>
                <w:i/>
                <w:noProof/>
                <w:color w:val="000000"/>
                <w:sz w:val="18"/>
              </w:rPr>
              <w:t>Trachurus murphyi</w:t>
            </w:r>
          </w:p>
        </w:tc>
        <w:tc>
          <w:tcPr>
            <w:tcW w:w="63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(CJM/SPRFMO)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Германия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8 849,28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383" w:type="dxa"/>
            <w:gridSpan w:val="2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Аналитичен ОДУ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Нидерландия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9 591,70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383" w:type="dxa"/>
            <w:gridSpan w:val="2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3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Литва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6 157,56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5383" w:type="dxa"/>
            <w:gridSpan w:val="2"/>
            <w:noWrap/>
            <w:vAlign w:val="center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Член 4 от Регламент (ЕО) № 847/96 не се прилага.</w:t>
            </w: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Полша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10 587,46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Съюз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 xml:space="preserve"> 35 186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70"/>
        </w:trPr>
        <w:tc>
          <w:tcPr>
            <w:tcW w:w="1418" w:type="dxa"/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ОДУ</w:t>
            </w:r>
          </w:p>
        </w:tc>
        <w:tc>
          <w:tcPr>
            <w:tcW w:w="2551" w:type="dxa"/>
            <w:noWrap/>
            <w:vAlign w:val="center"/>
            <w:hideMark/>
          </w:tcPr>
          <w:p>
            <w:pPr>
              <w:spacing w:after="0"/>
              <w:jc w:val="right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</w:rPr>
              <w:t>Не се прилага</w:t>
            </w:r>
          </w:p>
        </w:tc>
        <w:tc>
          <w:tcPr>
            <w:tcW w:w="426" w:type="dxa"/>
            <w:noWrap/>
            <w:vAlign w:val="bottom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636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  <w:tc>
          <w:tcPr>
            <w:tcW w:w="4747" w:type="dxa"/>
            <w:noWrap/>
            <w:vAlign w:val="center"/>
            <w:hideMark/>
          </w:tcPr>
          <w:p>
            <w:pPr>
              <w:spacing w:after="0" w:line="276" w:lineRule="auto"/>
              <w:rPr>
                <w:noProof/>
                <w:sz w:val="22"/>
              </w:rPr>
            </w:pPr>
          </w:p>
        </w:tc>
      </w:tr>
      <w:tr>
        <w:trPr>
          <w:trHeight w:val="285"/>
        </w:trPr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sz w:val="18"/>
                <w:szCs w:val="18"/>
              </w:rPr>
            </w:pPr>
            <w:r>
              <w:rPr>
                <w:noProof/>
                <w:sz w:val="18"/>
                <w:vertAlign w:val="superscript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  <w:vertAlign w:val="superscript"/>
              </w:rPr>
              <w:t> </w:t>
            </w:r>
          </w:p>
        </w:tc>
        <w:tc>
          <w:tcPr>
            <w:tcW w:w="636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  <w:tc>
          <w:tcPr>
            <w:tcW w:w="4747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>
            <w:pPr>
              <w:spacing w:after="0"/>
              <w:rPr>
                <w:rFonts w:eastAsia="Times New Roman"/>
                <w:noProof/>
                <w:color w:val="000000"/>
                <w:sz w:val="18"/>
                <w:szCs w:val="18"/>
              </w:rPr>
            </w:pPr>
            <w:r>
              <w:rPr>
                <w:noProof/>
                <w:color w:val="000000"/>
                <w:sz w:val="18"/>
              </w:rPr>
              <w:t> </w:t>
            </w:r>
          </w:p>
        </w:tc>
      </w:tr>
    </w:tbl>
    <w:p>
      <w:pPr>
        <w:pStyle w:val="Point1"/>
        <w:ind w:left="0" w:firstLine="0"/>
        <w:rPr>
          <w:noProof/>
        </w:rPr>
      </w:pPr>
      <w:r>
        <w:rPr>
          <w:noProof/>
        </w:rPr>
        <w:t>“.</w:t>
      </w:r>
    </w:p>
    <w:sectPr>
      <w:footerReference w:type="default" r:id="rId16"/>
      <w:footerReference w:type="first" r:id="rId17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546B1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D9F8B45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6C6EF3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544B0D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4843C28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5168764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55BA2FA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D14AB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5-22 19:13:1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6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2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FC5BFC35-DC42-4DB1-9F38-6D5F7CD6A793"/>
    <w:docVar w:name="LW_COVERPAGE_TYPE" w:val="1"/>
    <w:docVar w:name="LW_CROSSREFERENCE" w:val="&lt;UNUSED&gt;"/>
    <w:docVar w:name="LW_DocType" w:val="ANNEX"/>
    <w:docVar w:name="LW_EMISSION" w:val="29.5.2018"/>
    <w:docVar w:name="LW_EMISSION_ISODATE" w:val="2018-05-29"/>
    <w:docVar w:name="LW_EMISSION_LOCATION" w:val="BRX"/>
    <w:docVar w:name="LW_EMISSION_PREFIX" w:val="\u1041?\u1088?\u1102?\u1082?\u1089?\u1077?\u1083?,"/>
    <w:docVar w:name="LW_EMISSION_SUFFIX" w:val=" \u1075?.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0?\u1079?\u1084?\u1077?\u1085?\u1077?\u1085?\u1080?\u1077? \u1085?\u1072? \u1056?\u1077?\u1075?\u1083?\u1072?\u1084?\u1077?\u1085?\u1090? (\u1045?\u1057?) 2018/120 \u1087?\u1086? \u1086?\u1090?\u1085?\u1086?\u1096?\u1077?\u1085?\u1080?\u1077? \u1085?\u1072? \u1085?\u1103?\u1082?\u1086?\u1080? \u1074?\u1098?\u1079?\u1084?\u1086?\u1078?\u1085?\u1086?\u1089?\u1090?\u1080? \u1079?\u1072? \u1088?\u1080?\u1073?\u1086?\u1083?\u1086?\u1074?"/>
    <w:docVar w:name="LW_OBJETACTEPRINCIPAL.CP" w:val="\u1079?\u1072? \u1080?\u1079?\u1084?\u1077?\u1085?\u1077?\u1085?\u1080?\u1077? \u1085?\u1072? \u1056?\u1077?\u1075?\u1083?\u1072?\u1084?\u1077?\u1085?\u1090? (\u1045?\u1057?) 2018/120 \u1087?\u1086? \u1086?\u1090?\u1085?\u1086?\u1096?\u1077?\u1085?\u1080?\u1077? \u1085?\u1072? \u1085?\u1103?\u1082?\u1086?\u1080? \u1074?\u1098?\u1079?\u1084?\u1086?\u1078?\u1085?\u1086?\u1089?\u1090?\u1080? \u1079?\u1072? \u1088?\u1080?\u1073?\u1086?\u1083?\u1086?\u1074?"/>
    <w:docVar w:name="LW_PART_NBR" w:val="1"/>
    <w:docVar w:name="LW_PART_NBR_TOTAL" w:val="1"/>
    <w:docVar w:name="LW_REF.INST.NEW" w:val="COM"/>
    <w:docVar w:name="LW_REF.INST.NEW_ADOPTED" w:val="final"/>
    <w:docVar w:name="LW_REF.INST.NEW_TEXT" w:val="(2018) 352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45?"/>
    <w:docVar w:name="LW_TYPE.DOC.CP" w:val="\u1055?\u1056?\u1048?\u1051?\u1054?\u1046?\u1045?\u1053?\u1048?\u1045?"/>
    <w:docVar w:name="LW_TYPEACTEPRINCIPAL" w:val="\u1055?\u1056?\u1045?\u1044?\u1051?\u1054?\u1046?\u1045?\u1053?\u1048?\u1045? \u1047?\u1040? \u1056?\u1045?\u1043?\u1051?\u1040?\u1052?\u1045?\u1053?\u1058? \u1053?\u1040? \u1057?\u1066?\u1042?\u1045?\u1058?\u1040?"/>
    <w:docVar w:name="LW_TYPEACTEPRINCIPAL.CP" w:val="\u1055?\u1056?\u1045?\u1044?\u1051?\u1054?\u1046?\u1045?\u1053?\u1048?\u1045? \u1047?\u1040? \u1056?\u1045?\u1043?\u1051?\u1040?\u1052?\u1045?\u1053?\u1058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2">
    <w:name w:val="List Number 2"/>
    <w:basedOn w:val="Normal"/>
    <w:uiPriority w:val="99"/>
    <w:semiHidden/>
    <w:unhideWhenUsed/>
    <w:pPr>
      <w:numPr>
        <w:numId w:val="1"/>
      </w:numPr>
      <w:contextualSpacing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8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5A96D-E447-4372-919A-985230911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869</Words>
  <Characters>3872</Characters>
  <Application>Microsoft Office Word</Application>
  <DocSecurity>0</DocSecurity>
  <Lines>553</Lines>
  <Paragraphs>263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ZETTERBERG Jonas (MARE)</dc:creator>
  <cp:lastModifiedBy>DIGIT/A3</cp:lastModifiedBy>
  <cp:revision>7</cp:revision>
  <dcterms:created xsi:type="dcterms:W3CDTF">2018-05-22T10:31:00Z</dcterms:created>
  <dcterms:modified xsi:type="dcterms:W3CDTF">2018-05-22T17:13:00Z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5.84.2.0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Part">
    <vt:lpwstr>1</vt:lpwstr>
  </property>
  <property fmtid="{D5CDD505-2E9C-101B-9397-08002B2CF9AE}" pid="9" name="Total parts">
    <vt:lpwstr>1</vt:lpwstr>
  </property>
  <property fmtid="{D5CDD505-2E9C-101B-9397-08002B2CF9AE}" pid="10" name="LWTemplateID">
    <vt:lpwstr>SG-017</vt:lpwstr>
  </property>
  <property fmtid="{D5CDD505-2E9C-101B-9397-08002B2CF9AE}" pid="11" name="Level of sensitivity">
    <vt:lpwstr>Standard treatment</vt:lpwstr>
  </property>
  <property fmtid="{D5CDD505-2E9C-101B-9397-08002B2CF9AE}" pid="12" name="Unique annex">
    <vt:lpwstr>1</vt:lpwstr>
  </property>
  <property fmtid="{D5CDD505-2E9C-101B-9397-08002B2CF9AE}" pid="13" name="DQCStatus">
    <vt:lpwstr>Green (DQC version 03)</vt:lpwstr>
  </property>
</Properties>
</file>