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1C00C7A-53CD-4774-9795-9B24E8A45979" style="width:450.75pt;height:36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pStyle w:val="Point0"/>
        <w:rPr>
          <w:noProof/>
        </w:rPr>
      </w:pPr>
      <w:r>
        <w:rPr>
          <w:noProof/>
        </w:rPr>
        <w:t>1.</w:t>
      </w:r>
      <w:r>
        <w:rPr>
          <w:noProof/>
        </w:rPr>
        <w:tab/>
        <w:t>L'annexe I A du règlement (UE) 2018/120 est modifiée comme suit:</w:t>
      </w:r>
    </w:p>
    <w:p>
      <w:pPr>
        <w:pStyle w:val="Point1number"/>
        <w:numPr>
          <w:ilvl w:val="2"/>
          <w:numId w:val="9"/>
        </w:numPr>
        <w:rPr>
          <w:noProof/>
        </w:rPr>
      </w:pPr>
      <w:r>
        <w:rPr>
          <w:noProof/>
        </w:rPr>
        <w:t>Le tableau des possibilités de pêche pour les cardines dans la zone 7 est remplacé par le tableau suivant:</w:t>
      </w:r>
    </w:p>
    <w:p>
      <w:pPr>
        <w:pStyle w:val="Point1"/>
        <w:ind w:left="850" w:firstLine="0"/>
        <w:rPr>
          <w:noProof/>
        </w:rPr>
      </w:pPr>
      <w:r>
        <w:rPr>
          <w:noProof/>
        </w:rPr>
        <w:t>«</w:t>
      </w:r>
    </w:p>
    <w:tbl>
      <w:tblPr>
        <w:tblW w:w="8303" w:type="dxa"/>
        <w:tblInd w:w="108" w:type="dxa"/>
        <w:tblLook w:val="04A0" w:firstRow="1" w:lastRow="0" w:firstColumn="1" w:lastColumn="0" w:noHBand="0" w:noVBand="1"/>
      </w:tblPr>
      <w:tblGrid>
        <w:gridCol w:w="976"/>
        <w:gridCol w:w="1471"/>
        <w:gridCol w:w="976"/>
        <w:gridCol w:w="976"/>
        <w:gridCol w:w="976"/>
        <w:gridCol w:w="976"/>
        <w:gridCol w:w="976"/>
        <w:gridCol w:w="976"/>
      </w:tblGrid>
      <w:tr>
        <w:trPr>
          <w:trHeight w:val="255"/>
        </w:trPr>
        <w:tc>
          <w:tcPr>
            <w:tcW w:w="976" w:type="dxa"/>
            <w:tcBorders>
              <w:top w:val="single" w:sz="8" w:space="0" w:color="000000"/>
              <w:left w:val="nil"/>
              <w:right w:val="nil"/>
            </w:tcBorders>
            <w:noWrap/>
            <w:hideMark/>
          </w:tcPr>
          <w:p>
            <w:pPr>
              <w:spacing w:after="0"/>
              <w:rPr>
                <w:rFonts w:eastAsia="Times New Roman"/>
                <w:noProof/>
                <w:color w:val="000000"/>
                <w:sz w:val="18"/>
                <w:szCs w:val="18"/>
              </w:rPr>
            </w:pPr>
            <w:r>
              <w:rPr>
                <w:noProof/>
                <w:color w:val="000000"/>
                <w:sz w:val="18"/>
              </w:rPr>
              <w:t>Espèce:</w:t>
            </w:r>
          </w:p>
        </w:tc>
        <w:tc>
          <w:tcPr>
            <w:tcW w:w="1471" w:type="dxa"/>
            <w:tcBorders>
              <w:top w:val="single" w:sz="8" w:space="0" w:color="000000"/>
              <w:left w:val="nil"/>
              <w:right w:val="nil"/>
            </w:tcBorders>
            <w:noWrap/>
            <w:hideMark/>
          </w:tcPr>
          <w:p>
            <w:pPr>
              <w:spacing w:after="0"/>
              <w:rPr>
                <w:rFonts w:eastAsia="Times New Roman"/>
                <w:noProof/>
                <w:sz w:val="18"/>
                <w:szCs w:val="18"/>
              </w:rPr>
            </w:pPr>
            <w:r>
              <w:rPr>
                <w:noProof/>
                <w:sz w:val="18"/>
              </w:rPr>
              <w:t>Cardines</w:t>
            </w:r>
          </w:p>
        </w:tc>
        <w:tc>
          <w:tcPr>
            <w:tcW w:w="976" w:type="dxa"/>
            <w:tcBorders>
              <w:top w:val="single" w:sz="8" w:space="0" w:color="000000"/>
              <w:left w:val="nil"/>
              <w:right w:val="nil"/>
            </w:tcBorders>
            <w:noWrap/>
            <w:hideMark/>
          </w:tcPr>
          <w:p>
            <w:pPr>
              <w:spacing w:after="0"/>
              <w:jc w:val="right"/>
              <w:rPr>
                <w:rFonts w:eastAsia="Times New Roman"/>
                <w:noProof/>
                <w:color w:val="000000"/>
                <w:sz w:val="18"/>
                <w:szCs w:val="18"/>
              </w:rPr>
            </w:pPr>
            <w:r>
              <w:rPr>
                <w:noProof/>
                <w:color w:val="000000"/>
                <w:sz w:val="18"/>
              </w:rPr>
              <w:t> </w:t>
            </w:r>
          </w:p>
        </w:tc>
        <w:tc>
          <w:tcPr>
            <w:tcW w:w="976" w:type="dxa"/>
            <w:tcBorders>
              <w:top w:val="single" w:sz="8" w:space="0" w:color="000000"/>
              <w:left w:val="nil"/>
              <w:right w:val="nil"/>
            </w:tcBorders>
            <w:noWrap/>
            <w:hideMark/>
          </w:tcPr>
          <w:p>
            <w:pPr>
              <w:spacing w:after="0"/>
              <w:rPr>
                <w:rFonts w:eastAsia="Times New Roman"/>
                <w:noProof/>
                <w:color w:val="000000"/>
                <w:sz w:val="18"/>
                <w:szCs w:val="18"/>
              </w:rPr>
            </w:pPr>
            <w:r>
              <w:rPr>
                <w:noProof/>
                <w:color w:val="000000"/>
                <w:sz w:val="18"/>
              </w:rPr>
              <w:t> </w:t>
            </w:r>
          </w:p>
        </w:tc>
        <w:tc>
          <w:tcPr>
            <w:tcW w:w="976" w:type="dxa"/>
            <w:tcBorders>
              <w:top w:val="single" w:sz="8" w:space="0" w:color="000000"/>
              <w:left w:val="single" w:sz="8" w:space="0" w:color="000000"/>
              <w:right w:val="nil"/>
            </w:tcBorders>
            <w:noWrap/>
            <w:hideMark/>
          </w:tcPr>
          <w:p>
            <w:pPr>
              <w:spacing w:after="0"/>
              <w:rPr>
                <w:rFonts w:eastAsia="Times New Roman"/>
                <w:noProof/>
                <w:color w:val="000000"/>
                <w:sz w:val="18"/>
                <w:szCs w:val="18"/>
              </w:rPr>
            </w:pPr>
            <w:r>
              <w:rPr>
                <w:noProof/>
                <w:color w:val="000000"/>
                <w:sz w:val="18"/>
              </w:rPr>
              <w:t>Zone:</w:t>
            </w:r>
          </w:p>
        </w:tc>
        <w:tc>
          <w:tcPr>
            <w:tcW w:w="976" w:type="dxa"/>
            <w:tcBorders>
              <w:top w:val="single" w:sz="8" w:space="0" w:color="000000"/>
              <w:left w:val="nil"/>
              <w:right w:val="nil"/>
            </w:tcBorders>
            <w:noWrap/>
            <w:hideMark/>
          </w:tcPr>
          <w:p>
            <w:pPr>
              <w:spacing w:after="0"/>
              <w:rPr>
                <w:rFonts w:eastAsia="Times New Roman"/>
                <w:noProof/>
                <w:color w:val="000000"/>
                <w:sz w:val="18"/>
                <w:szCs w:val="18"/>
              </w:rPr>
            </w:pPr>
            <w:r>
              <w:rPr>
                <w:noProof/>
                <w:color w:val="000000"/>
                <w:sz w:val="18"/>
              </w:rPr>
              <w:t>Zone 7</w:t>
            </w:r>
          </w:p>
        </w:tc>
        <w:tc>
          <w:tcPr>
            <w:tcW w:w="976" w:type="dxa"/>
            <w:tcBorders>
              <w:top w:val="single" w:sz="8" w:space="0" w:color="000000"/>
              <w:left w:val="nil"/>
              <w:right w:val="nil"/>
            </w:tcBorders>
            <w:noWrap/>
            <w:hideMark/>
          </w:tcPr>
          <w:p>
            <w:pPr>
              <w:spacing w:after="0"/>
              <w:rPr>
                <w:rFonts w:eastAsia="Times New Roman"/>
                <w:noProof/>
                <w:color w:val="000000"/>
                <w:sz w:val="18"/>
                <w:szCs w:val="18"/>
              </w:rPr>
            </w:pPr>
            <w:r>
              <w:rPr>
                <w:noProof/>
                <w:color w:val="000000"/>
                <w:sz w:val="18"/>
              </w:rPr>
              <w:t> </w:t>
            </w:r>
          </w:p>
        </w:tc>
        <w:tc>
          <w:tcPr>
            <w:tcW w:w="976" w:type="dxa"/>
            <w:tcBorders>
              <w:top w:val="single" w:sz="8" w:space="0" w:color="000000"/>
              <w:left w:val="nil"/>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976" w:type="dxa"/>
            <w:tcBorders>
              <w:top w:val="nil"/>
              <w:left w:val="nil"/>
              <w:bottom w:val="single" w:sz="4" w:space="0" w:color="auto"/>
              <w:right w:val="nil"/>
            </w:tcBorders>
            <w:noWrap/>
            <w:hideMark/>
          </w:tcPr>
          <w:p>
            <w:pPr>
              <w:spacing w:after="0"/>
              <w:rPr>
                <w:rFonts w:eastAsia="Times New Roman"/>
                <w:noProof/>
                <w:color w:val="000000"/>
                <w:sz w:val="18"/>
                <w:szCs w:val="18"/>
              </w:rPr>
            </w:pPr>
            <w:r>
              <w:rPr>
                <w:noProof/>
                <w:color w:val="000000"/>
                <w:sz w:val="18"/>
              </w:rPr>
              <w:t> </w:t>
            </w:r>
          </w:p>
        </w:tc>
        <w:tc>
          <w:tcPr>
            <w:tcW w:w="3423" w:type="dxa"/>
            <w:gridSpan w:val="3"/>
            <w:tcBorders>
              <w:bottom w:val="single" w:sz="4" w:space="0" w:color="auto"/>
            </w:tcBorders>
            <w:noWrap/>
            <w:hideMark/>
          </w:tcPr>
          <w:p>
            <w:pPr>
              <w:spacing w:after="0"/>
              <w:rPr>
                <w:rFonts w:eastAsia="Times New Roman"/>
                <w:i/>
                <w:iCs/>
                <w:noProof/>
                <w:sz w:val="18"/>
                <w:szCs w:val="18"/>
              </w:rPr>
            </w:pPr>
            <w:r>
              <w:rPr>
                <w:i/>
                <w:noProof/>
                <w:sz w:val="18"/>
              </w:rPr>
              <w:t xml:space="preserve">Lepidorhombus </w:t>
            </w:r>
            <w:r>
              <w:rPr>
                <w:noProof/>
                <w:sz w:val="18"/>
              </w:rPr>
              <w:t>spp.</w:t>
            </w:r>
            <w:r>
              <w:rPr>
                <w:i/>
                <w:noProof/>
                <w:color w:val="000000"/>
                <w:sz w:val="18"/>
              </w:rPr>
              <w:t> </w:t>
            </w:r>
          </w:p>
          <w:p>
            <w:pPr>
              <w:spacing w:after="0"/>
              <w:rPr>
                <w:rFonts w:eastAsia="Times New Roman"/>
                <w:i/>
                <w:iCs/>
                <w:noProof/>
                <w:color w:val="000000"/>
                <w:sz w:val="18"/>
                <w:szCs w:val="18"/>
              </w:rPr>
            </w:pPr>
            <w:r>
              <w:rPr>
                <w:i/>
                <w:noProof/>
                <w:color w:val="000000"/>
                <w:sz w:val="18"/>
              </w:rPr>
              <w:t> </w:t>
            </w:r>
          </w:p>
        </w:tc>
        <w:tc>
          <w:tcPr>
            <w:tcW w:w="976" w:type="dxa"/>
            <w:tcBorders>
              <w:top w:val="nil"/>
              <w:left w:val="single" w:sz="8" w:space="0" w:color="000000"/>
              <w:bottom w:val="single" w:sz="4" w:space="0" w:color="auto"/>
              <w:right w:val="nil"/>
            </w:tcBorders>
            <w:noWrap/>
            <w:hideMark/>
          </w:tcPr>
          <w:p>
            <w:pPr>
              <w:spacing w:after="0"/>
              <w:rPr>
                <w:rFonts w:eastAsia="Times New Roman"/>
                <w:noProof/>
                <w:color w:val="000000"/>
                <w:sz w:val="18"/>
                <w:szCs w:val="18"/>
              </w:rPr>
            </w:pPr>
            <w:r>
              <w:rPr>
                <w:noProof/>
                <w:color w:val="000000"/>
                <w:sz w:val="18"/>
              </w:rPr>
              <w:t> </w:t>
            </w:r>
          </w:p>
        </w:tc>
        <w:tc>
          <w:tcPr>
            <w:tcW w:w="976" w:type="dxa"/>
            <w:tcBorders>
              <w:top w:val="nil"/>
              <w:left w:val="nil"/>
              <w:bottom w:val="single" w:sz="4" w:space="0" w:color="auto"/>
              <w:right w:val="nil"/>
            </w:tcBorders>
            <w:noWrap/>
            <w:hideMark/>
          </w:tcPr>
          <w:p>
            <w:pPr>
              <w:spacing w:after="0"/>
              <w:rPr>
                <w:rFonts w:eastAsia="Times New Roman"/>
                <w:noProof/>
                <w:color w:val="000000"/>
                <w:sz w:val="18"/>
                <w:szCs w:val="18"/>
              </w:rPr>
            </w:pPr>
            <w:r>
              <w:rPr>
                <w:noProof/>
                <w:color w:val="000000"/>
                <w:sz w:val="18"/>
              </w:rPr>
              <w:t>(LEZ/07.)</w:t>
            </w:r>
          </w:p>
        </w:tc>
        <w:tc>
          <w:tcPr>
            <w:tcW w:w="976" w:type="dxa"/>
            <w:tcBorders>
              <w:top w:val="nil"/>
              <w:left w:val="nil"/>
              <w:bottom w:val="single" w:sz="4" w:space="0" w:color="auto"/>
              <w:right w:val="nil"/>
            </w:tcBorders>
            <w:noWrap/>
            <w:hideMark/>
          </w:tcPr>
          <w:p>
            <w:pPr>
              <w:spacing w:after="0"/>
              <w:rPr>
                <w:rFonts w:eastAsia="Times New Roman"/>
                <w:noProof/>
                <w:color w:val="000000"/>
                <w:sz w:val="18"/>
                <w:szCs w:val="18"/>
              </w:rPr>
            </w:pPr>
            <w:r>
              <w:rPr>
                <w:noProof/>
                <w:color w:val="000000"/>
                <w:sz w:val="18"/>
              </w:rPr>
              <w:t> </w:t>
            </w:r>
          </w:p>
        </w:tc>
        <w:tc>
          <w:tcPr>
            <w:tcW w:w="976" w:type="dxa"/>
            <w:tcBorders>
              <w:top w:val="nil"/>
              <w:left w:val="nil"/>
              <w:bottom w:val="single" w:sz="4" w:space="0" w:color="auto"/>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976" w:type="dxa"/>
            <w:tcBorders>
              <w:top w:val="single" w:sz="4" w:space="0" w:color="auto"/>
            </w:tcBorders>
            <w:noWrap/>
            <w:hideMark/>
          </w:tcPr>
          <w:p>
            <w:pPr>
              <w:spacing w:after="0"/>
              <w:rPr>
                <w:rFonts w:eastAsia="Times New Roman"/>
                <w:noProof/>
                <w:color w:val="000000"/>
                <w:sz w:val="18"/>
                <w:szCs w:val="18"/>
              </w:rPr>
            </w:pPr>
            <w:r>
              <w:rPr>
                <w:noProof/>
                <w:color w:val="000000"/>
                <w:sz w:val="18"/>
              </w:rPr>
              <w:t>Belgique</w:t>
            </w:r>
          </w:p>
        </w:tc>
        <w:tc>
          <w:tcPr>
            <w:tcW w:w="1471" w:type="dxa"/>
            <w:tcBorders>
              <w:top w:val="single" w:sz="4" w:space="0" w:color="auto"/>
              <w:left w:val="nil"/>
              <w:bottom w:val="nil"/>
              <w:right w:val="nil"/>
            </w:tcBorders>
            <w:noWrap/>
            <w:hideMark/>
          </w:tcPr>
          <w:p>
            <w:pPr>
              <w:spacing w:after="0"/>
              <w:rPr>
                <w:rFonts w:eastAsia="Times New Roman"/>
                <w:noProof/>
                <w:sz w:val="18"/>
                <w:szCs w:val="18"/>
              </w:rPr>
            </w:pPr>
            <w:r>
              <w:rPr>
                <w:noProof/>
                <w:sz w:val="18"/>
              </w:rPr>
              <w:t> </w:t>
            </w:r>
          </w:p>
        </w:tc>
        <w:tc>
          <w:tcPr>
            <w:tcW w:w="976" w:type="dxa"/>
            <w:tcBorders>
              <w:top w:val="single" w:sz="4" w:space="0" w:color="auto"/>
            </w:tcBorders>
            <w:noWrap/>
            <w:hideMark/>
          </w:tcPr>
          <w:p>
            <w:pPr>
              <w:spacing w:after="0"/>
              <w:jc w:val="right"/>
              <w:rPr>
                <w:rFonts w:eastAsia="Times New Roman"/>
                <w:noProof/>
                <w:color w:val="000000"/>
                <w:sz w:val="18"/>
                <w:szCs w:val="18"/>
              </w:rPr>
            </w:pPr>
            <w:r>
              <w:rPr>
                <w:noProof/>
                <w:color w:val="000000"/>
                <w:sz w:val="18"/>
              </w:rPr>
              <w:t xml:space="preserve"> 333</w:t>
            </w:r>
          </w:p>
        </w:tc>
        <w:tc>
          <w:tcPr>
            <w:tcW w:w="976" w:type="dxa"/>
            <w:tcBorders>
              <w:top w:val="single" w:sz="4" w:space="0" w:color="auto"/>
            </w:tcBorders>
            <w:noWrap/>
            <w:hideMark/>
          </w:tcPr>
          <w:p>
            <w:pPr>
              <w:spacing w:after="0"/>
              <w:rPr>
                <w:rFonts w:eastAsia="Times New Roman"/>
                <w:noProof/>
                <w:color w:val="000000"/>
                <w:sz w:val="18"/>
                <w:szCs w:val="18"/>
              </w:rPr>
            </w:pPr>
            <w:r>
              <w:rPr>
                <w:noProof/>
                <w:color w:val="000000"/>
                <w:sz w:val="18"/>
                <w:vertAlign w:val="superscript"/>
              </w:rPr>
              <w:t>(1)</w:t>
            </w:r>
          </w:p>
        </w:tc>
        <w:tc>
          <w:tcPr>
            <w:tcW w:w="1952" w:type="dxa"/>
            <w:gridSpan w:val="2"/>
            <w:tcBorders>
              <w:top w:val="single" w:sz="4" w:space="0" w:color="auto"/>
              <w:left w:val="nil"/>
              <w:bottom w:val="nil"/>
              <w:right w:val="nil"/>
            </w:tcBorders>
            <w:noWrap/>
            <w:hideMark/>
          </w:tcPr>
          <w:p>
            <w:pPr>
              <w:spacing w:after="0"/>
              <w:rPr>
                <w:rFonts w:eastAsia="Times New Roman"/>
                <w:noProof/>
                <w:color w:val="000000"/>
                <w:sz w:val="18"/>
                <w:szCs w:val="18"/>
              </w:rPr>
            </w:pPr>
            <w:r>
              <w:rPr>
                <w:noProof/>
                <w:color w:val="000000"/>
                <w:sz w:val="18"/>
              </w:rPr>
              <w:t>TAC analytique</w:t>
            </w:r>
          </w:p>
        </w:tc>
        <w:tc>
          <w:tcPr>
            <w:tcW w:w="976" w:type="dxa"/>
            <w:tcBorders>
              <w:top w:val="single" w:sz="4" w:space="0" w:color="auto"/>
            </w:tcBorders>
            <w:noWrap/>
            <w:hideMark/>
          </w:tcPr>
          <w:p>
            <w:pPr>
              <w:spacing w:after="0"/>
              <w:rPr>
                <w:rFonts w:eastAsia="Times New Roman"/>
                <w:noProof/>
                <w:color w:val="000000"/>
                <w:sz w:val="18"/>
                <w:szCs w:val="18"/>
              </w:rPr>
            </w:pPr>
            <w:r>
              <w:rPr>
                <w:noProof/>
                <w:color w:val="000000"/>
                <w:sz w:val="18"/>
              </w:rPr>
              <w:t> </w:t>
            </w:r>
          </w:p>
        </w:tc>
        <w:tc>
          <w:tcPr>
            <w:tcW w:w="976" w:type="dxa"/>
            <w:tcBorders>
              <w:top w:val="single" w:sz="4" w:space="0" w:color="auto"/>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976" w:type="dxa"/>
            <w:noWrap/>
            <w:hideMark/>
          </w:tcPr>
          <w:p>
            <w:pPr>
              <w:spacing w:after="0"/>
              <w:rPr>
                <w:rFonts w:eastAsia="Times New Roman"/>
                <w:noProof/>
                <w:color w:val="000000"/>
                <w:sz w:val="18"/>
                <w:szCs w:val="18"/>
              </w:rPr>
            </w:pPr>
            <w:r>
              <w:rPr>
                <w:noProof/>
                <w:color w:val="000000"/>
                <w:sz w:val="18"/>
              </w:rPr>
              <w:t>Espagne</w:t>
            </w:r>
          </w:p>
        </w:tc>
        <w:tc>
          <w:tcPr>
            <w:tcW w:w="1471" w:type="dxa"/>
            <w:noWrap/>
            <w:hideMark/>
          </w:tcPr>
          <w:p>
            <w:pPr>
              <w:spacing w:after="0" w:line="276" w:lineRule="auto"/>
              <w:rPr>
                <w:noProof/>
                <w:sz w:val="22"/>
              </w:rPr>
            </w:pPr>
          </w:p>
        </w:tc>
        <w:tc>
          <w:tcPr>
            <w:tcW w:w="976" w:type="dxa"/>
            <w:noWrap/>
            <w:hideMark/>
          </w:tcPr>
          <w:p>
            <w:pPr>
              <w:spacing w:after="0"/>
              <w:jc w:val="right"/>
              <w:rPr>
                <w:rFonts w:eastAsia="Times New Roman"/>
                <w:noProof/>
                <w:color w:val="000000"/>
                <w:sz w:val="18"/>
                <w:szCs w:val="18"/>
              </w:rPr>
            </w:pPr>
            <w:r>
              <w:rPr>
                <w:noProof/>
                <w:color w:val="000000"/>
                <w:sz w:val="18"/>
              </w:rPr>
              <w:t>3 693</w:t>
            </w:r>
          </w:p>
        </w:tc>
        <w:tc>
          <w:tcPr>
            <w:tcW w:w="976" w:type="dxa"/>
            <w:noWrap/>
            <w:hideMark/>
          </w:tcPr>
          <w:p>
            <w:pPr>
              <w:spacing w:after="0"/>
              <w:rPr>
                <w:rFonts w:eastAsia="Times New Roman"/>
                <w:noProof/>
                <w:color w:val="000000"/>
                <w:sz w:val="18"/>
                <w:szCs w:val="18"/>
              </w:rPr>
            </w:pPr>
            <w:r>
              <w:rPr>
                <w:noProof/>
                <w:color w:val="000000"/>
                <w:sz w:val="18"/>
                <w:vertAlign w:val="superscript"/>
              </w:rPr>
              <w:t>(2)</w:t>
            </w:r>
          </w:p>
        </w:tc>
        <w:tc>
          <w:tcPr>
            <w:tcW w:w="3904" w:type="dxa"/>
            <w:gridSpan w:val="4"/>
            <w:noWrap/>
            <w:hideMark/>
          </w:tcPr>
          <w:p>
            <w:pPr>
              <w:spacing w:after="0" w:line="276" w:lineRule="auto"/>
              <w:rPr>
                <w:noProof/>
                <w:sz w:val="22"/>
              </w:rPr>
            </w:pPr>
            <w:r>
              <w:rPr>
                <w:noProof/>
                <w:color w:val="000000"/>
                <w:sz w:val="18"/>
              </w:rPr>
              <w:t>L'article 7, paragraphe 2, du présent règlement s'applique.</w:t>
            </w:r>
          </w:p>
        </w:tc>
      </w:tr>
      <w:tr>
        <w:trPr>
          <w:trHeight w:val="270"/>
        </w:trPr>
        <w:tc>
          <w:tcPr>
            <w:tcW w:w="976" w:type="dxa"/>
            <w:noWrap/>
            <w:hideMark/>
          </w:tcPr>
          <w:p>
            <w:pPr>
              <w:spacing w:after="0"/>
              <w:rPr>
                <w:rFonts w:eastAsia="Times New Roman"/>
                <w:noProof/>
                <w:color w:val="000000"/>
                <w:sz w:val="18"/>
                <w:szCs w:val="18"/>
              </w:rPr>
            </w:pPr>
            <w:r>
              <w:rPr>
                <w:noProof/>
                <w:color w:val="000000"/>
                <w:sz w:val="18"/>
              </w:rPr>
              <w:t>France</w:t>
            </w:r>
          </w:p>
        </w:tc>
        <w:tc>
          <w:tcPr>
            <w:tcW w:w="1471" w:type="dxa"/>
            <w:noWrap/>
            <w:hideMark/>
          </w:tcPr>
          <w:p>
            <w:pPr>
              <w:spacing w:after="0" w:line="276" w:lineRule="auto"/>
              <w:rPr>
                <w:noProof/>
                <w:sz w:val="22"/>
              </w:rPr>
            </w:pPr>
          </w:p>
        </w:tc>
        <w:tc>
          <w:tcPr>
            <w:tcW w:w="976" w:type="dxa"/>
            <w:noWrap/>
            <w:hideMark/>
          </w:tcPr>
          <w:p>
            <w:pPr>
              <w:spacing w:after="0"/>
              <w:jc w:val="right"/>
              <w:rPr>
                <w:rFonts w:eastAsia="Times New Roman"/>
                <w:noProof/>
                <w:color w:val="000000"/>
                <w:sz w:val="18"/>
                <w:szCs w:val="18"/>
              </w:rPr>
            </w:pPr>
            <w:r>
              <w:rPr>
                <w:noProof/>
                <w:color w:val="000000"/>
                <w:sz w:val="18"/>
              </w:rPr>
              <w:t>4 481</w:t>
            </w:r>
          </w:p>
        </w:tc>
        <w:tc>
          <w:tcPr>
            <w:tcW w:w="976" w:type="dxa"/>
            <w:noWrap/>
            <w:hideMark/>
          </w:tcPr>
          <w:p>
            <w:pPr>
              <w:spacing w:after="0"/>
              <w:rPr>
                <w:rFonts w:eastAsia="Times New Roman"/>
                <w:noProof/>
                <w:color w:val="000000"/>
                <w:sz w:val="18"/>
                <w:szCs w:val="18"/>
              </w:rPr>
            </w:pPr>
            <w:r>
              <w:rPr>
                <w:noProof/>
                <w:color w:val="000000"/>
                <w:sz w:val="18"/>
                <w:vertAlign w:val="superscript"/>
              </w:rPr>
              <w:t>(2)</w:t>
            </w:r>
          </w:p>
        </w:tc>
        <w:tc>
          <w:tcPr>
            <w:tcW w:w="3904" w:type="dxa"/>
            <w:gridSpan w:val="4"/>
            <w:noWrap/>
            <w:hideMark/>
          </w:tcPr>
          <w:p>
            <w:pPr>
              <w:spacing w:after="0"/>
              <w:rPr>
                <w:rFonts w:eastAsia="Times New Roman"/>
                <w:noProof/>
                <w:color w:val="000000"/>
                <w:sz w:val="18"/>
                <w:szCs w:val="18"/>
              </w:rPr>
            </w:pPr>
            <w:r>
              <w:rPr>
                <w:noProof/>
                <w:color w:val="000000"/>
                <w:sz w:val="18"/>
              </w:rPr>
              <w:t>L'article 12, paragraphe 1, du présent règlement s'applique.</w:t>
            </w:r>
          </w:p>
        </w:tc>
      </w:tr>
      <w:tr>
        <w:trPr>
          <w:trHeight w:val="270"/>
        </w:trPr>
        <w:tc>
          <w:tcPr>
            <w:tcW w:w="976" w:type="dxa"/>
            <w:noWrap/>
            <w:hideMark/>
          </w:tcPr>
          <w:p>
            <w:pPr>
              <w:spacing w:after="0"/>
              <w:rPr>
                <w:rFonts w:eastAsia="Times New Roman"/>
                <w:noProof/>
                <w:color w:val="000000"/>
                <w:sz w:val="18"/>
                <w:szCs w:val="18"/>
              </w:rPr>
            </w:pPr>
            <w:r>
              <w:rPr>
                <w:noProof/>
                <w:color w:val="000000"/>
                <w:sz w:val="18"/>
              </w:rPr>
              <w:t>Irlande</w:t>
            </w:r>
          </w:p>
        </w:tc>
        <w:tc>
          <w:tcPr>
            <w:tcW w:w="1471" w:type="dxa"/>
            <w:noWrap/>
            <w:hideMark/>
          </w:tcPr>
          <w:p>
            <w:pPr>
              <w:spacing w:after="0" w:line="276" w:lineRule="auto"/>
              <w:rPr>
                <w:noProof/>
                <w:sz w:val="22"/>
              </w:rPr>
            </w:pPr>
          </w:p>
        </w:tc>
        <w:tc>
          <w:tcPr>
            <w:tcW w:w="976" w:type="dxa"/>
            <w:noWrap/>
            <w:hideMark/>
          </w:tcPr>
          <w:p>
            <w:pPr>
              <w:spacing w:after="0"/>
              <w:jc w:val="right"/>
              <w:rPr>
                <w:rFonts w:eastAsia="Times New Roman"/>
                <w:noProof/>
                <w:color w:val="000000"/>
                <w:sz w:val="18"/>
                <w:szCs w:val="18"/>
              </w:rPr>
            </w:pPr>
            <w:r>
              <w:rPr>
                <w:noProof/>
                <w:color w:val="000000"/>
                <w:sz w:val="18"/>
              </w:rPr>
              <w:t>2 038</w:t>
            </w:r>
          </w:p>
        </w:tc>
        <w:tc>
          <w:tcPr>
            <w:tcW w:w="976" w:type="dxa"/>
            <w:noWrap/>
            <w:hideMark/>
          </w:tcPr>
          <w:p>
            <w:pPr>
              <w:spacing w:after="0"/>
              <w:rPr>
                <w:rFonts w:eastAsia="Times New Roman"/>
                <w:noProof/>
                <w:color w:val="000000"/>
                <w:sz w:val="18"/>
                <w:szCs w:val="18"/>
              </w:rPr>
            </w:pPr>
            <w:r>
              <w:rPr>
                <w:noProof/>
                <w:color w:val="000000"/>
                <w:sz w:val="18"/>
                <w:vertAlign w:val="superscript"/>
              </w:rPr>
              <w:t>(1)</w:t>
            </w: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r>
      <w:tr>
        <w:trPr>
          <w:trHeight w:val="270"/>
        </w:trPr>
        <w:tc>
          <w:tcPr>
            <w:tcW w:w="2447" w:type="dxa"/>
            <w:gridSpan w:val="2"/>
            <w:noWrap/>
            <w:hideMark/>
          </w:tcPr>
          <w:p>
            <w:pPr>
              <w:spacing w:after="0"/>
              <w:rPr>
                <w:rFonts w:eastAsia="Times New Roman"/>
                <w:noProof/>
                <w:color w:val="000000"/>
                <w:sz w:val="18"/>
                <w:szCs w:val="18"/>
              </w:rPr>
            </w:pPr>
            <w:r>
              <w:rPr>
                <w:noProof/>
                <w:color w:val="000000"/>
                <w:sz w:val="18"/>
              </w:rPr>
              <w:t>Royaume-Uni</w:t>
            </w:r>
          </w:p>
        </w:tc>
        <w:tc>
          <w:tcPr>
            <w:tcW w:w="976" w:type="dxa"/>
            <w:noWrap/>
            <w:hideMark/>
          </w:tcPr>
          <w:p>
            <w:pPr>
              <w:spacing w:after="0"/>
              <w:jc w:val="right"/>
              <w:rPr>
                <w:rFonts w:eastAsia="Times New Roman"/>
                <w:noProof/>
                <w:color w:val="000000"/>
                <w:sz w:val="18"/>
                <w:szCs w:val="18"/>
              </w:rPr>
            </w:pPr>
            <w:r>
              <w:rPr>
                <w:noProof/>
                <w:color w:val="000000"/>
                <w:sz w:val="18"/>
              </w:rPr>
              <w:t>1 765</w:t>
            </w:r>
          </w:p>
        </w:tc>
        <w:tc>
          <w:tcPr>
            <w:tcW w:w="976" w:type="dxa"/>
            <w:noWrap/>
            <w:hideMark/>
          </w:tcPr>
          <w:p>
            <w:pPr>
              <w:spacing w:after="0"/>
              <w:rPr>
                <w:rFonts w:eastAsia="Times New Roman"/>
                <w:noProof/>
                <w:color w:val="000000"/>
                <w:sz w:val="18"/>
                <w:szCs w:val="18"/>
              </w:rPr>
            </w:pPr>
            <w:r>
              <w:rPr>
                <w:noProof/>
                <w:color w:val="000000"/>
                <w:sz w:val="18"/>
                <w:vertAlign w:val="superscript"/>
              </w:rPr>
              <w:t>(1)</w:t>
            </w: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r>
      <w:tr>
        <w:trPr>
          <w:trHeight w:val="270"/>
        </w:trPr>
        <w:tc>
          <w:tcPr>
            <w:tcW w:w="976" w:type="dxa"/>
            <w:noWrap/>
            <w:hideMark/>
          </w:tcPr>
          <w:p>
            <w:pPr>
              <w:spacing w:after="0"/>
              <w:rPr>
                <w:rFonts w:eastAsia="Times New Roman"/>
                <w:noProof/>
                <w:color w:val="000000"/>
                <w:sz w:val="18"/>
                <w:szCs w:val="18"/>
              </w:rPr>
            </w:pPr>
            <w:r>
              <w:rPr>
                <w:noProof/>
                <w:color w:val="000000"/>
                <w:sz w:val="18"/>
              </w:rPr>
              <w:t>Union</w:t>
            </w:r>
          </w:p>
        </w:tc>
        <w:tc>
          <w:tcPr>
            <w:tcW w:w="1471" w:type="dxa"/>
            <w:noWrap/>
            <w:hideMark/>
          </w:tcPr>
          <w:p>
            <w:pPr>
              <w:spacing w:after="0" w:line="276" w:lineRule="auto"/>
              <w:rPr>
                <w:noProof/>
                <w:sz w:val="22"/>
              </w:rPr>
            </w:pPr>
          </w:p>
        </w:tc>
        <w:tc>
          <w:tcPr>
            <w:tcW w:w="976" w:type="dxa"/>
            <w:noWrap/>
            <w:hideMark/>
          </w:tcPr>
          <w:p>
            <w:pPr>
              <w:spacing w:after="0"/>
              <w:jc w:val="right"/>
              <w:rPr>
                <w:rFonts w:eastAsia="Times New Roman"/>
                <w:noProof/>
                <w:color w:val="000000"/>
                <w:sz w:val="18"/>
                <w:szCs w:val="18"/>
              </w:rPr>
            </w:pPr>
            <w:r>
              <w:rPr>
                <w:noProof/>
                <w:color w:val="000000"/>
                <w:sz w:val="18"/>
              </w:rPr>
              <w:t>12 310</w:t>
            </w: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r>
      <w:tr>
        <w:trPr>
          <w:trHeight w:val="270"/>
        </w:trPr>
        <w:tc>
          <w:tcPr>
            <w:tcW w:w="976" w:type="dxa"/>
            <w:noWrap/>
            <w:hideMark/>
          </w:tcPr>
          <w:p>
            <w:pPr>
              <w:spacing w:after="0" w:line="276" w:lineRule="auto"/>
              <w:rPr>
                <w:noProof/>
                <w:sz w:val="22"/>
              </w:rPr>
            </w:pPr>
          </w:p>
        </w:tc>
        <w:tc>
          <w:tcPr>
            <w:tcW w:w="1471"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r>
      <w:tr>
        <w:trPr>
          <w:trHeight w:val="255"/>
        </w:trPr>
        <w:tc>
          <w:tcPr>
            <w:tcW w:w="976" w:type="dxa"/>
            <w:noWrap/>
            <w:hideMark/>
          </w:tcPr>
          <w:p>
            <w:pPr>
              <w:spacing w:after="0"/>
              <w:rPr>
                <w:rFonts w:eastAsia="Times New Roman"/>
                <w:noProof/>
                <w:color w:val="000000"/>
                <w:sz w:val="18"/>
                <w:szCs w:val="18"/>
              </w:rPr>
            </w:pPr>
            <w:r>
              <w:rPr>
                <w:noProof/>
                <w:color w:val="000000"/>
                <w:sz w:val="18"/>
              </w:rPr>
              <w:t>TAC</w:t>
            </w:r>
          </w:p>
        </w:tc>
        <w:tc>
          <w:tcPr>
            <w:tcW w:w="1471" w:type="dxa"/>
            <w:noWrap/>
            <w:hideMark/>
          </w:tcPr>
          <w:p>
            <w:pPr>
              <w:spacing w:after="0" w:line="276" w:lineRule="auto"/>
              <w:rPr>
                <w:noProof/>
                <w:sz w:val="22"/>
              </w:rPr>
            </w:pPr>
          </w:p>
        </w:tc>
        <w:tc>
          <w:tcPr>
            <w:tcW w:w="976" w:type="dxa"/>
            <w:noWrap/>
            <w:hideMark/>
          </w:tcPr>
          <w:p>
            <w:pPr>
              <w:spacing w:after="0"/>
              <w:jc w:val="right"/>
              <w:rPr>
                <w:rFonts w:eastAsia="Times New Roman"/>
                <w:noProof/>
                <w:color w:val="000000"/>
                <w:sz w:val="18"/>
                <w:szCs w:val="18"/>
              </w:rPr>
            </w:pPr>
            <w:r>
              <w:rPr>
                <w:noProof/>
                <w:color w:val="000000"/>
                <w:sz w:val="18"/>
              </w:rPr>
              <w:t>12 310</w:t>
            </w: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c>
          <w:tcPr>
            <w:tcW w:w="976" w:type="dxa"/>
            <w:noWrap/>
            <w:hideMark/>
          </w:tcPr>
          <w:p>
            <w:pPr>
              <w:spacing w:after="0" w:line="276" w:lineRule="auto"/>
              <w:rPr>
                <w:noProof/>
                <w:sz w:val="22"/>
              </w:rPr>
            </w:pPr>
          </w:p>
        </w:tc>
      </w:tr>
      <w:tr>
        <w:trPr>
          <w:trHeight w:val="270"/>
        </w:trPr>
        <w:tc>
          <w:tcPr>
            <w:tcW w:w="976" w:type="dxa"/>
            <w:noWrap/>
            <w:hideMark/>
          </w:tcPr>
          <w:p>
            <w:pPr>
              <w:spacing w:after="0"/>
              <w:rPr>
                <w:rFonts w:eastAsia="Times New Roman"/>
                <w:noProof/>
                <w:color w:val="000000"/>
                <w:sz w:val="18"/>
                <w:szCs w:val="18"/>
              </w:rPr>
            </w:pPr>
            <w:r>
              <w:rPr>
                <w:noProof/>
                <w:color w:val="000000"/>
                <w:sz w:val="18"/>
                <w:vertAlign w:val="superscript"/>
              </w:rPr>
              <w:t>(1)</w:t>
            </w:r>
          </w:p>
        </w:tc>
        <w:tc>
          <w:tcPr>
            <w:tcW w:w="6351" w:type="dxa"/>
            <w:gridSpan w:val="6"/>
            <w:noWrap/>
            <w:hideMark/>
          </w:tcPr>
          <w:p>
            <w:pPr>
              <w:spacing w:after="0"/>
              <w:rPr>
                <w:rFonts w:eastAsia="Times New Roman"/>
                <w:noProof/>
                <w:sz w:val="18"/>
                <w:szCs w:val="18"/>
              </w:rPr>
            </w:pPr>
            <w:r>
              <w:rPr>
                <w:noProof/>
                <w:sz w:val="18"/>
                <w:vertAlign w:val="superscript"/>
              </w:rPr>
              <w:t>5 % de ce quota peuvent être utilisés dans les zones 8a, 8b, 8d et 8e (LEZ/*8ABDE) pour les prises accessoires dans les pêches ciblées de sole.</w:t>
            </w:r>
          </w:p>
        </w:tc>
        <w:tc>
          <w:tcPr>
            <w:tcW w:w="976" w:type="dxa"/>
            <w:noWrap/>
            <w:hideMark/>
          </w:tcPr>
          <w:p>
            <w:pPr>
              <w:spacing w:after="0" w:line="276" w:lineRule="auto"/>
              <w:rPr>
                <w:noProof/>
                <w:sz w:val="22"/>
              </w:rPr>
            </w:pPr>
          </w:p>
        </w:tc>
      </w:tr>
      <w:tr>
        <w:trPr>
          <w:trHeight w:val="270"/>
        </w:trPr>
        <w:tc>
          <w:tcPr>
            <w:tcW w:w="976" w:type="dxa"/>
            <w:tcBorders>
              <w:bottom w:val="single" w:sz="4" w:space="0" w:color="auto"/>
            </w:tcBorders>
            <w:noWrap/>
            <w:hideMark/>
          </w:tcPr>
          <w:p>
            <w:pPr>
              <w:spacing w:after="0"/>
              <w:rPr>
                <w:rFonts w:eastAsia="Times New Roman"/>
                <w:noProof/>
                <w:color w:val="000000"/>
                <w:sz w:val="18"/>
                <w:szCs w:val="18"/>
              </w:rPr>
            </w:pPr>
            <w:r>
              <w:rPr>
                <w:noProof/>
                <w:color w:val="000000"/>
                <w:sz w:val="18"/>
                <w:vertAlign w:val="superscript"/>
              </w:rPr>
              <w:t>(2)</w:t>
            </w:r>
          </w:p>
        </w:tc>
        <w:tc>
          <w:tcPr>
            <w:tcW w:w="4399" w:type="dxa"/>
            <w:gridSpan w:val="4"/>
            <w:tcBorders>
              <w:bottom w:val="single" w:sz="4" w:space="0" w:color="auto"/>
            </w:tcBorders>
            <w:noWrap/>
            <w:hideMark/>
          </w:tcPr>
          <w:p>
            <w:pPr>
              <w:spacing w:after="0"/>
              <w:rPr>
                <w:rFonts w:eastAsia="Times New Roman"/>
                <w:noProof/>
                <w:sz w:val="18"/>
                <w:szCs w:val="18"/>
              </w:rPr>
            </w:pPr>
            <w:r>
              <w:rPr>
                <w:noProof/>
                <w:sz w:val="18"/>
                <w:vertAlign w:val="superscript"/>
              </w:rPr>
              <w:t>25 % de ce quota peuvent être pêchés dans les zones 8a, 8b, 8d et 8e (LEZ/*8ABDE).</w:t>
            </w:r>
          </w:p>
        </w:tc>
        <w:tc>
          <w:tcPr>
            <w:tcW w:w="976" w:type="dxa"/>
            <w:tcBorders>
              <w:bottom w:val="single" w:sz="4" w:space="0" w:color="auto"/>
            </w:tcBorders>
            <w:noWrap/>
            <w:hideMark/>
          </w:tcPr>
          <w:p>
            <w:pPr>
              <w:spacing w:after="0" w:line="276" w:lineRule="auto"/>
              <w:rPr>
                <w:noProof/>
                <w:sz w:val="22"/>
              </w:rPr>
            </w:pPr>
          </w:p>
        </w:tc>
        <w:tc>
          <w:tcPr>
            <w:tcW w:w="976" w:type="dxa"/>
            <w:tcBorders>
              <w:bottom w:val="single" w:sz="4" w:space="0" w:color="auto"/>
            </w:tcBorders>
            <w:noWrap/>
            <w:hideMark/>
          </w:tcPr>
          <w:p>
            <w:pPr>
              <w:spacing w:after="0" w:line="276" w:lineRule="auto"/>
              <w:rPr>
                <w:noProof/>
                <w:sz w:val="22"/>
              </w:rPr>
            </w:pPr>
          </w:p>
        </w:tc>
        <w:tc>
          <w:tcPr>
            <w:tcW w:w="976" w:type="dxa"/>
            <w:tcBorders>
              <w:bottom w:val="single" w:sz="4" w:space="0" w:color="auto"/>
            </w:tcBorders>
            <w:noWrap/>
            <w:hideMark/>
          </w:tcPr>
          <w:p>
            <w:pPr>
              <w:spacing w:after="0" w:line="276" w:lineRule="auto"/>
              <w:rPr>
                <w:noProof/>
                <w:sz w:val="22"/>
              </w:rPr>
            </w:pPr>
          </w:p>
        </w:tc>
      </w:tr>
    </w:tbl>
    <w:p>
      <w:pPr>
        <w:pStyle w:val="Point1"/>
        <w:ind w:left="850" w:firstLine="0"/>
        <w:rPr>
          <w:noProof/>
        </w:rPr>
      </w:pPr>
      <w:r>
        <w:rPr>
          <w:noProof/>
        </w:rPr>
        <w:t>»</w:t>
      </w:r>
    </w:p>
    <w:p>
      <w:pPr>
        <w:pStyle w:val="Point1number"/>
        <w:rPr>
          <w:noProof/>
        </w:rPr>
      </w:pPr>
      <w:r>
        <w:rPr>
          <w:noProof/>
        </w:rPr>
        <w:t>Le tableau des possibilités de pêche pour la crevette nordique dans la zone 3a est remplacé par le tableau suivant:</w:t>
      </w:r>
    </w:p>
    <w:p>
      <w:pPr>
        <w:pStyle w:val="Point1"/>
        <w:rPr>
          <w:noProof/>
        </w:rPr>
      </w:pPr>
      <w:r>
        <w:rPr>
          <w:noProof/>
        </w:rPr>
        <w:t>«</w:t>
      </w:r>
    </w:p>
    <w:tbl>
      <w:tblPr>
        <w:tblW w:w="8249" w:type="dxa"/>
        <w:tblInd w:w="108" w:type="dxa"/>
        <w:tblLook w:val="04A0" w:firstRow="1" w:lastRow="0" w:firstColumn="1" w:lastColumn="0" w:noHBand="0" w:noVBand="1"/>
      </w:tblPr>
      <w:tblGrid>
        <w:gridCol w:w="976"/>
        <w:gridCol w:w="1316"/>
        <w:gridCol w:w="895"/>
        <w:gridCol w:w="641"/>
        <w:gridCol w:w="1341"/>
        <w:gridCol w:w="1092"/>
        <w:gridCol w:w="994"/>
        <w:gridCol w:w="994"/>
      </w:tblGrid>
      <w:tr>
        <w:trPr>
          <w:trHeight w:val="255"/>
        </w:trPr>
        <w:tc>
          <w:tcPr>
            <w:tcW w:w="976"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2211" w:type="dxa"/>
            <w:gridSpan w:val="2"/>
            <w:tcBorders>
              <w:top w:val="single" w:sz="8" w:space="0" w:color="000000"/>
              <w:left w:val="nil"/>
              <w:right w:val="nil"/>
            </w:tcBorders>
            <w:shd w:val="clear" w:color="auto" w:fill="auto"/>
            <w:noWrap/>
            <w:hideMark/>
          </w:tcPr>
          <w:p>
            <w:pPr>
              <w:spacing w:after="0"/>
              <w:rPr>
                <w:rFonts w:eastAsia="Times New Roman"/>
                <w:noProof/>
                <w:sz w:val="18"/>
                <w:szCs w:val="18"/>
              </w:rPr>
            </w:pPr>
            <w:r>
              <w:rPr>
                <w:noProof/>
                <w:sz w:val="18"/>
              </w:rPr>
              <w:t>Crevette nordique</w:t>
            </w:r>
          </w:p>
        </w:tc>
        <w:tc>
          <w:tcPr>
            <w:tcW w:w="641"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341" w:type="dxa"/>
            <w:tcBorders>
              <w:top w:val="single" w:sz="8" w:space="0" w:color="000000"/>
              <w:left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1092"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color w:val="000000"/>
                <w:sz w:val="18"/>
              </w:rPr>
              <w:t>Zone 3a</w:t>
            </w:r>
          </w:p>
        </w:tc>
        <w:tc>
          <w:tcPr>
            <w:tcW w:w="994"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994" w:type="dxa"/>
            <w:tcBorders>
              <w:top w:val="single" w:sz="8" w:space="0" w:color="000000"/>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97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852"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Pandalus borealis</w:t>
            </w:r>
            <w:r>
              <w:rPr>
                <w:i/>
                <w:noProof/>
                <w:color w:val="000000"/>
                <w:sz w:val="18"/>
              </w:rPr>
              <w:t> </w:t>
            </w:r>
          </w:p>
        </w:tc>
        <w:tc>
          <w:tcPr>
            <w:tcW w:w="1341" w:type="dxa"/>
            <w:tcBorders>
              <w:top w:val="nil"/>
              <w:left w:val="single" w:sz="8" w:space="0" w:color="000000"/>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080" w:type="dxa"/>
            <w:gridSpan w:val="3"/>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(PRA/03A.)</w:t>
            </w:r>
          </w:p>
          <w:p>
            <w:pPr>
              <w:spacing w:after="0"/>
              <w:rPr>
                <w:rFonts w:eastAsia="Times New Roman"/>
                <w:noProof/>
                <w:color w:val="000000"/>
                <w:sz w:val="18"/>
                <w:szCs w:val="18"/>
              </w:rPr>
            </w:pPr>
            <w:r>
              <w:rPr>
                <w:noProof/>
                <w:color w:val="000000"/>
                <w:sz w:val="18"/>
              </w:rPr>
              <w:t> </w:t>
            </w:r>
          </w:p>
        </w:tc>
      </w:tr>
      <w:tr>
        <w:trPr>
          <w:trHeight w:val="270"/>
        </w:trPr>
        <w:tc>
          <w:tcPr>
            <w:tcW w:w="976"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31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895" w:type="dxa"/>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2 162</w:t>
            </w:r>
          </w:p>
        </w:tc>
        <w:tc>
          <w:tcPr>
            <w:tcW w:w="641"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p>
        </w:tc>
        <w:tc>
          <w:tcPr>
            <w:tcW w:w="2433"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994"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994"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9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31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95"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1 165</w:t>
            </w:r>
          </w:p>
        </w:tc>
        <w:tc>
          <w:tcPr>
            <w:tcW w:w="64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42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7, paragraphe 2, du présent règlement s'applique.</w:t>
            </w:r>
          </w:p>
        </w:tc>
        <w:tc>
          <w:tcPr>
            <w:tcW w:w="994"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9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31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895"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3 327</w:t>
            </w:r>
          </w:p>
        </w:tc>
        <w:tc>
          <w:tcPr>
            <w:tcW w:w="64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421"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976" w:type="dxa"/>
            <w:tcBorders>
              <w:top w:val="nil"/>
              <w:left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316" w:type="dxa"/>
            <w:tcBorders>
              <w:top w:val="nil"/>
              <w:left w:val="nil"/>
              <w:right w:val="nil"/>
            </w:tcBorders>
            <w:shd w:val="clear" w:color="auto" w:fill="auto"/>
            <w:noWrap/>
            <w:hideMark/>
          </w:tcPr>
          <w:p>
            <w:pPr>
              <w:spacing w:after="0"/>
              <w:rPr>
                <w:rFonts w:ascii="Calibri" w:eastAsia="Times New Roman" w:hAnsi="Calibri" w:cs="Arial"/>
                <w:noProof/>
                <w:sz w:val="16"/>
                <w:szCs w:val="16"/>
              </w:rPr>
            </w:pPr>
          </w:p>
        </w:tc>
        <w:tc>
          <w:tcPr>
            <w:tcW w:w="895" w:type="dxa"/>
            <w:tcBorders>
              <w:top w:val="nil"/>
              <w:left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641" w:type="dxa"/>
            <w:tcBorders>
              <w:top w:val="nil"/>
              <w:left w:val="nil"/>
              <w:right w:val="nil"/>
            </w:tcBorders>
            <w:shd w:val="clear" w:color="auto" w:fill="auto"/>
            <w:noWrap/>
            <w:hideMark/>
          </w:tcPr>
          <w:p>
            <w:pPr>
              <w:spacing w:after="0"/>
              <w:rPr>
                <w:rFonts w:eastAsia="Times New Roman"/>
                <w:noProof/>
                <w:color w:val="000000"/>
                <w:sz w:val="18"/>
                <w:szCs w:val="18"/>
              </w:rPr>
            </w:pPr>
          </w:p>
        </w:tc>
        <w:tc>
          <w:tcPr>
            <w:tcW w:w="4421" w:type="dxa"/>
            <w:gridSpan w:val="4"/>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97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31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sz w:val="18"/>
                <w:szCs w:val="18"/>
              </w:rPr>
            </w:pPr>
          </w:p>
        </w:tc>
        <w:tc>
          <w:tcPr>
            <w:tcW w:w="895" w:type="dxa"/>
            <w:tcBorders>
              <w:top w:val="nil"/>
              <w:left w:val="nil"/>
              <w:bottom w:val="single" w:sz="4"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6 230</w:t>
            </w:r>
          </w:p>
        </w:tc>
        <w:tc>
          <w:tcPr>
            <w:tcW w:w="641"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p>
        </w:tc>
        <w:tc>
          <w:tcPr>
            <w:tcW w:w="1341"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p>
        </w:tc>
        <w:tc>
          <w:tcPr>
            <w:tcW w:w="1092"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p>
        </w:tc>
        <w:tc>
          <w:tcPr>
            <w:tcW w:w="994"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p>
        </w:tc>
        <w:tc>
          <w:tcPr>
            <w:tcW w:w="994"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p>
        </w:tc>
      </w:tr>
    </w:tbl>
    <w:p>
      <w:pPr>
        <w:jc w:val="right"/>
        <w:rPr>
          <w:noProof/>
        </w:rPr>
      </w:pPr>
      <w:r>
        <w:rPr>
          <w:noProof/>
        </w:rPr>
        <w:t>»</w:t>
      </w:r>
    </w:p>
    <w:p>
      <w:pPr>
        <w:pStyle w:val="Point1number"/>
        <w:rPr>
          <w:noProof/>
        </w:rPr>
      </w:pPr>
      <w:r>
        <w:rPr>
          <w:noProof/>
        </w:rPr>
        <w:t>Le tableau des possibilités de pêche pour le sprat et les prises accessoires associées dans les eaux de l'Union des zones 2a et 4 est remplacé par le tableau suivant:</w:t>
      </w:r>
    </w:p>
    <w:p>
      <w:pPr>
        <w:pStyle w:val="Point1"/>
        <w:rPr>
          <w:noProof/>
        </w:rPr>
      </w:pPr>
      <w:r>
        <w:rPr>
          <w:noProof/>
        </w:rPr>
        <w:t>«</w:t>
      </w:r>
    </w:p>
    <w:tbl>
      <w:tblPr>
        <w:tblW w:w="9150" w:type="dxa"/>
        <w:tblInd w:w="108" w:type="dxa"/>
        <w:tblLook w:val="04A0" w:firstRow="1" w:lastRow="0" w:firstColumn="1" w:lastColumn="0" w:noHBand="0" w:noVBand="1"/>
      </w:tblPr>
      <w:tblGrid>
        <w:gridCol w:w="1126"/>
        <w:gridCol w:w="1414"/>
        <w:gridCol w:w="1142"/>
        <w:gridCol w:w="790"/>
        <w:gridCol w:w="969"/>
        <w:gridCol w:w="513"/>
        <w:gridCol w:w="2049"/>
        <w:gridCol w:w="625"/>
        <w:gridCol w:w="261"/>
        <w:gridCol w:w="261"/>
      </w:tblGrid>
      <w:tr>
        <w:trPr>
          <w:trHeight w:val="255"/>
        </w:trPr>
        <w:tc>
          <w:tcPr>
            <w:tcW w:w="1126"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346" w:type="dxa"/>
            <w:gridSpan w:val="3"/>
            <w:tcBorders>
              <w:top w:val="single" w:sz="4" w:space="0" w:color="auto"/>
              <w:left w:val="nil"/>
              <w:bottom w:val="nil"/>
              <w:right w:val="single" w:sz="4" w:space="0" w:color="auto"/>
            </w:tcBorders>
            <w:shd w:val="clear" w:color="auto" w:fill="auto"/>
            <w:noWrap/>
            <w:hideMark/>
          </w:tcPr>
          <w:p>
            <w:pPr>
              <w:spacing w:after="0"/>
              <w:rPr>
                <w:rFonts w:eastAsia="Times New Roman"/>
                <w:noProof/>
                <w:sz w:val="18"/>
                <w:szCs w:val="18"/>
              </w:rPr>
            </w:pPr>
            <w:r>
              <w:rPr>
                <w:noProof/>
                <w:sz w:val="18"/>
              </w:rPr>
              <w:t>Sprat et prises accessoires associées</w:t>
            </w:r>
          </w:p>
        </w:tc>
        <w:tc>
          <w:tcPr>
            <w:tcW w:w="969" w:type="dxa"/>
            <w:tcBorders>
              <w:top w:val="single" w:sz="4" w:space="0" w:color="auto"/>
              <w:left w:val="single" w:sz="4" w:space="0" w:color="auto"/>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448" w:type="dxa"/>
            <w:gridSpan w:val="4"/>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Eaux de l'Union des zones 2a et 4</w:t>
            </w:r>
          </w:p>
        </w:tc>
        <w:tc>
          <w:tcPr>
            <w:tcW w:w="261" w:type="dxa"/>
            <w:tcBorders>
              <w:top w:val="single" w:sz="8" w:space="0" w:color="auto"/>
              <w:left w:val="nil"/>
              <w:bottom w:val="nil"/>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r>
      <w:tr>
        <w:trPr>
          <w:trHeight w:val="463"/>
        </w:trPr>
        <w:tc>
          <w:tcPr>
            <w:tcW w:w="11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5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Sprattus sprattus</w:t>
            </w:r>
          </w:p>
        </w:tc>
        <w:tc>
          <w:tcPr>
            <w:tcW w:w="790" w:type="dxa"/>
            <w:tcBorders>
              <w:top w:val="nil"/>
              <w:left w:val="nil"/>
              <w:bottom w:val="single" w:sz="8" w:space="0" w:color="000000"/>
              <w:right w:val="single" w:sz="4" w:space="0" w:color="auto"/>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969" w:type="dxa"/>
            <w:tcBorders>
              <w:top w:val="nil"/>
              <w:left w:val="single" w:sz="4" w:space="0" w:color="auto"/>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3187" w:type="dxa"/>
            <w:gridSpan w:val="3"/>
            <w:tcBorders>
              <w:top w:val="nil"/>
              <w:left w:val="nil"/>
              <w:bottom w:val="single" w:sz="8" w:space="0" w:color="auto"/>
              <w:right w:val="nil"/>
            </w:tcBorders>
            <w:shd w:val="clear" w:color="auto" w:fill="auto"/>
            <w:hideMark/>
          </w:tcPr>
          <w:p>
            <w:pPr>
              <w:spacing w:after="0"/>
              <w:rPr>
                <w:rFonts w:eastAsia="Times New Roman"/>
                <w:noProof/>
                <w:sz w:val="18"/>
                <w:szCs w:val="18"/>
              </w:rPr>
            </w:pPr>
            <w:r>
              <w:rPr>
                <w:noProof/>
                <w:sz w:val="18"/>
              </w:rPr>
              <w:t>(SPR/2AC4-C)</w:t>
            </w:r>
          </w:p>
        </w:tc>
        <w:tc>
          <w:tcPr>
            <w:tcW w:w="261"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61"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Belgique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1 911</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48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2674"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155 660</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187"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1 911</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1 911</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1 911</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Suède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1 330</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(2)(3)</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Royaume-Uni</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1 911</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166 545</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10 000</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54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1 000</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(1)(4)</w:t>
            </w: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1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96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414"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142"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177 545</w:t>
            </w: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315" w:type="dxa"/>
            <w:gridSpan w:val="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 quota ne peut être pêché que du 1er juillet 2018 au 30 juin 2019.</w:t>
            </w:r>
          </w:p>
        </w:tc>
        <w:tc>
          <w:tcPr>
            <w:tcW w:w="3187"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8024" w:type="dxa"/>
            <w:gridSpan w:val="9"/>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Jusqu'à 2 % du quota peuvent être constitués de prises accessoires de merlan (OTH/ *2AC4C). Les prises accessoires de merlan imputées sur le quota conformément à la présente disposition et les prises accessoires d'espèces imputées sur le quota conformément à l'article 15, paragraphe 8, du règlement (UE) nº 1380/2013 ne dépassent pas, au total, 9 % du quota.</w:t>
            </w:r>
          </w:p>
        </w:tc>
      </w:tr>
      <w:tr>
        <w:trPr>
          <w:trHeight w:val="270"/>
        </w:trPr>
        <w:tc>
          <w:tcPr>
            <w:tcW w:w="11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414"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Y compris le lançon.</w:t>
            </w:r>
          </w:p>
        </w:tc>
        <w:tc>
          <w:tcPr>
            <w:tcW w:w="1142"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790"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96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8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1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334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Peut contenir jusqu'à 4 % de prises accessoires de hareng.</w:t>
            </w:r>
          </w:p>
        </w:tc>
        <w:tc>
          <w:tcPr>
            <w:tcW w:w="96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62"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88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61"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bl>
    <w:p>
      <w:pPr>
        <w:jc w:val="right"/>
        <w:rPr>
          <w:noProof/>
        </w:rPr>
      </w:pPr>
      <w:r>
        <w:rPr>
          <w:noProof/>
        </w:rPr>
        <w:t>»</w:t>
      </w:r>
    </w:p>
    <w:p>
      <w:pPr>
        <w:pStyle w:val="Point1number"/>
        <w:rPr>
          <w:noProof/>
        </w:rPr>
      </w:pPr>
      <w:r>
        <w:rPr>
          <w:noProof/>
        </w:rPr>
        <w:t>Dans le tableau des possibilités de pêche pour le hareng commun dans les eaux de l’Union des zones 7 g, 7h, 7j et 7k, la référence «L’article 7, paragraphe 2, du présent règlement s’applique.» est supprimée.</w:t>
      </w:r>
    </w:p>
    <w:p>
      <w:pPr>
        <w:pStyle w:val="Point1number"/>
        <w:rPr>
          <w:noProof/>
        </w:rPr>
      </w:pPr>
      <w:r>
        <w:rPr>
          <w:noProof/>
        </w:rPr>
        <w:t>Le tableau des possibilités de pêche pour le tacaud norvégien et les prises accessoires associées dans la zone 3a et dans les eaux de l'Union des zones 2a et 4 est remplacé par le tableau suivant:</w:t>
      </w:r>
    </w:p>
    <w:p>
      <w:pPr>
        <w:pStyle w:val="Point1"/>
        <w:rPr>
          <w:noProof/>
        </w:rPr>
      </w:pPr>
      <w:r>
        <w:rPr>
          <w:noProof/>
        </w:rPr>
        <w:t>«</w:t>
      </w:r>
    </w:p>
    <w:tbl>
      <w:tblPr>
        <w:tblW w:w="9181" w:type="dxa"/>
        <w:tblInd w:w="108" w:type="dxa"/>
        <w:tblLook w:val="04A0" w:firstRow="1" w:lastRow="0" w:firstColumn="1" w:lastColumn="0" w:noHBand="0" w:noVBand="1"/>
      </w:tblPr>
      <w:tblGrid>
        <w:gridCol w:w="846"/>
        <w:gridCol w:w="159"/>
        <w:gridCol w:w="1524"/>
        <w:gridCol w:w="1348"/>
        <w:gridCol w:w="588"/>
        <w:gridCol w:w="876"/>
        <w:gridCol w:w="3087"/>
        <w:gridCol w:w="492"/>
        <w:gridCol w:w="261"/>
      </w:tblGrid>
      <w:tr>
        <w:trPr>
          <w:trHeight w:val="255"/>
        </w:trPr>
        <w:tc>
          <w:tcPr>
            <w:tcW w:w="993"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467"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Tacaud norvégien et prises accessoires associées</w:t>
            </w:r>
          </w:p>
        </w:tc>
        <w:tc>
          <w:tcPr>
            <w:tcW w:w="877" w:type="dxa"/>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844"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Zone 3a; eaux de l'Union des zones 2a et 4</w:t>
            </w:r>
          </w:p>
        </w:tc>
      </w:tr>
      <w:tr>
        <w:trPr>
          <w:trHeight w:val="270"/>
        </w:trPr>
        <w:tc>
          <w:tcPr>
            <w:tcW w:w="993"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878" w:type="dxa"/>
            <w:gridSpan w:val="2"/>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Trisopterus esmarkii</w:t>
            </w:r>
          </w:p>
        </w:tc>
        <w:tc>
          <w:tcPr>
            <w:tcW w:w="589"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877" w:type="dxa"/>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8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(NOP/2A3A4.)</w:t>
            </w:r>
          </w:p>
        </w:tc>
        <w:tc>
          <w:tcPr>
            <w:tcW w:w="258"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993"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Danemark</w:t>
            </w:r>
          </w:p>
        </w:tc>
        <w:tc>
          <w:tcPr>
            <w:tcW w:w="152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351"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85 186</w:t>
            </w:r>
          </w:p>
        </w:tc>
        <w:tc>
          <w:tcPr>
            <w:tcW w:w="589"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970"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analytique</w:t>
            </w:r>
          </w:p>
        </w:tc>
        <w:tc>
          <w:tcPr>
            <w:tcW w:w="4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8"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993"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Allemagne</w:t>
            </w:r>
          </w:p>
        </w:tc>
        <w:tc>
          <w:tcPr>
            <w:tcW w:w="1527"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351"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16</w:t>
            </w:r>
          </w:p>
        </w:tc>
        <w:tc>
          <w:tcPr>
            <w:tcW w:w="589"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4721"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2520"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Pays-Bas</w:t>
            </w:r>
          </w:p>
        </w:tc>
        <w:tc>
          <w:tcPr>
            <w:tcW w:w="1351"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63</w:t>
            </w:r>
          </w:p>
        </w:tc>
        <w:tc>
          <w:tcPr>
            <w:tcW w:w="589"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4721"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835"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685"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51"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85 265</w:t>
            </w:r>
          </w:p>
        </w:tc>
        <w:tc>
          <w:tcPr>
            <w:tcW w:w="589"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87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0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8"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835"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Norvège</w:t>
            </w:r>
          </w:p>
        </w:tc>
        <w:tc>
          <w:tcPr>
            <w:tcW w:w="1685"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51"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15 000</w:t>
            </w:r>
          </w:p>
        </w:tc>
        <w:tc>
          <w:tcPr>
            <w:tcW w:w="589"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87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0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8"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520"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Îles Féroé</w:t>
            </w:r>
          </w:p>
        </w:tc>
        <w:tc>
          <w:tcPr>
            <w:tcW w:w="1351"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6 000</w:t>
            </w:r>
          </w:p>
        </w:tc>
        <w:tc>
          <w:tcPr>
            <w:tcW w:w="589"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(5)</w:t>
            </w:r>
          </w:p>
        </w:tc>
        <w:tc>
          <w:tcPr>
            <w:tcW w:w="87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0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8"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835"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685"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51"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58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7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0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8"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835"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685"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51"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non pertinent</w:t>
            </w:r>
          </w:p>
        </w:tc>
        <w:tc>
          <w:tcPr>
            <w:tcW w:w="58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7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0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8"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835"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8346"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Jusqu'à 5 % du quota peuvent être constitués de prises accessoires d'églefin et de merlan (OT2/*2A3A4). Les prises accessoires d'églefin et de merlan imputées sur le quota conformément à la présente disposition et les prises accessoires d'espèces imputées sur le quota conformément à l'article 15, paragraphe 8, du règlement (UE) nº 1380/2013 ne dépassent pas, au total, 9 % du quota.</w:t>
            </w:r>
          </w:p>
        </w:tc>
      </w:tr>
      <w:tr>
        <w:trPr>
          <w:trHeight w:val="270"/>
        </w:trPr>
        <w:tc>
          <w:tcPr>
            <w:tcW w:w="835"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502"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Ne peut être pêché que dans les eaux de l'Union des zones CIEM 2a, 3a et 4.</w:t>
            </w:r>
          </w:p>
        </w:tc>
        <w:tc>
          <w:tcPr>
            <w:tcW w:w="30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8"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835"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595" w:type="dxa"/>
            <w:gridSpan w:val="6"/>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Le quota de l'Union ne peut être pêché que du 1er novembre 2017 au 31 octobre 2018.</w:t>
            </w:r>
          </w:p>
        </w:tc>
        <w:tc>
          <w:tcPr>
            <w:tcW w:w="4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8"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835"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3036"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Une grille de tri est utilisée.</w:t>
            </w:r>
          </w:p>
        </w:tc>
        <w:tc>
          <w:tcPr>
            <w:tcW w:w="58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77"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0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93"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8"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835"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(5)</w:t>
            </w:r>
          </w:p>
        </w:tc>
        <w:tc>
          <w:tcPr>
            <w:tcW w:w="8346"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Une grille de tri est utilisée. Inclut un maximum de 15 % de prises accessoires inévitables (NOP/*2A3A4), à imputer sur ce quota.</w:t>
            </w:r>
          </w:p>
        </w:tc>
      </w:tr>
      <w:tr>
        <w:trPr>
          <w:trHeight w:val="270"/>
        </w:trPr>
        <w:tc>
          <w:tcPr>
            <w:tcW w:w="835"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685" w:type="dxa"/>
            <w:gridSpan w:val="2"/>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351" w:type="dxa"/>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58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877"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3093"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493"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58"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bl>
    <w:p>
      <w:pPr>
        <w:pStyle w:val="Point1"/>
        <w:ind w:left="0" w:firstLine="0"/>
        <w:rPr>
          <w:noProof/>
        </w:rPr>
      </w:pPr>
      <w:r>
        <w:rPr>
          <w:noProof/>
        </w:rPr>
        <w:t>»</w:t>
      </w:r>
    </w:p>
    <w:p>
      <w:pPr>
        <w:pStyle w:val="Point1number"/>
        <w:rPr>
          <w:noProof/>
        </w:rPr>
      </w:pPr>
      <w:r>
        <w:rPr>
          <w:noProof/>
        </w:rPr>
        <w:t>Le tableau des possibilités de pêche pour la langoustine dans la zone 8c est remplacé par le tableau suivant:</w:t>
      </w:r>
    </w:p>
    <w:p>
      <w:pPr>
        <w:pStyle w:val="Point1"/>
        <w:rPr>
          <w:noProof/>
        </w:rPr>
      </w:pPr>
      <w:r>
        <w:rPr>
          <w:noProof/>
        </w:rPr>
        <w:t>«</w:t>
      </w:r>
    </w:p>
    <w:tbl>
      <w:tblPr>
        <w:tblW w:w="9181" w:type="dxa"/>
        <w:tblInd w:w="108" w:type="dxa"/>
        <w:tblLook w:val="04A0" w:firstRow="1" w:lastRow="0" w:firstColumn="1" w:lastColumn="0" w:noHBand="0" w:noVBand="1"/>
      </w:tblPr>
      <w:tblGrid>
        <w:gridCol w:w="826"/>
        <w:gridCol w:w="216"/>
        <w:gridCol w:w="1471"/>
        <w:gridCol w:w="1352"/>
        <w:gridCol w:w="589"/>
        <w:gridCol w:w="878"/>
        <w:gridCol w:w="3095"/>
        <w:gridCol w:w="493"/>
        <w:gridCol w:w="261"/>
      </w:tblGrid>
      <w:tr>
        <w:trPr>
          <w:trHeight w:val="255"/>
        </w:trPr>
        <w:tc>
          <w:tcPr>
            <w:tcW w:w="812" w:type="dxa"/>
            <w:tcBorders>
              <w:top w:val="single" w:sz="4" w:space="0" w:color="auto"/>
              <w:left w:val="nil"/>
              <w:right w:val="nil"/>
            </w:tcBorders>
            <w:shd w:val="clear" w:color="auto" w:fill="auto"/>
            <w:noWrap/>
            <w:hideMark/>
          </w:tcPr>
          <w:p>
            <w:pPr>
              <w:spacing w:after="0"/>
              <w:rPr>
                <w:rFonts w:eastAsia="Times New Roman"/>
                <w:noProof/>
                <w:color w:val="000000"/>
                <w:sz w:val="18"/>
                <w:szCs w:val="18"/>
              </w:rPr>
            </w:pPr>
            <w:r>
              <w:rPr>
                <w:noProof/>
                <w:color w:val="000000"/>
                <w:sz w:val="18"/>
              </w:rPr>
              <w:t>Espèce:</w:t>
            </w:r>
          </w:p>
        </w:tc>
        <w:tc>
          <w:tcPr>
            <w:tcW w:w="3044" w:type="dxa"/>
            <w:gridSpan w:val="3"/>
            <w:tcBorders>
              <w:top w:val="single" w:sz="8" w:space="0" w:color="000000"/>
              <w:left w:val="nil"/>
              <w:right w:val="nil"/>
            </w:tcBorders>
            <w:shd w:val="clear" w:color="auto" w:fill="auto"/>
            <w:noWrap/>
            <w:hideMark/>
          </w:tcPr>
          <w:p>
            <w:pPr>
              <w:spacing w:after="0"/>
              <w:rPr>
                <w:rFonts w:eastAsia="Times New Roman"/>
                <w:noProof/>
                <w:sz w:val="18"/>
                <w:szCs w:val="18"/>
              </w:rPr>
            </w:pPr>
            <w:r>
              <w:rPr>
                <w:noProof/>
                <w:sz w:val="18"/>
              </w:rPr>
              <w:t>Langoustine</w:t>
            </w:r>
          </w:p>
        </w:tc>
        <w:tc>
          <w:tcPr>
            <w:tcW w:w="590" w:type="dxa"/>
            <w:tcBorders>
              <w:top w:val="single" w:sz="4" w:space="0" w:color="auto"/>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879" w:type="dxa"/>
            <w:tcBorders>
              <w:top w:val="single" w:sz="4" w:space="0" w:color="auto"/>
              <w:left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Zone:</w:t>
            </w:r>
          </w:p>
        </w:tc>
        <w:tc>
          <w:tcPr>
            <w:tcW w:w="3101" w:type="dxa"/>
            <w:tcBorders>
              <w:top w:val="single" w:sz="4" w:space="0" w:color="auto"/>
              <w:left w:val="nil"/>
              <w:right w:val="nil"/>
            </w:tcBorders>
            <w:shd w:val="clear" w:color="auto" w:fill="auto"/>
            <w:noWrap/>
            <w:hideMark/>
          </w:tcPr>
          <w:p>
            <w:pPr>
              <w:spacing w:after="0"/>
              <w:rPr>
                <w:rFonts w:eastAsia="Times New Roman"/>
                <w:noProof/>
                <w:color w:val="000000"/>
                <w:sz w:val="18"/>
                <w:szCs w:val="18"/>
              </w:rPr>
            </w:pPr>
            <w:r>
              <w:rPr>
                <w:noProof/>
                <w:color w:val="000000"/>
                <w:sz w:val="18"/>
              </w:rPr>
              <w:t>Zone 8c</w:t>
            </w:r>
          </w:p>
        </w:tc>
        <w:tc>
          <w:tcPr>
            <w:tcW w:w="494" w:type="dxa"/>
            <w:tcBorders>
              <w:top w:val="single" w:sz="4" w:space="0" w:color="auto"/>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61" w:type="dxa"/>
            <w:tcBorders>
              <w:top w:val="single" w:sz="4" w:space="0" w:color="auto"/>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812"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634" w:type="dxa"/>
            <w:gridSpan w:val="4"/>
            <w:tcBorders>
              <w:top w:val="nil"/>
              <w:left w:val="nil"/>
              <w:bottom w:val="single" w:sz="4" w:space="0" w:color="auto"/>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879" w:type="dxa"/>
            <w:tcBorders>
              <w:top w:val="nil"/>
              <w:left w:val="single" w:sz="8" w:space="0" w:color="000000"/>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101"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(NEP/08C.)</w:t>
            </w:r>
          </w:p>
        </w:tc>
        <w:tc>
          <w:tcPr>
            <w:tcW w:w="494"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61"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812"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Espagne</w:t>
            </w:r>
          </w:p>
        </w:tc>
        <w:tc>
          <w:tcPr>
            <w:tcW w:w="1690" w:type="dxa"/>
            <w:gridSpan w:val="2"/>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354" w:type="dxa"/>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590"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980"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TAC de précaution</w:t>
            </w:r>
          </w:p>
        </w:tc>
        <w:tc>
          <w:tcPr>
            <w:tcW w:w="494"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61"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812"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France</w:t>
            </w:r>
          </w:p>
        </w:tc>
        <w:tc>
          <w:tcPr>
            <w:tcW w:w="1690"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54"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590"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87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10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94"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812"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Union</w:t>
            </w:r>
          </w:p>
        </w:tc>
        <w:tc>
          <w:tcPr>
            <w:tcW w:w="1690"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354"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590"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879"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10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94"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61"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812"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690" w:type="dxa"/>
            <w:gridSpan w:val="2"/>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354" w:type="dxa"/>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590"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879"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3101"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494"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61"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812" w:type="dxa"/>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TAC</w:t>
            </w:r>
          </w:p>
        </w:tc>
        <w:tc>
          <w:tcPr>
            <w:tcW w:w="1690" w:type="dxa"/>
            <w:gridSpan w:val="2"/>
            <w:tcBorders>
              <w:top w:val="nil"/>
              <w:left w:val="nil"/>
              <w:right w:val="nil"/>
            </w:tcBorders>
            <w:shd w:val="clear" w:color="auto" w:fill="auto"/>
            <w:noWrap/>
            <w:hideMark/>
          </w:tcPr>
          <w:p>
            <w:pPr>
              <w:spacing w:after="0"/>
              <w:rPr>
                <w:rFonts w:ascii="Calibri" w:eastAsia="Times New Roman" w:hAnsi="Calibri" w:cs="Arial"/>
                <w:noProof/>
                <w:sz w:val="18"/>
                <w:szCs w:val="18"/>
              </w:rPr>
            </w:pPr>
          </w:p>
        </w:tc>
        <w:tc>
          <w:tcPr>
            <w:tcW w:w="1354" w:type="dxa"/>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590" w:type="dxa"/>
            <w:tcBorders>
              <w:top w:val="nil"/>
              <w:left w:val="nil"/>
              <w:right w:val="nil"/>
            </w:tcBorders>
            <w:shd w:val="clear" w:color="auto" w:fill="auto"/>
            <w:noWrap/>
            <w:hideMark/>
          </w:tcPr>
          <w:p>
            <w:pPr>
              <w:spacing w:after="0"/>
              <w:rPr>
                <w:rFonts w:ascii="Calibri" w:eastAsia="Times New Roman" w:hAnsi="Calibri" w:cs="Arial"/>
                <w:noProof/>
                <w:color w:val="000000"/>
                <w:sz w:val="18"/>
                <w:szCs w:val="18"/>
              </w:rPr>
            </w:pPr>
            <w:r>
              <w:rPr>
                <w:noProof/>
                <w:color w:val="000000"/>
                <w:sz w:val="18"/>
                <w:vertAlign w:val="superscript"/>
              </w:rPr>
              <w:t>(1)</w:t>
            </w:r>
          </w:p>
        </w:tc>
        <w:tc>
          <w:tcPr>
            <w:tcW w:w="879" w:type="dxa"/>
            <w:tcBorders>
              <w:top w:val="nil"/>
              <w:left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3101" w:type="dxa"/>
            <w:tcBorders>
              <w:top w:val="nil"/>
              <w:left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494" w:type="dxa"/>
            <w:tcBorders>
              <w:top w:val="nil"/>
              <w:left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61" w:type="dxa"/>
            <w:tcBorders>
              <w:top w:val="nil"/>
              <w:left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871"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8310" w:type="dxa"/>
            <w:gridSpan w:val="7"/>
            <w:tcBorders>
              <w:top w:val="nil"/>
              <w:left w:val="nil"/>
              <w:bottom w:val="single" w:sz="4" w:space="0" w:color="auto"/>
              <w:right w:val="nil"/>
            </w:tcBorders>
            <w:shd w:val="clear" w:color="auto" w:fill="auto"/>
            <w:noWrap/>
            <w:hideMark/>
          </w:tcPr>
          <w:p>
            <w:pPr>
              <w:spacing w:after="0"/>
              <w:rPr>
                <w:rFonts w:eastAsia="Times New Roman"/>
                <w:noProof/>
                <w:sz w:val="18"/>
                <w:szCs w:val="18"/>
              </w:rPr>
            </w:pPr>
            <w:r>
              <w:rPr>
                <w:noProof/>
                <w:sz w:val="18"/>
                <w:vertAlign w:val="superscript"/>
              </w:rPr>
              <w:t xml:space="preserve"> Exclusivement pour les captures prélevées dans le cadre d’une pêche sentinelle afin de collecter des données relatives aux captures par unité d’effort (CPUE) dans l’unité fonctionnelle 25 au cours de cinq sorties par mois en août et en septembre avec des navires transportant à leur bord des observateurs.</w:t>
            </w:r>
          </w:p>
        </w:tc>
      </w:tr>
    </w:tbl>
    <w:p>
      <w:pPr>
        <w:pStyle w:val="Point1"/>
        <w:ind w:left="0" w:firstLine="0"/>
        <w:rPr>
          <w:noProof/>
        </w:rPr>
      </w:pPr>
      <w:r>
        <w:rPr>
          <w:noProof/>
        </w:rPr>
        <w:t>»</w:t>
      </w:r>
    </w:p>
    <w:p>
      <w:pPr>
        <w:pStyle w:val="Point0"/>
        <w:rPr>
          <w:noProof/>
        </w:rPr>
      </w:pPr>
      <w:r>
        <w:rPr>
          <w:noProof/>
        </w:rPr>
        <w:t>2.</w:t>
      </w:r>
      <w:r>
        <w:rPr>
          <w:noProof/>
        </w:rPr>
        <w:tab/>
        <w:t>À l'annexe I J du règlement (UE) 2018/120, le tableau des possibilités de pêche pour le chinchard du Chili dans la zone de la convention ORGPPS est remplacé par le tableau suivant:</w:t>
      </w:r>
    </w:p>
    <w:p>
      <w:pPr>
        <w:pStyle w:val="Point1"/>
        <w:ind w:left="850" w:firstLine="0"/>
        <w:rPr>
          <w:noProof/>
        </w:rPr>
      </w:pPr>
      <w:r>
        <w:rPr>
          <w:noProof/>
        </w:rPr>
        <w:t>«</w:t>
      </w:r>
    </w:p>
    <w:tbl>
      <w:tblPr>
        <w:tblW w:w="9778" w:type="dxa"/>
        <w:tblInd w:w="108" w:type="dxa"/>
        <w:tblLook w:val="04A0" w:firstRow="1" w:lastRow="0" w:firstColumn="1" w:lastColumn="0" w:noHBand="0" w:noVBand="1"/>
      </w:tblPr>
      <w:tblGrid>
        <w:gridCol w:w="1418"/>
        <w:gridCol w:w="2551"/>
        <w:gridCol w:w="426"/>
        <w:gridCol w:w="636"/>
        <w:gridCol w:w="4747"/>
      </w:tblGrid>
      <w:tr>
        <w:trPr>
          <w:trHeight w:val="270"/>
        </w:trPr>
        <w:tc>
          <w:tcPr>
            <w:tcW w:w="1418"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Espèce:</w:t>
            </w:r>
          </w:p>
        </w:tc>
        <w:tc>
          <w:tcPr>
            <w:tcW w:w="2977"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Chinchard du Chili</w:t>
            </w:r>
          </w:p>
        </w:tc>
        <w:tc>
          <w:tcPr>
            <w:tcW w:w="636"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Zone:</w:t>
            </w:r>
          </w:p>
        </w:tc>
        <w:tc>
          <w:tcPr>
            <w:tcW w:w="4747"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Zone de la convention ORGPPS</w:t>
            </w:r>
          </w:p>
        </w:tc>
      </w:tr>
      <w:tr>
        <w:trPr>
          <w:trHeight w:val="285"/>
        </w:trPr>
        <w:tc>
          <w:tcPr>
            <w:tcW w:w="1418"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977"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Trachurus murphyi</w:t>
            </w:r>
          </w:p>
        </w:tc>
        <w:tc>
          <w:tcPr>
            <w:tcW w:w="636"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47"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(CJM/SPRFMO)</w:t>
            </w:r>
          </w:p>
        </w:tc>
      </w:tr>
      <w:tr>
        <w:trPr>
          <w:trHeight w:val="270"/>
        </w:trPr>
        <w:tc>
          <w:tcPr>
            <w:tcW w:w="1418" w:type="dxa"/>
            <w:noWrap/>
            <w:vAlign w:val="bottom"/>
            <w:hideMark/>
          </w:tcPr>
          <w:p>
            <w:pPr>
              <w:spacing w:after="0"/>
              <w:rPr>
                <w:rFonts w:eastAsia="Times New Roman"/>
                <w:noProof/>
                <w:sz w:val="18"/>
                <w:szCs w:val="18"/>
              </w:rPr>
            </w:pPr>
            <w:r>
              <w:rPr>
                <w:noProof/>
                <w:sz w:val="18"/>
              </w:rPr>
              <w:t>Allemagne</w:t>
            </w:r>
          </w:p>
        </w:tc>
        <w:tc>
          <w:tcPr>
            <w:tcW w:w="2551" w:type="dxa"/>
            <w:noWrap/>
            <w:vAlign w:val="center"/>
            <w:hideMark/>
          </w:tcPr>
          <w:p>
            <w:pPr>
              <w:spacing w:after="0"/>
              <w:jc w:val="right"/>
              <w:rPr>
                <w:rFonts w:eastAsia="Times New Roman"/>
                <w:noProof/>
                <w:color w:val="000000"/>
                <w:sz w:val="18"/>
                <w:szCs w:val="18"/>
              </w:rPr>
            </w:pPr>
            <w:r>
              <w:rPr>
                <w:noProof/>
                <w:color w:val="000000"/>
                <w:sz w:val="18"/>
              </w:rPr>
              <w:t xml:space="preserve"> 8 849,28</w:t>
            </w:r>
          </w:p>
        </w:tc>
        <w:tc>
          <w:tcPr>
            <w:tcW w:w="426" w:type="dxa"/>
            <w:noWrap/>
            <w:vAlign w:val="bottom"/>
            <w:hideMark/>
          </w:tcPr>
          <w:p>
            <w:pPr>
              <w:spacing w:after="0" w:line="276" w:lineRule="auto"/>
              <w:rPr>
                <w:noProof/>
                <w:sz w:val="22"/>
              </w:rPr>
            </w:pPr>
          </w:p>
        </w:tc>
        <w:tc>
          <w:tcPr>
            <w:tcW w:w="5383" w:type="dxa"/>
            <w:gridSpan w:val="2"/>
            <w:noWrap/>
            <w:vAlign w:val="center"/>
            <w:hideMark/>
          </w:tcPr>
          <w:p>
            <w:pPr>
              <w:spacing w:after="0"/>
              <w:rPr>
                <w:rFonts w:eastAsia="Times New Roman"/>
                <w:noProof/>
                <w:color w:val="000000"/>
                <w:sz w:val="18"/>
                <w:szCs w:val="18"/>
              </w:rPr>
            </w:pPr>
            <w:r>
              <w:rPr>
                <w:noProof/>
                <w:color w:val="000000"/>
                <w:sz w:val="18"/>
              </w:rPr>
              <w:t>TAC analytique</w:t>
            </w:r>
          </w:p>
        </w:tc>
      </w:tr>
      <w:tr>
        <w:trPr>
          <w:trHeight w:val="270"/>
        </w:trPr>
        <w:tc>
          <w:tcPr>
            <w:tcW w:w="1418" w:type="dxa"/>
            <w:noWrap/>
            <w:vAlign w:val="bottom"/>
            <w:hideMark/>
          </w:tcPr>
          <w:p>
            <w:pPr>
              <w:spacing w:after="0"/>
              <w:rPr>
                <w:rFonts w:eastAsia="Times New Roman"/>
                <w:noProof/>
                <w:color w:val="000000"/>
                <w:sz w:val="18"/>
                <w:szCs w:val="18"/>
              </w:rPr>
            </w:pPr>
            <w:r>
              <w:rPr>
                <w:noProof/>
                <w:color w:val="000000"/>
                <w:sz w:val="18"/>
              </w:rPr>
              <w:t>Pays-Bas</w:t>
            </w:r>
          </w:p>
        </w:tc>
        <w:tc>
          <w:tcPr>
            <w:tcW w:w="2551" w:type="dxa"/>
            <w:noWrap/>
            <w:vAlign w:val="center"/>
            <w:hideMark/>
          </w:tcPr>
          <w:p>
            <w:pPr>
              <w:spacing w:after="0"/>
              <w:jc w:val="right"/>
              <w:rPr>
                <w:rFonts w:eastAsia="Times New Roman"/>
                <w:noProof/>
                <w:color w:val="000000"/>
                <w:sz w:val="18"/>
                <w:szCs w:val="18"/>
              </w:rPr>
            </w:pPr>
            <w:r>
              <w:rPr>
                <w:noProof/>
                <w:color w:val="000000"/>
                <w:sz w:val="18"/>
              </w:rPr>
              <w:t xml:space="preserve"> 9 591,70</w:t>
            </w:r>
          </w:p>
        </w:tc>
        <w:tc>
          <w:tcPr>
            <w:tcW w:w="426" w:type="dxa"/>
            <w:noWrap/>
            <w:vAlign w:val="bottom"/>
            <w:hideMark/>
          </w:tcPr>
          <w:p>
            <w:pPr>
              <w:spacing w:after="0" w:line="276" w:lineRule="auto"/>
              <w:rPr>
                <w:noProof/>
                <w:sz w:val="22"/>
              </w:rPr>
            </w:pPr>
          </w:p>
        </w:tc>
        <w:tc>
          <w:tcPr>
            <w:tcW w:w="5383" w:type="dxa"/>
            <w:gridSpan w:val="2"/>
            <w:noWrap/>
            <w:vAlign w:val="center"/>
            <w:hideMark/>
          </w:tcPr>
          <w:p>
            <w:pPr>
              <w:spacing w:after="0"/>
              <w:rPr>
                <w:rFonts w:eastAsia="Times New Roman"/>
                <w:noProof/>
                <w:color w:val="000000"/>
                <w:sz w:val="18"/>
                <w:szCs w:val="18"/>
              </w:rPr>
            </w:pPr>
            <w:r>
              <w:rPr>
                <w:noProof/>
                <w:color w:val="000000"/>
                <w:sz w:val="18"/>
              </w:rPr>
              <w:t>L'article 3 du règlement (CE) nº 847/96 ne s'applique pas.</w:t>
            </w:r>
          </w:p>
        </w:tc>
      </w:tr>
      <w:tr>
        <w:trPr>
          <w:trHeight w:val="270"/>
        </w:trPr>
        <w:tc>
          <w:tcPr>
            <w:tcW w:w="1418" w:type="dxa"/>
            <w:noWrap/>
            <w:vAlign w:val="bottom"/>
            <w:hideMark/>
          </w:tcPr>
          <w:p>
            <w:pPr>
              <w:spacing w:after="0"/>
              <w:rPr>
                <w:rFonts w:eastAsia="Times New Roman"/>
                <w:noProof/>
                <w:color w:val="000000"/>
                <w:sz w:val="18"/>
                <w:szCs w:val="18"/>
              </w:rPr>
            </w:pPr>
            <w:r>
              <w:rPr>
                <w:noProof/>
                <w:color w:val="000000"/>
                <w:sz w:val="18"/>
              </w:rPr>
              <w:t>Lituanie</w:t>
            </w:r>
          </w:p>
        </w:tc>
        <w:tc>
          <w:tcPr>
            <w:tcW w:w="2551" w:type="dxa"/>
            <w:noWrap/>
            <w:vAlign w:val="center"/>
            <w:hideMark/>
          </w:tcPr>
          <w:p>
            <w:pPr>
              <w:spacing w:after="0"/>
              <w:jc w:val="right"/>
              <w:rPr>
                <w:rFonts w:eastAsia="Times New Roman"/>
                <w:noProof/>
                <w:color w:val="000000"/>
                <w:sz w:val="18"/>
                <w:szCs w:val="18"/>
              </w:rPr>
            </w:pPr>
            <w:r>
              <w:rPr>
                <w:noProof/>
                <w:color w:val="000000"/>
                <w:sz w:val="18"/>
              </w:rPr>
              <w:t xml:space="preserve"> 6 157,56</w:t>
            </w:r>
          </w:p>
        </w:tc>
        <w:tc>
          <w:tcPr>
            <w:tcW w:w="426" w:type="dxa"/>
            <w:noWrap/>
            <w:vAlign w:val="bottom"/>
            <w:hideMark/>
          </w:tcPr>
          <w:p>
            <w:pPr>
              <w:spacing w:after="0" w:line="276" w:lineRule="auto"/>
              <w:rPr>
                <w:noProof/>
                <w:sz w:val="22"/>
              </w:rPr>
            </w:pPr>
          </w:p>
        </w:tc>
        <w:tc>
          <w:tcPr>
            <w:tcW w:w="5383" w:type="dxa"/>
            <w:gridSpan w:val="2"/>
            <w:noWrap/>
            <w:vAlign w:val="center"/>
            <w:hideMark/>
          </w:tcPr>
          <w:p>
            <w:pPr>
              <w:spacing w:after="0"/>
              <w:rPr>
                <w:rFonts w:eastAsia="Times New Roman"/>
                <w:noProof/>
                <w:color w:val="000000"/>
                <w:sz w:val="18"/>
                <w:szCs w:val="18"/>
              </w:rPr>
            </w:pPr>
            <w:r>
              <w:rPr>
                <w:noProof/>
                <w:color w:val="000000"/>
                <w:sz w:val="18"/>
              </w:rPr>
              <w:t>L'article 4 du règlement (CE) nº 847/96 ne s'applique pas.</w:t>
            </w:r>
          </w:p>
        </w:tc>
      </w:tr>
      <w:tr>
        <w:trPr>
          <w:trHeight w:val="270"/>
        </w:trPr>
        <w:tc>
          <w:tcPr>
            <w:tcW w:w="1418" w:type="dxa"/>
            <w:noWrap/>
            <w:vAlign w:val="bottom"/>
            <w:hideMark/>
          </w:tcPr>
          <w:p>
            <w:pPr>
              <w:spacing w:after="0"/>
              <w:rPr>
                <w:rFonts w:eastAsia="Times New Roman"/>
                <w:noProof/>
                <w:color w:val="000000"/>
                <w:sz w:val="18"/>
                <w:szCs w:val="18"/>
              </w:rPr>
            </w:pPr>
            <w:r>
              <w:rPr>
                <w:noProof/>
                <w:color w:val="000000"/>
                <w:sz w:val="18"/>
              </w:rPr>
              <w:t>Pologne</w:t>
            </w:r>
          </w:p>
        </w:tc>
        <w:tc>
          <w:tcPr>
            <w:tcW w:w="2551" w:type="dxa"/>
            <w:noWrap/>
            <w:vAlign w:val="center"/>
            <w:hideMark/>
          </w:tcPr>
          <w:p>
            <w:pPr>
              <w:spacing w:after="0"/>
              <w:jc w:val="right"/>
              <w:rPr>
                <w:rFonts w:eastAsia="Times New Roman"/>
                <w:noProof/>
                <w:color w:val="000000"/>
                <w:sz w:val="18"/>
                <w:szCs w:val="18"/>
              </w:rPr>
            </w:pPr>
            <w:r>
              <w:rPr>
                <w:noProof/>
                <w:color w:val="000000"/>
                <w:sz w:val="18"/>
              </w:rPr>
              <w:t xml:space="preserve"> 10 587,46</w:t>
            </w:r>
          </w:p>
        </w:tc>
        <w:tc>
          <w:tcPr>
            <w:tcW w:w="426" w:type="dxa"/>
            <w:noWrap/>
            <w:vAlign w:val="bottom"/>
            <w:hideMark/>
          </w:tcPr>
          <w:p>
            <w:pPr>
              <w:spacing w:after="0" w:line="276" w:lineRule="auto"/>
              <w:rPr>
                <w:noProof/>
                <w:sz w:val="22"/>
              </w:rPr>
            </w:pPr>
          </w:p>
        </w:tc>
        <w:tc>
          <w:tcPr>
            <w:tcW w:w="636" w:type="dxa"/>
            <w:noWrap/>
            <w:vAlign w:val="center"/>
            <w:hideMark/>
          </w:tcPr>
          <w:p>
            <w:pPr>
              <w:spacing w:after="0" w:line="276" w:lineRule="auto"/>
              <w:rPr>
                <w:noProof/>
                <w:sz w:val="22"/>
              </w:rPr>
            </w:pPr>
          </w:p>
        </w:tc>
        <w:tc>
          <w:tcPr>
            <w:tcW w:w="4747" w:type="dxa"/>
            <w:noWrap/>
            <w:vAlign w:val="center"/>
            <w:hideMark/>
          </w:tcPr>
          <w:p>
            <w:pPr>
              <w:spacing w:after="0" w:line="276" w:lineRule="auto"/>
              <w:rPr>
                <w:noProof/>
                <w:sz w:val="22"/>
              </w:rPr>
            </w:pPr>
          </w:p>
        </w:tc>
      </w:tr>
      <w:tr>
        <w:trPr>
          <w:trHeight w:val="270"/>
        </w:trPr>
        <w:tc>
          <w:tcPr>
            <w:tcW w:w="1418" w:type="dxa"/>
            <w:noWrap/>
            <w:vAlign w:val="bottom"/>
            <w:hideMark/>
          </w:tcPr>
          <w:p>
            <w:pPr>
              <w:spacing w:after="0"/>
              <w:rPr>
                <w:rFonts w:eastAsia="Times New Roman"/>
                <w:noProof/>
                <w:color w:val="000000"/>
                <w:sz w:val="18"/>
                <w:szCs w:val="18"/>
              </w:rPr>
            </w:pPr>
            <w:r>
              <w:rPr>
                <w:noProof/>
                <w:color w:val="000000"/>
                <w:sz w:val="18"/>
              </w:rPr>
              <w:t>Union</w:t>
            </w:r>
          </w:p>
        </w:tc>
        <w:tc>
          <w:tcPr>
            <w:tcW w:w="2551" w:type="dxa"/>
            <w:noWrap/>
            <w:vAlign w:val="center"/>
            <w:hideMark/>
          </w:tcPr>
          <w:p>
            <w:pPr>
              <w:spacing w:after="0"/>
              <w:jc w:val="right"/>
              <w:rPr>
                <w:rFonts w:eastAsia="Times New Roman"/>
                <w:noProof/>
                <w:color w:val="000000"/>
                <w:sz w:val="18"/>
                <w:szCs w:val="18"/>
              </w:rPr>
            </w:pPr>
            <w:r>
              <w:rPr>
                <w:noProof/>
                <w:color w:val="000000"/>
                <w:sz w:val="18"/>
              </w:rPr>
              <w:t xml:space="preserve"> 35 186</w:t>
            </w:r>
          </w:p>
        </w:tc>
        <w:tc>
          <w:tcPr>
            <w:tcW w:w="426" w:type="dxa"/>
            <w:noWrap/>
            <w:vAlign w:val="bottom"/>
            <w:hideMark/>
          </w:tcPr>
          <w:p>
            <w:pPr>
              <w:spacing w:after="0" w:line="276" w:lineRule="auto"/>
              <w:rPr>
                <w:noProof/>
                <w:sz w:val="22"/>
              </w:rPr>
            </w:pPr>
          </w:p>
        </w:tc>
        <w:tc>
          <w:tcPr>
            <w:tcW w:w="636" w:type="dxa"/>
            <w:noWrap/>
            <w:vAlign w:val="bottom"/>
            <w:hideMark/>
          </w:tcPr>
          <w:p>
            <w:pPr>
              <w:spacing w:after="0" w:line="276" w:lineRule="auto"/>
              <w:rPr>
                <w:noProof/>
                <w:sz w:val="22"/>
              </w:rPr>
            </w:pPr>
          </w:p>
        </w:tc>
        <w:tc>
          <w:tcPr>
            <w:tcW w:w="4747" w:type="dxa"/>
            <w:noWrap/>
            <w:vAlign w:val="center"/>
            <w:hideMark/>
          </w:tcPr>
          <w:p>
            <w:pPr>
              <w:spacing w:after="0" w:line="276" w:lineRule="auto"/>
              <w:rPr>
                <w:noProof/>
                <w:sz w:val="22"/>
              </w:rPr>
            </w:pPr>
          </w:p>
        </w:tc>
      </w:tr>
      <w:tr>
        <w:trPr>
          <w:trHeight w:val="270"/>
        </w:trPr>
        <w:tc>
          <w:tcPr>
            <w:tcW w:w="1418" w:type="dxa"/>
            <w:noWrap/>
            <w:vAlign w:val="bottom"/>
            <w:hideMark/>
          </w:tcPr>
          <w:p>
            <w:pPr>
              <w:spacing w:after="0" w:line="276" w:lineRule="auto"/>
              <w:rPr>
                <w:noProof/>
                <w:sz w:val="22"/>
              </w:rPr>
            </w:pPr>
          </w:p>
        </w:tc>
        <w:tc>
          <w:tcPr>
            <w:tcW w:w="2551" w:type="dxa"/>
            <w:noWrap/>
            <w:vAlign w:val="center"/>
            <w:hideMark/>
          </w:tcPr>
          <w:p>
            <w:pPr>
              <w:spacing w:after="0" w:line="276" w:lineRule="auto"/>
              <w:rPr>
                <w:noProof/>
                <w:sz w:val="22"/>
              </w:rPr>
            </w:pPr>
          </w:p>
        </w:tc>
        <w:tc>
          <w:tcPr>
            <w:tcW w:w="426" w:type="dxa"/>
            <w:noWrap/>
            <w:vAlign w:val="bottom"/>
            <w:hideMark/>
          </w:tcPr>
          <w:p>
            <w:pPr>
              <w:spacing w:after="0" w:line="276" w:lineRule="auto"/>
              <w:rPr>
                <w:noProof/>
                <w:sz w:val="22"/>
              </w:rPr>
            </w:pPr>
          </w:p>
        </w:tc>
        <w:tc>
          <w:tcPr>
            <w:tcW w:w="636" w:type="dxa"/>
            <w:noWrap/>
            <w:vAlign w:val="center"/>
            <w:hideMark/>
          </w:tcPr>
          <w:p>
            <w:pPr>
              <w:spacing w:after="0" w:line="276" w:lineRule="auto"/>
              <w:rPr>
                <w:noProof/>
                <w:sz w:val="22"/>
              </w:rPr>
            </w:pPr>
          </w:p>
        </w:tc>
        <w:tc>
          <w:tcPr>
            <w:tcW w:w="4747" w:type="dxa"/>
            <w:noWrap/>
            <w:vAlign w:val="center"/>
            <w:hideMark/>
          </w:tcPr>
          <w:p>
            <w:pPr>
              <w:spacing w:after="0" w:line="276" w:lineRule="auto"/>
              <w:rPr>
                <w:noProof/>
                <w:sz w:val="22"/>
              </w:rPr>
            </w:pPr>
          </w:p>
        </w:tc>
      </w:tr>
      <w:tr>
        <w:trPr>
          <w:trHeight w:val="270"/>
        </w:trPr>
        <w:tc>
          <w:tcPr>
            <w:tcW w:w="1418" w:type="dxa"/>
            <w:noWrap/>
            <w:vAlign w:val="bottom"/>
            <w:hideMark/>
          </w:tcPr>
          <w:p>
            <w:pPr>
              <w:spacing w:after="0"/>
              <w:rPr>
                <w:rFonts w:eastAsia="Times New Roman"/>
                <w:noProof/>
                <w:color w:val="000000"/>
                <w:sz w:val="18"/>
                <w:szCs w:val="18"/>
              </w:rPr>
            </w:pPr>
            <w:r>
              <w:rPr>
                <w:noProof/>
                <w:color w:val="000000"/>
                <w:sz w:val="18"/>
              </w:rPr>
              <w:t>TAC</w:t>
            </w:r>
          </w:p>
        </w:tc>
        <w:tc>
          <w:tcPr>
            <w:tcW w:w="2551" w:type="dxa"/>
            <w:noWrap/>
            <w:vAlign w:val="center"/>
            <w:hideMark/>
          </w:tcPr>
          <w:p>
            <w:pPr>
              <w:spacing w:after="0"/>
              <w:jc w:val="right"/>
              <w:rPr>
                <w:rFonts w:eastAsia="Times New Roman"/>
                <w:noProof/>
                <w:sz w:val="18"/>
                <w:szCs w:val="18"/>
              </w:rPr>
            </w:pPr>
            <w:r>
              <w:rPr>
                <w:noProof/>
                <w:sz w:val="18"/>
              </w:rPr>
              <w:t>Non pertinent</w:t>
            </w:r>
          </w:p>
        </w:tc>
        <w:tc>
          <w:tcPr>
            <w:tcW w:w="426" w:type="dxa"/>
            <w:noWrap/>
            <w:vAlign w:val="bottom"/>
            <w:hideMark/>
          </w:tcPr>
          <w:p>
            <w:pPr>
              <w:spacing w:after="0" w:line="276" w:lineRule="auto"/>
              <w:rPr>
                <w:noProof/>
                <w:sz w:val="22"/>
              </w:rPr>
            </w:pPr>
          </w:p>
        </w:tc>
        <w:tc>
          <w:tcPr>
            <w:tcW w:w="636" w:type="dxa"/>
            <w:noWrap/>
            <w:vAlign w:val="center"/>
            <w:hideMark/>
          </w:tcPr>
          <w:p>
            <w:pPr>
              <w:spacing w:after="0" w:line="276" w:lineRule="auto"/>
              <w:rPr>
                <w:noProof/>
                <w:sz w:val="22"/>
              </w:rPr>
            </w:pPr>
          </w:p>
        </w:tc>
        <w:tc>
          <w:tcPr>
            <w:tcW w:w="4747" w:type="dxa"/>
            <w:noWrap/>
            <w:vAlign w:val="center"/>
            <w:hideMark/>
          </w:tcPr>
          <w:p>
            <w:pPr>
              <w:spacing w:after="0" w:line="276" w:lineRule="auto"/>
              <w:rPr>
                <w:noProof/>
                <w:sz w:val="22"/>
              </w:rPr>
            </w:pPr>
          </w:p>
        </w:tc>
      </w:tr>
      <w:tr>
        <w:trPr>
          <w:trHeight w:val="285"/>
        </w:trPr>
        <w:tc>
          <w:tcPr>
            <w:tcW w:w="1418"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2551" w:type="dxa"/>
            <w:tcBorders>
              <w:top w:val="nil"/>
              <w:left w:val="nil"/>
              <w:bottom w:val="single" w:sz="8" w:space="0" w:color="auto"/>
              <w:right w:val="nil"/>
            </w:tcBorders>
            <w:noWrap/>
            <w:vAlign w:val="bottom"/>
            <w:hideMark/>
          </w:tcPr>
          <w:p>
            <w:pPr>
              <w:spacing w:after="0"/>
              <w:rPr>
                <w:rFonts w:eastAsia="Times New Roman"/>
                <w:noProof/>
                <w:sz w:val="18"/>
                <w:szCs w:val="18"/>
              </w:rPr>
            </w:pPr>
            <w:r>
              <w:rPr>
                <w:noProof/>
                <w:sz w:val="18"/>
                <w:vertAlign w:val="superscript"/>
              </w:rPr>
              <w:t> </w:t>
            </w:r>
          </w:p>
        </w:tc>
        <w:tc>
          <w:tcPr>
            <w:tcW w:w="426"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36"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47"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bl>
    <w:p>
      <w:pPr>
        <w:pStyle w:val="Point1"/>
        <w:ind w:left="0" w:firstLine="0"/>
        <w:rPr>
          <w:noProof/>
        </w:rPr>
      </w:pPr>
      <w:r>
        <w:rPr>
          <w:noProof/>
        </w:rPr>
        <w: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46B1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F8B4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C6E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44B0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843C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6876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BA2FAE"/>
    <w:lvl w:ilvl="0">
      <w:start w:val="1"/>
      <w:numFmt w:val="decimal"/>
      <w:pStyle w:val="ListNumber"/>
      <w:lvlText w:val="%1."/>
      <w:lvlJc w:val="left"/>
      <w:pPr>
        <w:tabs>
          <w:tab w:val="num" w:pos="360"/>
        </w:tabs>
        <w:ind w:left="360" w:hanging="360"/>
      </w:pPr>
    </w:lvl>
  </w:abstractNum>
  <w:abstractNum w:abstractNumId="7">
    <w:nsid w:val="FFFFFF89"/>
    <w:multiLevelType w:val="singleLevel"/>
    <w:tmpl w:val="D14AB2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6:53: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91C00C7A-53CD-4774-9795-9B24E8A45979"/>
    <w:docVar w:name="LW_COVERPAGE_TYPE" w:val="1"/>
    <w:docVar w:name="LW_CROSSREFERENCE" w:val="&lt;UNUSED&gt;"/>
    <w:docVar w:name="LW_DocType" w:val="ANNEX"/>
    <w:docVar w:name="LW_EMISSION" w:val="29.5.2018"/>
    <w:docVar w:name="LW_EMISSION_ISODATE" w:val="2018-05-29"/>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modifiant le&lt;LWCR:NBS&gt;règlement (UE) 2018/120 en&lt;LWCR:NBS&gt;ce&lt;LWCR:NBS&gt;qui concerne certaines possibilités de&lt;LWCR:NBS&gt;pêche"/>
    <w:docVar w:name="LW_OBJETACTEPRINCIPAL.CP" w:val="modifiant le règlement (UE) 2018/120 en ce qui concerne certaines possibilités de pêche"/>
    <w:docVar w:name="LW_PART_NBR" w:val="1"/>
    <w:docVar w:name="LW_PART_NBR_TOTAL" w:val="1"/>
    <w:docVar w:name="LW_REF.INST.NEW" w:val="COM"/>
    <w:docVar w:name="LW_REF.INST.NEW_ADOPTED" w:val="final"/>
    <w:docVar w:name="LW_REF.INST.NEW_TEXT" w:val="(2018) 3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851869">
      <w:bodyDiv w:val="1"/>
      <w:marLeft w:val="0"/>
      <w:marRight w:val="0"/>
      <w:marTop w:val="0"/>
      <w:marBottom w:val="0"/>
      <w:divBdr>
        <w:top w:val="none" w:sz="0" w:space="0" w:color="auto"/>
        <w:left w:val="none" w:sz="0" w:space="0" w:color="auto"/>
        <w:bottom w:val="none" w:sz="0" w:space="0" w:color="auto"/>
        <w:right w:val="none" w:sz="0" w:space="0" w:color="auto"/>
      </w:divBdr>
    </w:div>
    <w:div w:id="13999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6705-7B62-4B64-AEA0-A5D70318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922</Words>
  <Characters>4335</Characters>
  <Application>Microsoft Office Word</Application>
  <DocSecurity>0</DocSecurity>
  <Lines>541</Lines>
  <Paragraphs>250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ZETTERBERG Jonas (MARE)</dc:creator>
  <cp:lastModifiedBy>DIGIT/A3</cp:lastModifiedBy>
  <cp:revision>7</cp:revision>
  <dcterms:created xsi:type="dcterms:W3CDTF">2018-05-14T15:25:00Z</dcterms:created>
  <dcterms:modified xsi:type="dcterms:W3CDTF">2018-05-17T14:53:00Z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