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1774002"/>
      <w:bookmarkStart w:id="1" w:name="_Toc483246265"/>
      <w:bookmarkStart w:id="2" w:name="_Toc497116893"/>
      <w:bookmarkStart w:id="3"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D52AA7C-19E0-47AA-8EED-D55862A08870" style="width:450.75pt;height:404.25pt">
            <v:imagedata r:id="rId9" o:title=""/>
          </v:shape>
        </w:pict>
      </w:r>
    </w:p>
    <w:bookmarkEnd w:id="3"/>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spacing w:before="120" w:after="120" w:line="240" w:lineRule="auto"/>
        <w:jc w:val="center"/>
        <w:outlineLvl w:val="1"/>
        <w:rPr>
          <w:rFonts w:ascii="Times New Roman" w:eastAsia="Times New Roman" w:hAnsi="Times New Roman" w:cs="Times New Roman"/>
          <w:b/>
          <w:bCs/>
          <w:iCs/>
          <w:noProof/>
          <w:sz w:val="24"/>
          <w:szCs w:val="24"/>
        </w:rPr>
      </w:pPr>
      <w:bookmarkStart w:id="4" w:name="_GoBack"/>
      <w:bookmarkEnd w:id="4"/>
      <w:r>
        <w:rPr>
          <w:rFonts w:ascii="Times New Roman" w:hAnsi="Times New Roman"/>
          <w:b/>
          <w:noProof/>
          <w:sz w:val="24"/>
        </w:rPr>
        <w:lastRenderedPageBreak/>
        <w:t xml:space="preserve">Обзорен доклад </w:t>
      </w:r>
      <w:bookmarkEnd w:id="0"/>
      <w:bookmarkEnd w:id="1"/>
      <w:bookmarkEnd w:id="2"/>
      <w:r>
        <w:rPr>
          <w:rFonts w:ascii="Times New Roman" w:hAnsi="Times New Roman"/>
          <w:b/>
          <w:noProof/>
          <w:sz w:val="24"/>
        </w:rPr>
        <w:t>за консултацията по Предложението за Директива на Европейския парламент и на Съвета относно намаляването на въздействието на определени пластмасови продукти върху околната среда</w:t>
      </w:r>
    </w:p>
    <w:p>
      <w:pPr>
        <w:spacing w:before="240" w:after="60" w:line="240" w:lineRule="auto"/>
        <w:ind w:left="1008" w:hanging="1008"/>
        <w:jc w:val="both"/>
        <w:outlineLvl w:val="4"/>
        <w:rPr>
          <w:rFonts w:ascii="Times New Roman" w:eastAsia="Calibri" w:hAnsi="Times New Roman" w:cs="Times New Roman"/>
          <w:b/>
          <w:noProof/>
        </w:rPr>
      </w:pPr>
    </w:p>
    <w:p>
      <w:pPr>
        <w:pStyle w:val="Heading1"/>
      </w:pPr>
      <w:r>
        <w:t>1. Въведение</w:t>
      </w:r>
    </w:p>
    <w:p>
      <w:pPr>
        <w:jc w:val="both"/>
        <w:rPr>
          <w:rFonts w:ascii="Times New Roman" w:eastAsia="Times New Roman" w:hAnsi="Times New Roman" w:cs="Times New Roman"/>
          <w:noProof/>
          <w:sz w:val="24"/>
          <w:szCs w:val="24"/>
        </w:rPr>
      </w:pPr>
      <w:r>
        <w:rPr>
          <w:rFonts w:ascii="Times New Roman" w:hAnsi="Times New Roman"/>
          <w:noProof/>
          <w:sz w:val="24"/>
        </w:rPr>
        <w:t>Консултативните дейности, описани в настоящия документ, отразяват становищата, опасенията и идеите на различни заинтересовани страни по отношение на най-добрите средства за постигане на намаляване на морските отпадъци, които се образуват по-специално от пластмаси за еднократна употреба и от изоставени, изгубени и изхвърлени по друг начин риболовни съоръжения. Резултатите са използвани при разработването на стратегията за пластмасите</w:t>
      </w:r>
      <w:r>
        <w:rPr>
          <w:rStyle w:val="FootnoteReference"/>
          <w:rFonts w:ascii="Times New Roman" w:hAnsi="Times New Roman"/>
          <w:noProof/>
          <w:sz w:val="24"/>
        </w:rPr>
        <w:footnoteReference w:id="1"/>
      </w:r>
      <w:r>
        <w:rPr>
          <w:rFonts w:ascii="Times New Roman" w:hAnsi="Times New Roman"/>
          <w:noProof/>
          <w:sz w:val="24"/>
        </w:rPr>
        <w:t xml:space="preserve"> на Комисията и оценката на въздействието върху пластмасите за еднократна употреба и риболовните съоръжения.</w:t>
      </w:r>
    </w:p>
    <w:p>
      <w:pPr>
        <w:pStyle w:val="Heading1"/>
      </w:pPr>
      <w:r>
        <w:t>2. Подход за провеждане на консултацията и включване на други източници на информация</w:t>
      </w:r>
    </w:p>
    <w:p>
      <w:pPr>
        <w:jc w:val="both"/>
        <w:rPr>
          <w:rFonts w:ascii="Times New Roman" w:eastAsia="Times New Roman" w:hAnsi="Times New Roman" w:cs="Times New Roman"/>
          <w:noProof/>
          <w:sz w:val="24"/>
          <w:szCs w:val="24"/>
        </w:rPr>
      </w:pPr>
      <w:r>
        <w:rPr>
          <w:rFonts w:ascii="Times New Roman" w:hAnsi="Times New Roman"/>
          <w:noProof/>
          <w:sz w:val="24"/>
        </w:rPr>
        <w:t>Подходът за провеждане на консултацията включваше:</w:t>
      </w:r>
    </w:p>
    <w:p>
      <w:pPr>
        <w:pStyle w:val="ListParagraph"/>
        <w:numPr>
          <w:ilvl w:val="0"/>
          <w:numId w:val="5"/>
        </w:numPr>
        <w:jc w:val="both"/>
        <w:rPr>
          <w:rFonts w:ascii="Times New Roman" w:eastAsia="Times New Roman" w:hAnsi="Times New Roman" w:cs="Times New Roman"/>
          <w:noProof/>
          <w:sz w:val="24"/>
          <w:szCs w:val="24"/>
        </w:rPr>
      </w:pPr>
      <w:r>
        <w:rPr>
          <w:rFonts w:ascii="Times New Roman" w:hAnsi="Times New Roman"/>
          <w:noProof/>
          <w:sz w:val="24"/>
        </w:rPr>
        <w:t>два семинара със заинтересованите страни по въпросите на пластмасите за еднократна употреба на 16 юни и 14 септември 2017 г.;</w:t>
      </w:r>
    </w:p>
    <w:p>
      <w:pPr>
        <w:pStyle w:val="ListParagraph"/>
        <w:numPr>
          <w:ilvl w:val="0"/>
          <w:numId w:val="5"/>
        </w:numPr>
        <w:jc w:val="both"/>
        <w:rPr>
          <w:rFonts w:ascii="Times New Roman" w:eastAsia="Times New Roman" w:hAnsi="Times New Roman" w:cs="Times New Roman"/>
          <w:noProof/>
          <w:sz w:val="24"/>
          <w:szCs w:val="24"/>
        </w:rPr>
      </w:pPr>
      <w:r>
        <w:rPr>
          <w:rFonts w:ascii="Times New Roman" w:hAnsi="Times New Roman"/>
          <w:noProof/>
          <w:sz w:val="24"/>
        </w:rPr>
        <w:t>отворена консултация/коментари по първоначалната оценка на въздействието;</w:t>
      </w:r>
    </w:p>
    <w:p>
      <w:pPr>
        <w:pStyle w:val="ListParagraph"/>
        <w:numPr>
          <w:ilvl w:val="0"/>
          <w:numId w:val="5"/>
        </w:numPr>
        <w:jc w:val="both"/>
        <w:rPr>
          <w:rFonts w:ascii="Times New Roman" w:eastAsia="Times New Roman" w:hAnsi="Times New Roman" w:cs="Times New Roman"/>
          <w:noProof/>
          <w:sz w:val="24"/>
          <w:szCs w:val="24"/>
        </w:rPr>
      </w:pPr>
      <w:r>
        <w:rPr>
          <w:rFonts w:ascii="Times New Roman" w:hAnsi="Times New Roman"/>
          <w:noProof/>
          <w:sz w:val="24"/>
        </w:rPr>
        <w:t>интервюта/ad hoc консултация със заинтересованите страни;</w:t>
      </w:r>
    </w:p>
    <w:p>
      <w:pPr>
        <w:pStyle w:val="ListParagraph"/>
        <w:numPr>
          <w:ilvl w:val="0"/>
          <w:numId w:val="5"/>
        </w:numPr>
        <w:jc w:val="both"/>
        <w:rPr>
          <w:rFonts w:ascii="Times New Roman" w:eastAsia="Times New Roman" w:hAnsi="Times New Roman" w:cs="Times New Roman"/>
          <w:noProof/>
          <w:sz w:val="24"/>
          <w:szCs w:val="24"/>
        </w:rPr>
      </w:pPr>
      <w:r>
        <w:rPr>
          <w:rFonts w:ascii="Times New Roman" w:hAnsi="Times New Roman"/>
          <w:noProof/>
          <w:sz w:val="24"/>
        </w:rPr>
        <w:t>Специално проучване на Евробарометър № 468 (ЕК, 2017 г.)</w:t>
      </w:r>
      <w:r>
        <w:rPr>
          <w:rStyle w:val="FootnoteReference"/>
          <w:rFonts w:ascii="Times New Roman" w:hAnsi="Times New Roman"/>
          <w:noProof/>
          <w:sz w:val="24"/>
        </w:rPr>
        <w:footnoteReference w:id="2"/>
      </w:r>
      <w:r>
        <w:rPr>
          <w:rFonts w:ascii="Times New Roman" w:hAnsi="Times New Roman"/>
          <w:noProof/>
          <w:sz w:val="24"/>
        </w:rPr>
        <w:t xml:space="preserve"> и Експресно проучване на Евробарометър № 388 (ЕК, 2014 г.)</w:t>
      </w:r>
      <w:r>
        <w:rPr>
          <w:rStyle w:val="FootnoteReference"/>
          <w:rFonts w:ascii="Times New Roman" w:hAnsi="Times New Roman"/>
          <w:noProof/>
          <w:sz w:val="24"/>
        </w:rPr>
        <w:footnoteReference w:id="3"/>
      </w:r>
      <w:r>
        <w:rPr>
          <w:rFonts w:ascii="Times New Roman" w:hAnsi="Times New Roman"/>
          <w:noProof/>
          <w:sz w:val="24"/>
        </w:rPr>
        <w:t>;</w:t>
      </w:r>
    </w:p>
    <w:p>
      <w:pPr>
        <w:pStyle w:val="ListParagraph"/>
        <w:numPr>
          <w:ilvl w:val="0"/>
          <w:numId w:val="5"/>
        </w:numPr>
        <w:jc w:val="both"/>
        <w:rPr>
          <w:rFonts w:ascii="Times New Roman" w:eastAsia="Times New Roman" w:hAnsi="Times New Roman" w:cs="Times New Roman"/>
          <w:noProof/>
          <w:sz w:val="24"/>
          <w:szCs w:val="24"/>
        </w:rPr>
      </w:pPr>
      <w:r>
        <w:rPr>
          <w:rFonts w:ascii="Times New Roman" w:hAnsi="Times New Roman"/>
          <w:noProof/>
          <w:sz w:val="24"/>
        </w:rPr>
        <w:t>обществената онлайн консултация „Намаляване на морските отпадъци: действие относно пластмасите за еднократна употреба и риболовните съоръжения“ от 15 декември 2017 г. до 12 февруари 2018 г.;</w:t>
      </w:r>
    </w:p>
    <w:p>
      <w:pPr>
        <w:pStyle w:val="ListParagraph"/>
        <w:numPr>
          <w:ilvl w:val="0"/>
          <w:numId w:val="5"/>
        </w:numPr>
        <w:jc w:val="both"/>
        <w:rPr>
          <w:rFonts w:ascii="Times New Roman" w:eastAsia="Times New Roman" w:hAnsi="Times New Roman" w:cs="Times New Roman"/>
          <w:noProof/>
          <w:sz w:val="24"/>
          <w:szCs w:val="24"/>
        </w:rPr>
      </w:pPr>
      <w:r>
        <w:rPr>
          <w:rFonts w:ascii="Times New Roman" w:hAnsi="Times New Roman"/>
          <w:noProof/>
          <w:sz w:val="24"/>
        </w:rPr>
        <w:t>конференцията на заинтересованите страни на тема „Да преоткрием пластмасите“</w:t>
      </w:r>
      <w:r>
        <w:rPr>
          <w:rStyle w:val="FootnoteReference"/>
          <w:rFonts w:ascii="Times New Roman" w:hAnsi="Times New Roman"/>
          <w:noProof/>
          <w:sz w:val="24"/>
        </w:rPr>
        <w:footnoteReference w:id="4"/>
      </w:r>
      <w:r>
        <w:rPr>
          <w:rFonts w:ascii="Times New Roman" w:hAnsi="Times New Roman"/>
          <w:noProof/>
          <w:sz w:val="24"/>
        </w:rPr>
        <w:t>, проведена на 26 септември 2017 г., със специална сесия относно морските отпадъци и пластмасите за еднократна употреба;</w:t>
      </w:r>
    </w:p>
    <w:p>
      <w:pPr>
        <w:pStyle w:val="ListParagraph"/>
        <w:numPr>
          <w:ilvl w:val="0"/>
          <w:numId w:val="5"/>
        </w:numPr>
        <w:jc w:val="both"/>
        <w:rPr>
          <w:rFonts w:ascii="Times New Roman" w:eastAsia="Times New Roman" w:hAnsi="Times New Roman" w:cs="Times New Roman"/>
          <w:noProof/>
          <w:sz w:val="24"/>
          <w:szCs w:val="24"/>
        </w:rPr>
      </w:pPr>
      <w:r>
        <w:rPr>
          <w:rFonts w:ascii="Times New Roman" w:hAnsi="Times New Roman"/>
          <w:noProof/>
          <w:sz w:val="24"/>
        </w:rPr>
        <w:t xml:space="preserve">конференцията на Европейската платформа на заинтересованите страни по въпросите на кръговата икономика през 2018 г., проведена на 20 февруари, която включваше сесия относно морските отпадъци.  </w:t>
      </w:r>
    </w:p>
    <w:p>
      <w:pPr>
        <w:pStyle w:val="Heading1"/>
      </w:pPr>
      <w:r>
        <w:lastRenderedPageBreak/>
        <w:t xml:space="preserve">3. Обобщени резултати от консултацията със заинтересованите страни </w:t>
      </w:r>
    </w:p>
    <w:p>
      <w:pPr>
        <w:pStyle w:val="Heading2"/>
      </w:pPr>
      <w:r>
        <w:t xml:space="preserve">3.1 Семинари и конференции със заинтересованите страни  </w:t>
      </w:r>
    </w:p>
    <w:p>
      <w:pPr>
        <w:jc w:val="both"/>
        <w:rPr>
          <w:rFonts w:ascii="Times New Roman" w:eastAsia="Times New Roman" w:hAnsi="Times New Roman" w:cs="Times New Roman"/>
          <w:noProof/>
          <w:sz w:val="24"/>
          <w:szCs w:val="24"/>
        </w:rPr>
      </w:pPr>
      <w:r>
        <w:rPr>
          <w:rFonts w:ascii="Times New Roman" w:hAnsi="Times New Roman"/>
          <w:noProof/>
          <w:sz w:val="24"/>
        </w:rPr>
        <w:t xml:space="preserve">Участниците в семинарите със заинтересованите страни по въпросите на пластмасите за еднократна употреба като цяло изразиха съгласие, че изделията, класифицирани като пластмаси за еднократна употреба, трябва да отговарят на следните критерии (с някои изключения): разпространение в морската среда; кратък етап на употреба; потребление предимно извън дома; и наличие на повторно използваеми алтернативи или алтернативи от материали, различни от пластмаси. </w:t>
      </w:r>
    </w:p>
    <w:p>
      <w:pPr>
        <w:jc w:val="both"/>
        <w:rPr>
          <w:rFonts w:ascii="Times New Roman" w:eastAsia="Times New Roman" w:hAnsi="Times New Roman" w:cs="Times New Roman"/>
          <w:noProof/>
          <w:sz w:val="24"/>
          <w:szCs w:val="24"/>
        </w:rPr>
      </w:pPr>
      <w:r>
        <w:rPr>
          <w:rFonts w:ascii="Times New Roman" w:hAnsi="Times New Roman"/>
          <w:noProof/>
          <w:sz w:val="24"/>
        </w:rPr>
        <w:t xml:space="preserve">Бяха установени основните причини за изпускането на пластмаси за еднократна употреба, в това число ниските равнища на повторна употреба и рециклиране, дизайнът на продуктите, материалите и поведението на потребителите. Липсата на регулаторни мерки може да се разглежда като основна причина. </w:t>
      </w:r>
    </w:p>
    <w:p>
      <w:pPr>
        <w:jc w:val="both"/>
        <w:rPr>
          <w:rFonts w:ascii="Times New Roman" w:eastAsia="Times New Roman" w:hAnsi="Times New Roman" w:cs="Times New Roman"/>
          <w:noProof/>
          <w:sz w:val="24"/>
          <w:szCs w:val="24"/>
        </w:rPr>
      </w:pPr>
      <w:r>
        <w:rPr>
          <w:rFonts w:ascii="Times New Roman" w:hAnsi="Times New Roman"/>
          <w:noProof/>
          <w:sz w:val="24"/>
        </w:rPr>
        <w:t xml:space="preserve">Бяха обсъдени регулаторни и доброволни мерки, включително: стимули за производителите и потребителите (финансови и поведенчески); подобряване на събирането на пластмаси; въвеждане на стандарти, забрани и задължения при проектирането на продуктите и отчитането на отпадъците. Участниците изразиха подкрепа за определяне на целева стойност за предотвратяване на отпадъците за целия ЕС и сътрудничеството между заинтересованите страни за разработване на цялостен подход към пластмасите за еднократна употреба. Други потенциални мерки включваха изменение на Рамковата директива за отпадъците в допълнение с по-добро спазване на йерархията на отпадъците, екологосъобразните обществени поръчки и доброволните споразумения. </w:t>
      </w:r>
    </w:p>
    <w:p>
      <w:pPr>
        <w:jc w:val="both"/>
        <w:rPr>
          <w:rFonts w:ascii="Times New Roman" w:eastAsia="Times New Roman" w:hAnsi="Times New Roman" w:cs="Times New Roman"/>
          <w:noProof/>
          <w:sz w:val="24"/>
          <w:szCs w:val="24"/>
        </w:rPr>
      </w:pPr>
      <w:r>
        <w:rPr>
          <w:rFonts w:ascii="Times New Roman" w:hAnsi="Times New Roman"/>
          <w:noProof/>
          <w:sz w:val="24"/>
        </w:rPr>
        <w:t xml:space="preserve">Дискусиите относно мерките за ограничения очертаха следното: </w:t>
      </w:r>
    </w:p>
    <w:p>
      <w:pPr>
        <w:pStyle w:val="ListParagraph"/>
        <w:numPr>
          <w:ilvl w:val="0"/>
          <w:numId w:val="6"/>
        </w:numPr>
        <w:jc w:val="both"/>
        <w:rPr>
          <w:rFonts w:ascii="Times New Roman" w:eastAsia="Times New Roman" w:hAnsi="Times New Roman" w:cs="Times New Roman"/>
          <w:noProof/>
          <w:sz w:val="24"/>
          <w:szCs w:val="24"/>
        </w:rPr>
      </w:pPr>
      <w:r>
        <w:rPr>
          <w:rFonts w:ascii="Times New Roman" w:hAnsi="Times New Roman"/>
          <w:noProof/>
          <w:sz w:val="24"/>
        </w:rPr>
        <w:t xml:space="preserve">наличните данни за ефективни кампании за повишаване на осведомеността са ограничени и тези кампании не са достатъчни като самостоятелна мярка; </w:t>
      </w:r>
    </w:p>
    <w:p>
      <w:pPr>
        <w:pStyle w:val="ListParagraph"/>
        <w:numPr>
          <w:ilvl w:val="0"/>
          <w:numId w:val="6"/>
        </w:numPr>
        <w:jc w:val="both"/>
        <w:rPr>
          <w:rFonts w:ascii="Times New Roman" w:eastAsia="Times New Roman" w:hAnsi="Times New Roman" w:cs="Times New Roman"/>
          <w:noProof/>
          <w:sz w:val="24"/>
          <w:szCs w:val="24"/>
        </w:rPr>
      </w:pPr>
      <w:r>
        <w:rPr>
          <w:rFonts w:ascii="Times New Roman" w:hAnsi="Times New Roman"/>
          <w:noProof/>
          <w:sz w:val="24"/>
        </w:rPr>
        <w:t>забраните могат да бъдат добър способ за налагане на преработването на конкретни изделия с ниска стойност, но ако бъдат определени на национално равнище, те могат да предизвикат смущения в единния пазар;</w:t>
      </w:r>
    </w:p>
    <w:p>
      <w:pPr>
        <w:pStyle w:val="ListParagraph"/>
        <w:numPr>
          <w:ilvl w:val="0"/>
          <w:numId w:val="6"/>
        </w:numPr>
        <w:jc w:val="both"/>
        <w:rPr>
          <w:rFonts w:ascii="Times New Roman" w:eastAsia="Times New Roman" w:hAnsi="Times New Roman" w:cs="Times New Roman"/>
          <w:noProof/>
          <w:sz w:val="24"/>
          <w:szCs w:val="24"/>
        </w:rPr>
      </w:pPr>
      <w:r>
        <w:rPr>
          <w:rFonts w:ascii="Times New Roman" w:hAnsi="Times New Roman"/>
          <w:noProof/>
          <w:sz w:val="24"/>
        </w:rPr>
        <w:t xml:space="preserve">времевата рамка за изпълнение трябва да гарантира, че заместващите материали отговарят на стандартите и че потребителите са подготвени;  </w:t>
      </w:r>
    </w:p>
    <w:p>
      <w:pPr>
        <w:pStyle w:val="ListParagraph"/>
        <w:numPr>
          <w:ilvl w:val="0"/>
          <w:numId w:val="6"/>
        </w:numPr>
        <w:jc w:val="both"/>
        <w:rPr>
          <w:rFonts w:ascii="Times New Roman" w:eastAsia="Times New Roman" w:hAnsi="Times New Roman" w:cs="Times New Roman"/>
          <w:noProof/>
          <w:sz w:val="24"/>
          <w:szCs w:val="24"/>
        </w:rPr>
      </w:pPr>
      <w:r>
        <w:rPr>
          <w:rFonts w:ascii="Times New Roman" w:hAnsi="Times New Roman"/>
          <w:noProof/>
          <w:sz w:val="24"/>
        </w:rPr>
        <w:t xml:space="preserve">таксите са ефективна превантивна мярка за въздействие върху поведението на потребителите, а същевременно генерират приходи. Представителите на отрасъла изтъкнаха, че е необходим законодателен подход, за да се осигурят еднакви условия на конкуренция; </w:t>
      </w:r>
    </w:p>
    <w:p>
      <w:pPr>
        <w:pStyle w:val="ListParagraph"/>
        <w:numPr>
          <w:ilvl w:val="0"/>
          <w:numId w:val="6"/>
        </w:numPr>
        <w:jc w:val="both"/>
        <w:rPr>
          <w:rFonts w:ascii="Times New Roman" w:eastAsia="Times New Roman" w:hAnsi="Times New Roman" w:cs="Times New Roman"/>
          <w:noProof/>
          <w:sz w:val="24"/>
          <w:szCs w:val="24"/>
        </w:rPr>
      </w:pPr>
      <w:r>
        <w:rPr>
          <w:rFonts w:ascii="Times New Roman" w:hAnsi="Times New Roman"/>
          <w:noProof/>
          <w:sz w:val="24"/>
        </w:rPr>
        <w:t xml:space="preserve">определянето на цели за намаляване на конкретни изделия като цяло беше оценено като подходяща мярка; </w:t>
      </w:r>
    </w:p>
    <w:p>
      <w:pPr>
        <w:pStyle w:val="ListParagraph"/>
        <w:numPr>
          <w:ilvl w:val="0"/>
          <w:numId w:val="6"/>
        </w:numPr>
        <w:jc w:val="both"/>
        <w:rPr>
          <w:rFonts w:ascii="Times New Roman" w:eastAsia="Times New Roman" w:hAnsi="Times New Roman" w:cs="Times New Roman"/>
          <w:noProof/>
          <w:sz w:val="24"/>
          <w:szCs w:val="24"/>
        </w:rPr>
      </w:pPr>
      <w:r>
        <w:rPr>
          <w:rFonts w:ascii="Times New Roman" w:hAnsi="Times New Roman"/>
          <w:noProof/>
          <w:sz w:val="24"/>
        </w:rPr>
        <w:t xml:space="preserve">алтернативен вариант е да се гарантира, че на мястото на продажба не се предоставят безплатно пластмаси за еднократна употреба. </w:t>
      </w:r>
    </w:p>
    <w:p>
      <w:pPr>
        <w:pStyle w:val="Heading2"/>
      </w:pPr>
      <w:r>
        <w:lastRenderedPageBreak/>
        <w:t xml:space="preserve">3.2 Коментари по първоначалната оценка на въздействието </w:t>
      </w:r>
    </w:p>
    <w:p>
      <w:pPr>
        <w:jc w:val="both"/>
        <w:rPr>
          <w:rFonts w:ascii="Times New Roman" w:eastAsia="Times New Roman" w:hAnsi="Times New Roman" w:cs="Times New Roman"/>
          <w:noProof/>
          <w:sz w:val="24"/>
          <w:szCs w:val="24"/>
        </w:rPr>
      </w:pPr>
      <w:r>
        <w:rPr>
          <w:rFonts w:ascii="Times New Roman" w:hAnsi="Times New Roman"/>
          <w:noProof/>
          <w:sz w:val="24"/>
        </w:rPr>
        <w:t xml:space="preserve">В 28-те становища беше изразена силна подкрепа за интервенция на равнището на ЕС, като търговците на дребно и производителите изразяват предпочитание към доброволните подходи за сметка на регулаторните мерки. Частният сектор подчерта значението на икономическата жизнеспособност на рециклирането, лошото прилагане на съществуващите правила и празнотите в регулаторната уредба. Няколко представители изтъкнаха необходимостта от кръгов подход или подход на база жизнения цикъл, който да подкрепя превенцията, и призоваха за стимулиране на иновациите и премахване на националните регулаторни бариери. </w:t>
      </w:r>
    </w:p>
    <w:p>
      <w:pPr>
        <w:jc w:val="both"/>
        <w:rPr>
          <w:rFonts w:ascii="Times New Roman" w:eastAsia="Times New Roman" w:hAnsi="Times New Roman" w:cs="Times New Roman"/>
          <w:noProof/>
          <w:sz w:val="24"/>
          <w:szCs w:val="24"/>
        </w:rPr>
      </w:pPr>
      <w:r>
        <w:rPr>
          <w:rFonts w:ascii="Times New Roman" w:hAnsi="Times New Roman"/>
          <w:noProof/>
          <w:sz w:val="24"/>
        </w:rPr>
        <w:t xml:space="preserve">Поради разнообразието на </w:t>
      </w:r>
      <w:r>
        <w:rPr>
          <w:rFonts w:ascii="Times New Roman" w:hAnsi="Times New Roman"/>
          <w:b/>
          <w:noProof/>
          <w:sz w:val="24"/>
        </w:rPr>
        <w:t>пластмасите за еднократна употреба</w:t>
      </w:r>
      <w:r>
        <w:rPr>
          <w:rFonts w:ascii="Times New Roman" w:hAnsi="Times New Roman"/>
          <w:noProof/>
          <w:sz w:val="24"/>
        </w:rPr>
        <w:t xml:space="preserve"> са необходими диференцирани подходи в зависимост от това дали пластмасовите морски отпадъци са образувани от изделия, 1) които могат да бъдат рециклирани, или 2) такива, за които съществуват устойчиви алтернативи. По отношение на изделията, които вече се улавят, беше изразен силен интерес към схемите за разширена отговорност на производителя. Няколко участника посочиха успеха на схемата за възстановяване на депозитите (например за бутилки), въпреки че някои предупредиха, че може да възникнат отрицателни и потенциално непропорционални икономически последици за търговците на дребно. Факторите, които са от решаващо значение за успеха на такива схеми, включват ефективността на съществуващите системи за управление на отпадъците, поведението на потребителите, местната инфраструктура, потенциала за повторна употреба на съответното изделие, както и прилагането. За изделия, които биха могли да бъдат заменени от по-устойчиви алтернативи, търговците на дребно посочиха, че такава подмяна би могла да се постигне най-добре на равнище потребители чрез повишаване на осведомеността и положителни стимули. Бяха препоръчани предпазни мерки при употребата на биоразградими пластмаси, като няколко участника призоваха за яснота на информацията и етикетирането за потребителите. Представителите на предприятията изтъкнаха, че всички ограничения трябва да бъдат съобразени с изискванията на единния пазар и административната тежест. </w:t>
      </w:r>
    </w:p>
    <w:p>
      <w:pPr>
        <w:jc w:val="both"/>
        <w:rPr>
          <w:rFonts w:ascii="Times New Roman" w:eastAsia="Times New Roman" w:hAnsi="Times New Roman" w:cs="Times New Roman"/>
          <w:noProof/>
          <w:sz w:val="24"/>
          <w:szCs w:val="24"/>
        </w:rPr>
      </w:pPr>
      <w:r>
        <w:rPr>
          <w:rFonts w:ascii="Times New Roman" w:hAnsi="Times New Roman"/>
          <w:noProof/>
          <w:sz w:val="24"/>
        </w:rPr>
        <w:t xml:space="preserve">Коментарите във връзка с </w:t>
      </w:r>
      <w:r>
        <w:rPr>
          <w:rFonts w:ascii="Times New Roman" w:hAnsi="Times New Roman"/>
          <w:b/>
          <w:noProof/>
          <w:sz w:val="24"/>
        </w:rPr>
        <w:t>риболовните съоръжения</w:t>
      </w:r>
      <w:r>
        <w:rPr>
          <w:rFonts w:ascii="Times New Roman" w:hAnsi="Times New Roman"/>
          <w:noProof/>
          <w:sz w:val="24"/>
        </w:rPr>
        <w:t xml:space="preserve"> бяха съсредоточени около три основни области: 1) базовият вариант и заложените в него допускания; 2) вариантите на политиката и 3) въпросника, използван при интервютата.  </w:t>
      </w:r>
    </w:p>
    <w:p>
      <w:pPr>
        <w:jc w:val="both"/>
        <w:rPr>
          <w:rFonts w:ascii="Times New Roman" w:eastAsia="Times New Roman" w:hAnsi="Times New Roman" w:cs="Times New Roman"/>
          <w:noProof/>
          <w:sz w:val="24"/>
          <w:szCs w:val="24"/>
        </w:rPr>
      </w:pPr>
      <w:r>
        <w:rPr>
          <w:rFonts w:ascii="Times New Roman" w:hAnsi="Times New Roman"/>
          <w:noProof/>
          <w:sz w:val="24"/>
        </w:rPr>
        <w:t xml:space="preserve">В резултат на коментарите и допълнителните източници на информация равнището на изгубените пластмасови риболовни съоръжения и съоръжения за аквакултури за европейските морета в базовия вариант беше намалено от 30 % на 15 %. Процентното разпределение на теглото на пластмасовите отпадъци между съоръженията за аквакултури и риболовните съоръжения също беше преразгледано. Първоначално разпределението (на базата на данни от Норвегия) беше 77 % за съоръженията за аквакултури и 23 % за риболовните съоръжения. За по-точно отразяване на производството в сектора на риболова и аквакултурите в ЕС-28 обаче тегловното съотношение беше коригирано на 60 % за аквакултурите и 40 % за риболова. В следствие на коментарите в базовия вариант беше включено допускането за пълно прилагане на преразгледания текст на Директивата за пристанищните приемни </w:t>
      </w:r>
      <w:r>
        <w:rPr>
          <w:rFonts w:ascii="Times New Roman" w:hAnsi="Times New Roman"/>
          <w:noProof/>
          <w:sz w:val="24"/>
        </w:rPr>
        <w:lastRenderedPageBreak/>
        <w:t xml:space="preserve">съоръжения, Регламента за контрол на рибарството и Рамковата директива за отпадъците. </w:t>
      </w:r>
    </w:p>
    <w:p>
      <w:pPr>
        <w:jc w:val="both"/>
        <w:rPr>
          <w:rFonts w:ascii="Times New Roman" w:eastAsia="Times New Roman" w:hAnsi="Times New Roman" w:cs="Times New Roman"/>
          <w:noProof/>
          <w:sz w:val="24"/>
          <w:szCs w:val="24"/>
        </w:rPr>
      </w:pPr>
      <w:r>
        <w:rPr>
          <w:rFonts w:ascii="Times New Roman" w:hAnsi="Times New Roman"/>
          <w:noProof/>
          <w:sz w:val="24"/>
        </w:rPr>
        <w:t xml:space="preserve">Четирите оценени варианти на политиката бяха следните: 1) схеми за разширена отговорност на производителя без схеми за възстановяване на депозитите; 2) схеми за разширена отговорност на производителя и схеми за възстановяване на депозитите; 3) определяне на цел (цел за рециклиране); и 4) алтернативни материали и дизайн на продуктите. В коментарите беше изтъкнато значението на количественото измерване на въздействието, което беше включено във възможно най-голяма степен. </w:t>
      </w:r>
    </w:p>
    <w:p>
      <w:pPr>
        <w:pStyle w:val="Heading2"/>
      </w:pPr>
      <w:r>
        <w:t xml:space="preserve">3.3 Интервюта/ad hoc консултация </w:t>
      </w:r>
    </w:p>
    <w:p>
      <w:pPr>
        <w:jc w:val="both"/>
        <w:rPr>
          <w:rFonts w:ascii="Times New Roman" w:eastAsia="Times New Roman" w:hAnsi="Times New Roman" w:cs="Times New Roman"/>
          <w:noProof/>
          <w:sz w:val="24"/>
          <w:szCs w:val="24"/>
        </w:rPr>
      </w:pPr>
      <w:r>
        <w:rPr>
          <w:rFonts w:ascii="Times New Roman" w:hAnsi="Times New Roman"/>
          <w:noProof/>
          <w:sz w:val="24"/>
        </w:rPr>
        <w:t xml:space="preserve">В подкрепа на изготвянето на анализа на проблема и анализа на въздействието върху </w:t>
      </w:r>
      <w:r>
        <w:rPr>
          <w:rFonts w:ascii="Times New Roman" w:hAnsi="Times New Roman"/>
          <w:b/>
          <w:noProof/>
          <w:sz w:val="24"/>
        </w:rPr>
        <w:t>пластмасите за еднократна употреба</w:t>
      </w:r>
      <w:r>
        <w:rPr>
          <w:rFonts w:ascii="Times New Roman" w:hAnsi="Times New Roman"/>
          <w:noProof/>
          <w:sz w:val="24"/>
        </w:rPr>
        <w:t xml:space="preserve"> бяха проведени повече от 30 интервюта. Те имаха за цел да се очертаят и подложат на изпитване потенциални мерки за интервенция, да се анализират техническата им осъществимост и вероятните им въздействия. Бяха събрани конкретни данни относно изпълнението и разходите и относно тяхната промяна в резултат на потенциални мерки за интервенция.  </w:t>
      </w:r>
    </w:p>
    <w:p>
      <w:pPr>
        <w:jc w:val="both"/>
        <w:rPr>
          <w:rFonts w:ascii="Times New Roman" w:eastAsia="Times New Roman" w:hAnsi="Times New Roman" w:cs="Times New Roman"/>
          <w:noProof/>
          <w:sz w:val="24"/>
          <w:szCs w:val="24"/>
        </w:rPr>
      </w:pPr>
      <w:r>
        <w:rPr>
          <w:rFonts w:ascii="Times New Roman" w:hAnsi="Times New Roman"/>
          <w:noProof/>
          <w:sz w:val="24"/>
        </w:rPr>
        <w:t>Заинтересованите страни от различни групи подчертаха значението на наличието и функцията на изделията за еднократна употреба от материали, различни от пластмаси, или алтернативите за многократна употреба, както и потенциалните разходи на производителите при преминаване към други материали. Консултирането с операторите на схеми за зареждане за многократна употреба и дружествата в областта на водоснабдяването помогна за постигане на по-добро разбиране на операцията и предизвикателствата.</w:t>
      </w:r>
    </w:p>
    <w:p>
      <w:pPr>
        <w:jc w:val="both"/>
        <w:rPr>
          <w:rFonts w:ascii="Times New Roman" w:eastAsia="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риболовните съоръжения</w:t>
      </w:r>
      <w:r>
        <w:rPr>
          <w:rFonts w:ascii="Times New Roman" w:hAnsi="Times New Roman"/>
          <w:noProof/>
          <w:sz w:val="24"/>
        </w:rPr>
        <w:t xml:space="preserve"> входящи данни за описанието, количественото измерване и оценката на четирите варианта на политиката бяха събрани чрез 16 директни интервюта и 15 интервюта по електронна поща и по телефона. </w:t>
      </w:r>
    </w:p>
    <w:p>
      <w:pPr>
        <w:jc w:val="both"/>
        <w:rPr>
          <w:rFonts w:ascii="Times New Roman" w:eastAsia="Times New Roman" w:hAnsi="Times New Roman" w:cs="Times New Roman"/>
          <w:noProof/>
          <w:sz w:val="24"/>
          <w:szCs w:val="24"/>
        </w:rPr>
      </w:pPr>
      <w:r>
        <w:rPr>
          <w:rFonts w:ascii="Times New Roman" w:hAnsi="Times New Roman"/>
          <w:noProof/>
          <w:sz w:val="24"/>
        </w:rPr>
        <w:t xml:space="preserve">Заинтересованите страни изразиха съгласие, че трябва да се намалят пластмасовите морски отпадъци от риболов и аквакултури и че е необходимо да се предприемат политически действия, включително на равнището на ЕС. По-голямата част считат предложените четири варианта на политиката за правилния избор, но същевременно изтъкват предизвикателството политиките и мерките да се прилагат, изпълняват и наблюдават на равнището на целия Съюз. </w:t>
      </w:r>
    </w:p>
    <w:p>
      <w:pPr>
        <w:jc w:val="both"/>
        <w:rPr>
          <w:rFonts w:ascii="Times New Roman" w:eastAsia="Times New Roman" w:hAnsi="Times New Roman" w:cs="Times New Roman"/>
          <w:noProof/>
          <w:sz w:val="24"/>
          <w:szCs w:val="24"/>
        </w:rPr>
      </w:pPr>
      <w:r>
        <w:rPr>
          <w:rFonts w:ascii="Times New Roman" w:hAnsi="Times New Roman"/>
          <w:noProof/>
          <w:sz w:val="24"/>
        </w:rPr>
        <w:t xml:space="preserve">Схемите за разширена отговорност на производителя, с или без схеми за възстановяване на депозитите, бяха оценени като най-благоприятния вариант на политиката, тъй като в техните рамки могат да се покриват разходите за сортиране, разкомплектоване и транспортиране, както и да се заплащат операции по намиране на изгубени съоръжения. Схемите за възстановяване на депозитите биха създали финансов стимул за връщане на излезли от употреба съоръжения в пристанищата. Бяха изразени опасения, че в рамките на такава схема рибарите биха били санкционирани за невъзстановени изгубени съоръжения и тя би създала стимул за улавянето на изправни съоръжения на други рибари. Многократно са цитирани примери на успехи от Исландия, Норвегия и Дания. Целите за рециклиране са оценени като полезни за предотвратяване на изпращането на излезлите от употреба съоръжения в депа за отпадъци или изгарянето им и насочването им вместо това към съоръжения за рециклиране. Навлизането на пазара на рециклирани материали от риболовни съоръжения и съоръжения за аквакултури трябва да се подобри и следва да се използва публично финансиране или финансиране от схеми за разширена отговорност на производителя, за да се създаде конкурентна позиция на рециклираните материали от сектора на опаковането. За биоразградимите пластмаси беше счетено, че са твърде скъпи и не са широко достъпни, особено онези, които се разграждат биологично в солена вода и на големи дълбочини. Освен това някои заинтересовани страни посочиха, че биоразградимият материал може да насърчи обезвреждането на пластмасови риболовни съоръжения в морето, вместо връщането им в пристанищата. </w:t>
      </w:r>
    </w:p>
    <w:p>
      <w:pPr>
        <w:pStyle w:val="Heading2"/>
      </w:pPr>
      <w:r>
        <w:t xml:space="preserve">3.4 Консултации чрез Евробарометър </w:t>
      </w:r>
    </w:p>
    <w:p>
      <w:pPr>
        <w:jc w:val="both"/>
        <w:rPr>
          <w:rFonts w:ascii="Times New Roman" w:eastAsia="Times New Roman" w:hAnsi="Times New Roman" w:cs="Times New Roman"/>
          <w:noProof/>
          <w:sz w:val="24"/>
          <w:szCs w:val="24"/>
        </w:rPr>
      </w:pPr>
      <w:r>
        <w:rPr>
          <w:rFonts w:ascii="Times New Roman" w:hAnsi="Times New Roman"/>
          <w:noProof/>
          <w:sz w:val="24"/>
        </w:rPr>
        <w:t>Консултацията чрез Евробарометър през 2014 г. разкри подкрепата на европейските граждани</w:t>
      </w:r>
      <w:r>
        <w:rPr>
          <w:rStyle w:val="FootnoteReference"/>
          <w:rFonts w:ascii="Times New Roman" w:hAnsi="Times New Roman"/>
          <w:noProof/>
          <w:sz w:val="24"/>
        </w:rPr>
        <w:footnoteReference w:id="5"/>
      </w:r>
      <w:r>
        <w:rPr>
          <w:rFonts w:ascii="Times New Roman" w:hAnsi="Times New Roman"/>
          <w:noProof/>
          <w:sz w:val="24"/>
        </w:rPr>
        <w:t xml:space="preserve"> за цел за намаляване на морските отпадъци на равнището на ЕС. 33 % от участниците в специалното проучване на Евробарометър № 468 (ЕК, 2017 г.)</w:t>
      </w:r>
      <w:r>
        <w:rPr>
          <w:rStyle w:val="FootnoteReference"/>
          <w:rFonts w:ascii="Times New Roman" w:hAnsi="Times New Roman"/>
          <w:noProof/>
          <w:sz w:val="24"/>
        </w:rPr>
        <w:footnoteReference w:id="6"/>
      </w:r>
      <w:r>
        <w:rPr>
          <w:rFonts w:ascii="Times New Roman" w:hAnsi="Times New Roman"/>
          <w:noProof/>
          <w:sz w:val="24"/>
        </w:rPr>
        <w:t xml:space="preserve"> посочват замърсяването на морската среда като най-важния екологичен проблем. 72% заявяват, че са намалили използването на пластмасови торбички за пазаруване за еднократна употреба, като през последните 12 месеца намалението е 38 %. Между 89 % и 94 % от участниците считат за важни следните мерки:  </w:t>
      </w:r>
    </w:p>
    <w:p>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 xml:space="preserve">проектиране на продуктите с цел улесняване на рециклирането на пластмасите; </w:t>
      </w:r>
    </w:p>
    <w:p>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 xml:space="preserve">усилия от страна на отрасъла и търговците на дребно за намаляване на пластмасовите опаковки; </w:t>
      </w:r>
    </w:p>
    <w:p>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 xml:space="preserve">обучение за начините за намаляване на пластмасовите отпадъци; и </w:t>
      </w:r>
    </w:p>
    <w:p>
      <w:pPr>
        <w:pStyle w:val="ListParagraph"/>
        <w:numPr>
          <w:ilvl w:val="0"/>
          <w:numId w:val="7"/>
        </w:numPr>
        <w:jc w:val="both"/>
        <w:rPr>
          <w:rFonts w:ascii="Times New Roman" w:eastAsia="Times New Roman" w:hAnsi="Times New Roman" w:cs="Times New Roman"/>
          <w:noProof/>
          <w:sz w:val="24"/>
          <w:szCs w:val="24"/>
        </w:rPr>
      </w:pPr>
      <w:r>
        <w:rPr>
          <w:rFonts w:ascii="Times New Roman" w:hAnsi="Times New Roman"/>
          <w:noProof/>
          <w:sz w:val="24"/>
        </w:rPr>
        <w:t xml:space="preserve">осигуряване от страна на местните органи на повече и по-добри съоръжения за събиране на пластмасови отпадъци. </w:t>
      </w:r>
    </w:p>
    <w:p>
      <w:pPr>
        <w:jc w:val="both"/>
        <w:rPr>
          <w:rFonts w:ascii="Times New Roman" w:eastAsia="Times New Roman" w:hAnsi="Times New Roman" w:cs="Times New Roman"/>
          <w:noProof/>
          <w:sz w:val="24"/>
          <w:szCs w:val="24"/>
        </w:rPr>
      </w:pPr>
      <w:r>
        <w:rPr>
          <w:rFonts w:ascii="Times New Roman" w:hAnsi="Times New Roman"/>
          <w:noProof/>
          <w:sz w:val="24"/>
        </w:rPr>
        <w:t xml:space="preserve">61 % от участниците оцениха, че е важно потребителите да плащат допълнителна такса за пластмасови стоки за еднократна употреба. В ЕС все по-голям брой лица считат, че решенията в областта на опазването на околната среда трябва да се вземат съвместно в рамките на ЕС. </w:t>
      </w:r>
    </w:p>
    <w:p>
      <w:pPr>
        <w:pStyle w:val="Heading2"/>
      </w:pPr>
      <w:r>
        <w:t xml:space="preserve">3.5 Открита обществена консултация </w:t>
      </w:r>
    </w:p>
    <w:p>
      <w:pPr>
        <w:jc w:val="both"/>
        <w:rPr>
          <w:rFonts w:ascii="Times New Roman" w:eastAsia="Times New Roman" w:hAnsi="Times New Roman" w:cs="Times New Roman"/>
          <w:noProof/>
          <w:sz w:val="24"/>
          <w:szCs w:val="24"/>
        </w:rPr>
      </w:pPr>
      <w:r>
        <w:rPr>
          <w:rFonts w:ascii="Times New Roman" w:hAnsi="Times New Roman"/>
          <w:noProof/>
          <w:sz w:val="24"/>
        </w:rPr>
        <w:t>В рамките на обществената онлайн консултация</w:t>
      </w:r>
      <w:r>
        <w:rPr>
          <w:rStyle w:val="FootnoteReference"/>
          <w:rFonts w:ascii="Times New Roman" w:hAnsi="Times New Roman"/>
          <w:noProof/>
          <w:sz w:val="24"/>
          <w:highlight w:val="lightGray"/>
        </w:rPr>
        <w:footnoteReference w:id="7"/>
      </w:r>
      <w:r>
        <w:rPr>
          <w:rFonts w:ascii="Times New Roman" w:hAnsi="Times New Roman"/>
          <w:noProof/>
          <w:sz w:val="24"/>
        </w:rPr>
        <w:t xml:space="preserve"> „Намаляване на морските отпадъци: действие относно пластмасите за еднократна употреба и риболовните съоръжения“ (15 декември 2017 г. — 12 февруари 2018 г.) бяха получени 1 807 отговора. </w:t>
      </w:r>
    </w:p>
    <w:p>
      <w:pPr>
        <w:jc w:val="both"/>
        <w:rPr>
          <w:rFonts w:ascii="Times New Roman" w:eastAsia="Times New Roman" w:hAnsi="Times New Roman" w:cs="Times New Roman"/>
          <w:noProof/>
          <w:sz w:val="24"/>
          <w:szCs w:val="24"/>
        </w:rPr>
      </w:pPr>
      <w:r>
        <w:rPr>
          <w:rFonts w:ascii="Times New Roman" w:hAnsi="Times New Roman"/>
          <w:noProof/>
          <w:sz w:val="24"/>
        </w:rPr>
        <w:t xml:space="preserve">Вредите по отношение на хуманното отношение към животните, рисковете за здравето на човека и въздействието върху екосистемните услуги са посочени като трите най-важни проблема, свързани с морските отпадъци и пластмасите за еднократна употреба. 95 % от участниците са съгласни, че действията по отношение на пластмасите за еднократна употреба са едновременно необходими и неотложни. Повечето считат, че ЕС трябва да подкрепя инструменти със задължителен характер на световно равнище или на равнище ЕС. Публичните органи изразяват различна гледна точка, като отбелязват, че някои мерки следва да се изпълняват на равнище ЕС, а други — на местно или национално равнище. </w:t>
      </w:r>
    </w:p>
    <w:p>
      <w:pPr>
        <w:jc w:val="both"/>
        <w:rPr>
          <w:rFonts w:ascii="Times New Roman" w:eastAsia="Times New Roman" w:hAnsi="Times New Roman" w:cs="Times New Roman"/>
          <w:noProof/>
          <w:sz w:val="24"/>
          <w:szCs w:val="24"/>
        </w:rPr>
      </w:pPr>
      <w:r>
        <w:rPr>
          <w:rFonts w:ascii="Times New Roman" w:hAnsi="Times New Roman"/>
          <w:noProof/>
          <w:sz w:val="24"/>
        </w:rPr>
        <w:t xml:space="preserve">Сценарият за намаляване на пластмасите за еднократна употреба в околната среда получи силна подкрепа, като списъкът с приоритети беше оглавен от капачките, капаците и бутилките за напитки. Що се отнася до мерките, участниците подкрепиха почистването на плажовете, активния „риболов на отпадъци“ и редовното количествено измерване на морските отпадъци и по плажовете. Единствената категория, която не подкрепи активния „риболов на отпадъци“, бяха промишлените и професионалните асоциации. </w:t>
      </w:r>
    </w:p>
    <w:p>
      <w:pPr>
        <w:jc w:val="both"/>
        <w:rPr>
          <w:rFonts w:ascii="Times New Roman" w:eastAsia="Times New Roman" w:hAnsi="Times New Roman" w:cs="Times New Roman"/>
          <w:noProof/>
          <w:sz w:val="24"/>
          <w:szCs w:val="24"/>
        </w:rPr>
      </w:pPr>
      <w:r>
        <w:rPr>
          <w:rFonts w:ascii="Times New Roman" w:hAnsi="Times New Roman"/>
          <w:noProof/>
          <w:sz w:val="24"/>
        </w:rPr>
        <w:t xml:space="preserve">Много участници съобщават за намаляване на личната употреба на тънки торбички за пазаруване, бутилки за напитки, капачки и капаци. Потреблението на пакети за чипс и обвивки на сладкарски изделия се е променило най-малко. Преобладаващото мнозинство отдава тези намаления на повишаването на осведомеността за въздействието върху околната среда на пластмасите за еднократна употреба. Участниците изразиха най-голяма готовност да намалят употребата на пластмасови бутилки; повече от половината съобщават, че вече са го направили. 77 % изразяват готовност да плащат малка допълнителна сума като част от схема за възстановяване на депозитите на пластмасови бутилки. Беше установена широка подкрепа (93 %) за политиките за постепенно премахване на пластмасовите съдове и прибори за хранене за еднократна употреба в полза на биоразградими или повторно използваеми алтернативи, дори при малко увеличение на цените. При представителите на промишлени и професионални асоциации е налице разделение по отношение на готовността за плащане, макар те все пак да подкрепят постепенното премахване на пластмасите за еднократна употреба. </w:t>
      </w:r>
    </w:p>
    <w:p>
      <w:pPr>
        <w:jc w:val="both"/>
        <w:rPr>
          <w:rFonts w:ascii="Times New Roman" w:eastAsia="Times New Roman" w:hAnsi="Times New Roman" w:cs="Times New Roman"/>
          <w:noProof/>
          <w:sz w:val="24"/>
          <w:szCs w:val="24"/>
        </w:rPr>
      </w:pPr>
      <w:r>
        <w:rPr>
          <w:rFonts w:ascii="Times New Roman" w:hAnsi="Times New Roman"/>
          <w:noProof/>
          <w:sz w:val="24"/>
        </w:rPr>
        <w:t xml:space="preserve">Беше изразена значителна подкрепа (91 %) за правилата, задължаващи предприятията производители на цигари да допринасят финансово за покриване на разходите за почистване на цигарени угарки. Промишлените и професионалните асоциации изразиха относително по-малка готовност за това. Подобно предложение за производителите на санитарни изделия беше подкрепено от 79 % от участниците. </w:t>
      </w:r>
    </w:p>
    <w:p>
      <w:pPr>
        <w:jc w:val="both"/>
        <w:rPr>
          <w:rFonts w:ascii="Times New Roman" w:eastAsia="Times New Roman" w:hAnsi="Times New Roman" w:cs="Times New Roman"/>
          <w:noProof/>
          <w:sz w:val="24"/>
          <w:szCs w:val="24"/>
        </w:rPr>
      </w:pPr>
      <w:r>
        <w:rPr>
          <w:rFonts w:ascii="Times New Roman" w:hAnsi="Times New Roman"/>
          <w:noProof/>
          <w:sz w:val="24"/>
        </w:rPr>
        <w:t xml:space="preserve">Схемите за възстановяване на депозитите се считат за най-подходящата ответна мярка (47 %) за бутилките за напитки, следвани от целите за намаляване на употребата (33 %). Участниците отбелязват високите норми на връщане (около 90 %) при схемите за възстановяване на депозитите и високото качество на получените суровини за производство, но търговците на дребно сигнализират за потенциални икономически и оперативни въздействия, особено за по-малките магазини, и призовават за прилагането на специално разработени схеми на национално равнище.  </w:t>
      </w:r>
    </w:p>
    <w:p>
      <w:pPr>
        <w:jc w:val="both"/>
        <w:rPr>
          <w:rFonts w:ascii="Times New Roman" w:eastAsia="Times New Roman" w:hAnsi="Times New Roman" w:cs="Times New Roman"/>
          <w:noProof/>
          <w:sz w:val="24"/>
          <w:szCs w:val="24"/>
        </w:rPr>
      </w:pPr>
      <w:r>
        <w:rPr>
          <w:rFonts w:ascii="Times New Roman" w:hAnsi="Times New Roman"/>
          <w:noProof/>
          <w:sz w:val="24"/>
        </w:rPr>
        <w:t xml:space="preserve">Минималните изисквания за дизайна на продуктите получиха по-слаба подкрепа (20 %) и не намериха широк прием сред представителите на предприятията. За пластмасите за еднократна употреба, които могат да бъдат заменени от по-устойчиви алтернативи, като например клечки за уши и прибори за хранене, участниците подкрепиха законодателни действия и използване на цели за намаляването им. Счита се, че подобни законодателни мерки са подходящи дори за изделия, за които не съществуват явни алтернативи, като например филтрите за цигари и дамските превръзки. За изделията, попадащи в тази категория пластмаси за еднократна употреба, за еднакво подходящи се считат схемите за разширена отговорност на производителя. </w:t>
      </w:r>
    </w:p>
    <w:p>
      <w:pPr>
        <w:jc w:val="both"/>
        <w:rPr>
          <w:rFonts w:ascii="Times New Roman" w:eastAsia="Times New Roman" w:hAnsi="Times New Roman" w:cs="Times New Roman"/>
          <w:noProof/>
          <w:sz w:val="24"/>
          <w:szCs w:val="24"/>
        </w:rPr>
      </w:pPr>
      <w:r>
        <w:rPr>
          <w:rFonts w:ascii="Times New Roman" w:hAnsi="Times New Roman"/>
          <w:noProof/>
          <w:sz w:val="24"/>
        </w:rPr>
        <w:t xml:space="preserve">340 души дадоха отговори на специалната част от обществената онлайн консултация, свързана с рибарството. 95 % изразиха съгласие, че действията за справяне с количеството на морските отпадъци са необходими и неотложни. Специално по отношение на риболовните съоръжения 79 % считат, че е необходимо и неотложно да се предприемат действия. Въздействието на морските отпадъци върху рибарството и аквакултурите се счита за доста важно или много важно от 100 % от риболовните организации (и 53 % от всички участници). Разходите за почистване на отпадъци се считат за много важни или важни от 84 % от участниците. </w:t>
      </w:r>
    </w:p>
    <w:p>
      <w:pPr>
        <w:jc w:val="both"/>
        <w:rPr>
          <w:rFonts w:ascii="Times New Roman" w:eastAsia="Times New Roman" w:hAnsi="Times New Roman" w:cs="Times New Roman"/>
          <w:noProof/>
          <w:sz w:val="24"/>
          <w:szCs w:val="24"/>
        </w:rPr>
      </w:pPr>
      <w:r>
        <w:rPr>
          <w:rFonts w:ascii="Times New Roman" w:hAnsi="Times New Roman"/>
          <w:noProof/>
          <w:sz w:val="24"/>
        </w:rPr>
        <w:t xml:space="preserve">80 % посочват рибарите, в качеството им на директни ползватели на риболовните съоръжения, като много важни фактори за промяна. ЕС, държавите членки, местните и регионалните органи и риболовните организации също се считат за важни. Изненадващо е, че ролята на частния сектор се счита за по-малко важна, въпреки неговата потенциална роля в схемите за разширена отговорност на производителя. </w:t>
      </w:r>
    </w:p>
    <w:p>
      <w:pPr>
        <w:jc w:val="both"/>
        <w:rPr>
          <w:rFonts w:ascii="Times New Roman" w:eastAsia="Times New Roman" w:hAnsi="Times New Roman" w:cs="Times New Roman"/>
          <w:noProof/>
          <w:sz w:val="24"/>
          <w:szCs w:val="24"/>
        </w:rPr>
      </w:pPr>
      <w:r>
        <w:rPr>
          <w:rFonts w:ascii="Times New Roman" w:hAnsi="Times New Roman"/>
          <w:noProof/>
          <w:sz w:val="24"/>
        </w:rPr>
        <w:t xml:space="preserve">По-голямата част посочват, че „някои“ риболовни съоръжения се </w:t>
      </w:r>
      <w:r>
        <w:rPr>
          <w:rFonts w:ascii="Times New Roman" w:hAnsi="Times New Roman"/>
          <w:noProof/>
          <w:sz w:val="24"/>
          <w:u w:val="single"/>
        </w:rPr>
        <w:t>губят</w:t>
      </w:r>
      <w:r>
        <w:rPr>
          <w:rFonts w:ascii="Times New Roman" w:hAnsi="Times New Roman"/>
          <w:noProof/>
          <w:sz w:val="24"/>
        </w:rPr>
        <w:t xml:space="preserve"> (от 28 % за грибове до 54 % за хрилни мрежи) или </w:t>
      </w:r>
      <w:r>
        <w:rPr>
          <w:rFonts w:ascii="Times New Roman" w:hAnsi="Times New Roman"/>
          <w:noProof/>
          <w:sz w:val="24"/>
          <w:u w:val="single"/>
        </w:rPr>
        <w:t>изхвърлят</w:t>
      </w:r>
      <w:r>
        <w:rPr>
          <w:rFonts w:ascii="Times New Roman" w:hAnsi="Times New Roman"/>
          <w:noProof/>
          <w:sz w:val="24"/>
        </w:rPr>
        <w:t xml:space="preserve"> (от 22 % за грибове до 43 % за въдици и корди). </w:t>
      </w:r>
    </w:p>
    <w:p>
      <w:pPr>
        <w:jc w:val="both"/>
        <w:rPr>
          <w:rFonts w:ascii="Times New Roman" w:eastAsia="Times New Roman" w:hAnsi="Times New Roman" w:cs="Times New Roman"/>
          <w:noProof/>
          <w:sz w:val="24"/>
          <w:szCs w:val="24"/>
        </w:rPr>
      </w:pPr>
      <w:r>
        <w:rPr>
          <w:rFonts w:ascii="Times New Roman" w:hAnsi="Times New Roman"/>
          <w:noProof/>
          <w:sz w:val="24"/>
        </w:rPr>
        <w:t xml:space="preserve">Четирите предпочитани мерки са: 1) стимули за връщане на брега на уловените в открито море отпадъци и излезли от употреба риболовни съоръжения (88 %), 2) по-добри съоръжения за събиране и сортиране на борда на плавателните съдове и при пристанищата (70 %), 3) стимули/финансиране за операции по намиране (68 %) и 4) подобряване на прилагането на съществуващите правила (67 %). </w:t>
      </w:r>
    </w:p>
    <w:p>
      <w:pPr>
        <w:jc w:val="both"/>
        <w:rPr>
          <w:rFonts w:ascii="Times New Roman" w:eastAsia="Times New Roman" w:hAnsi="Times New Roman" w:cs="Times New Roman"/>
          <w:noProof/>
          <w:sz w:val="24"/>
          <w:szCs w:val="24"/>
        </w:rPr>
      </w:pPr>
      <w:r>
        <w:rPr>
          <w:rFonts w:ascii="Times New Roman" w:hAnsi="Times New Roman"/>
          <w:noProof/>
          <w:sz w:val="24"/>
        </w:rPr>
        <w:t xml:space="preserve">В полетата за свободни коментари заинтересованите страни предлагат също така схеми за разширена отговорност на производителя, искат по-високи санкции за замърсяването и обясняват риска и неефективността на операциите по намиране, подчертават важността на обучението на рибарите и призовават за маркировка на риболовните съоръжения, подчертават, че високите пристанищни разходи водят до изхвърлянето на повече съоръжения в морето и призовават за подходящи пристанищни съоръжения. </w:t>
      </w:r>
    </w:p>
    <w:p>
      <w:pPr>
        <w:jc w:val="both"/>
        <w:rPr>
          <w:rFonts w:ascii="Times New Roman" w:eastAsia="Times New Roman" w:hAnsi="Times New Roman" w:cs="Times New Roman"/>
          <w:noProof/>
          <w:sz w:val="24"/>
          <w:szCs w:val="24"/>
        </w:rPr>
      </w:pPr>
      <w:r>
        <w:rPr>
          <w:rFonts w:ascii="Times New Roman" w:hAnsi="Times New Roman"/>
          <w:noProof/>
          <w:sz w:val="24"/>
        </w:rPr>
        <w:t xml:space="preserve">В отговор на въпроса кои допълнителни целеви мерки ще подпомогнат връщането на съоръженията на брега, участниците изразяват подкрепа (59 %) за налагане на схеми за възстановяване на депозитите на рибарите или (53 %) за схеми за разширена отговорност на производителя, включително такса върху съоръженията. Изразени са опасения, че схемите за възстановяване на депозитите биха могли да доведат до санкции за рибарите, които не са в състояние да върнат депозитите за неумишлено изгубени съоръжения или невъзстановени съоръжения. </w:t>
      </w:r>
    </w:p>
    <w:p>
      <w:pPr>
        <w:pStyle w:val="Heading2"/>
      </w:pPr>
      <w:r>
        <w:t>3.6 Конференции</w:t>
      </w:r>
    </w:p>
    <w:p>
      <w:pPr>
        <w:jc w:val="both"/>
        <w:rPr>
          <w:rFonts w:ascii="Times New Roman" w:eastAsia="Times New Roman" w:hAnsi="Times New Roman" w:cs="Times New Roman"/>
          <w:noProof/>
          <w:sz w:val="24"/>
          <w:szCs w:val="24"/>
        </w:rPr>
      </w:pPr>
      <w:r>
        <w:rPr>
          <w:rFonts w:ascii="Times New Roman" w:hAnsi="Times New Roman"/>
          <w:noProof/>
          <w:sz w:val="24"/>
        </w:rPr>
        <w:t xml:space="preserve">На конференцията на тема „Да преоткрием пластмасите“ (Брюксел, 26 септември 2017 г.) заинтересованите страни посочиха, че за да се постигне целта за намаляване на морските отпадъци с 50 %, гласувана от Европейския парламент, е необходима амбициозна стратегия на равнището на целия ЕС, със специални мерки на политиките за различните пластмаси за еднократна употреба.  </w:t>
      </w:r>
    </w:p>
    <w:p>
      <w:pPr>
        <w:jc w:val="both"/>
        <w:rPr>
          <w:rFonts w:ascii="Times New Roman" w:eastAsia="Times New Roman" w:hAnsi="Times New Roman" w:cs="Times New Roman"/>
          <w:noProof/>
          <w:sz w:val="24"/>
          <w:szCs w:val="24"/>
        </w:rPr>
      </w:pPr>
      <w:r>
        <w:rPr>
          <w:rFonts w:ascii="Times New Roman" w:hAnsi="Times New Roman"/>
          <w:noProof/>
          <w:sz w:val="24"/>
        </w:rPr>
        <w:t xml:space="preserve">Бяха предложени обвързващи цели за намаляване на потреблението, свързани с изпълними срокове. Като потенциално подходящи мерки бяха посочени стимули за потребителите, схеми за възстановяване на депозитите и инфраструктура за рециклиране. Освен към изделията, мерките трябва да бъдат насочени и към източниците и пътищата на морските отпадъци. Заинтересованите страни насочиха вниманието към слабите резултати на инициативите за повишаване на обществената осведоменост, свързани с кампании, обезпечени с недостатъчни средства. Екологосъобразните обществени поръчки се считат за добър способ за засилване на търсенето на алтернативи на пластмасите за еднократна употреба. </w:t>
      </w:r>
    </w:p>
    <w:p>
      <w:pPr>
        <w:jc w:val="both"/>
        <w:rPr>
          <w:rFonts w:ascii="Times New Roman" w:eastAsia="Times New Roman" w:hAnsi="Times New Roman" w:cs="Times New Roman"/>
          <w:noProof/>
          <w:sz w:val="24"/>
          <w:szCs w:val="24"/>
        </w:rPr>
      </w:pPr>
      <w:r>
        <w:rPr>
          <w:rFonts w:ascii="Times New Roman" w:hAnsi="Times New Roman"/>
          <w:noProof/>
          <w:sz w:val="24"/>
        </w:rPr>
        <w:t>Конференцията на Европейската платформа на заинтересованите страни по въпросите на кръговата икономика през 2018 г.</w:t>
      </w:r>
      <w:r>
        <w:rPr>
          <w:rStyle w:val="FootnoteReference"/>
          <w:rFonts w:ascii="Times New Roman" w:hAnsi="Times New Roman"/>
          <w:noProof/>
          <w:sz w:val="24"/>
        </w:rPr>
        <w:footnoteReference w:id="8"/>
      </w:r>
      <w:r>
        <w:rPr>
          <w:rFonts w:ascii="Times New Roman" w:hAnsi="Times New Roman"/>
          <w:noProof/>
          <w:sz w:val="24"/>
        </w:rPr>
        <w:t xml:space="preserve"> (20 — 21 февруари 2018 г.) осигури допълнителна информация за действията по отношение на пластмасовите морски отпадъци. </w:t>
      </w:r>
    </w:p>
    <w:p>
      <w:pPr>
        <w:pStyle w:val="Heading2"/>
      </w:pPr>
      <w:r>
        <w:t xml:space="preserve">3.7 Заключения </w:t>
      </w:r>
    </w:p>
    <w:p>
      <w:pPr>
        <w:jc w:val="both"/>
        <w:rPr>
          <w:rFonts w:ascii="Times New Roman" w:eastAsia="Times New Roman" w:hAnsi="Times New Roman" w:cs="Times New Roman"/>
          <w:noProof/>
          <w:sz w:val="24"/>
          <w:szCs w:val="24"/>
        </w:rPr>
      </w:pPr>
      <w:r>
        <w:rPr>
          <w:rFonts w:ascii="Times New Roman" w:hAnsi="Times New Roman"/>
          <w:noProof/>
          <w:sz w:val="24"/>
        </w:rPr>
        <w:t xml:space="preserve">Различни мерки бяха оценени като подходящи за отделните пластмасови изделия за еднократна употреба. Бяха обсъдени разнообразни мерки в зависимост от съществуващото законодателство и наличието на устойчиви алтернативи. Отношението към мерките за схеми за разширена отговорност на производителя е като цяло положително. Представителите на отрасъла и на предприятията изтъкнаха очакваните разходи, свързани с някои от мерките, както и че е важно те да бъдат разбрани преди предприемането на каквито и да е действия. Положително отношение беше изразено и към законодателни подходи. Целите за намаляване бяха добре приети, с уговорки относно условията за прилагане (например цели, обвързани със срокове). </w:t>
      </w:r>
    </w:p>
    <w:p>
      <w:pPr>
        <w:jc w:val="both"/>
        <w:rPr>
          <w:rFonts w:ascii="Times New Roman" w:eastAsia="Times New Roman" w:hAnsi="Times New Roman" w:cs="Times New Roman"/>
          <w:noProof/>
          <w:sz w:val="24"/>
          <w:szCs w:val="24"/>
        </w:rPr>
      </w:pPr>
      <w:r>
        <w:rPr>
          <w:rFonts w:ascii="Times New Roman" w:hAnsi="Times New Roman"/>
          <w:noProof/>
          <w:sz w:val="24"/>
        </w:rPr>
        <w:t>Беше посочено, че за постигането на всеобхватните цели на ЕС са необходими допълнителни мерки и политики. Заинтересованите страни изразиха готовност да плащат за по-устойчиви алтернативи на пластмасите за еднократна употреба или да плащат такси като санкция за употребата на пластмаси за еднократна употреба. Кампаниите за повишаване на осведомеността бяха разглеждани по-скоро като допълнителни мерки към другите регулаторни и доброволни мерки.</w:t>
      </w:r>
    </w:p>
    <w:p>
      <w:pPr>
        <w:jc w:val="both"/>
        <w:rPr>
          <w:rFonts w:ascii="Times New Roman" w:eastAsia="Times New Roman" w:hAnsi="Times New Roman" w:cs="Times New Roman"/>
          <w:noProof/>
          <w:sz w:val="24"/>
          <w:szCs w:val="24"/>
        </w:rPr>
      </w:pPr>
      <w:r>
        <w:rPr>
          <w:rFonts w:ascii="Times New Roman" w:hAnsi="Times New Roman"/>
          <w:noProof/>
          <w:sz w:val="24"/>
        </w:rPr>
        <w:t xml:space="preserve">По отношение на риболовните съоръжения участниците посочиха, че действията са необходими и неотложни. Положително отношение беше изразено към вариантите на политиката, включващи схеми за разширена отговорност на производителя и схеми за възстановяване на депозитите, в допълнение към по-добри пристанищни приемни съоръжения. Счита се, че схемите за разширена отговорност на производителя в съчетание със схеми за възстановяване на депозитите имат положително въздействие от гледна точка на разходите и ползите и допринасят за постигане на целта на стратегията за пластмасите за намаляване на нивото на пластмасите в европейските морета.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3321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Европейска стратегия за пластмасите в кръговата икономика COM(2018) 28 final, 18.1.2018 г. </w:t>
      </w:r>
      <w:hyperlink r:id="rId1">
        <w:r>
          <w:rPr>
            <w:rStyle w:val="Hyperlink"/>
          </w:rPr>
          <w:t>http://eur-lex.europa.eu/legal-content/BG/TXT/?qid=1516265440535&amp;uri=COM%3A2018%3A28%3AFIN</w:t>
        </w:r>
      </w:hyperlink>
      <w:r>
        <w:t xml:space="preserve">    </w:t>
      </w:r>
    </w:p>
  </w:footnote>
  <w:footnote w:id="2">
    <w:p>
      <w:pPr>
        <w:pStyle w:val="FootnoteText"/>
        <w:rPr>
          <w:lang w:val="fi-FI"/>
        </w:rPr>
      </w:pPr>
      <w:r>
        <w:rPr>
          <w:rStyle w:val="FootnoteReference"/>
        </w:rPr>
        <w:footnoteRef/>
      </w:r>
      <w:r>
        <w:t xml:space="preserve"> </w:t>
      </w:r>
      <w:hyperlink r:id="rId2">
        <w:r>
          <w:rPr>
            <w:rStyle w:val="Hyperlink"/>
          </w:rPr>
          <w:t>http://ec.europa.eu/commfrontoffice/publicopinion/index.cfm/Survey/getSurveyDetail/instruments/SPECIAL/su rveyKy/2156</w:t>
        </w:r>
      </w:hyperlink>
      <w:r>
        <w:t xml:space="preserve">  </w:t>
      </w:r>
    </w:p>
  </w:footnote>
  <w:footnote w:id="3">
    <w:p>
      <w:pPr>
        <w:pStyle w:val="FootnoteText"/>
        <w:rPr>
          <w:lang w:val="fi-FI"/>
        </w:rPr>
      </w:pPr>
      <w:r>
        <w:rPr>
          <w:rStyle w:val="FootnoteReference"/>
        </w:rPr>
        <w:footnoteRef/>
      </w:r>
      <w:r>
        <w:t xml:space="preserve"> </w:t>
      </w:r>
      <w:hyperlink r:id="rId3">
        <w:r>
          <w:rPr>
            <w:rStyle w:val="Hyperlink"/>
          </w:rPr>
          <w:t>http://ec.europa.eu/commfrontoffice/publicopinion/flash/fl_388_en.pdf</w:t>
        </w:r>
      </w:hyperlink>
      <w:r>
        <w:t xml:space="preserve">   </w:t>
      </w:r>
    </w:p>
  </w:footnote>
  <w:footnote w:id="4">
    <w:p>
      <w:pPr>
        <w:pStyle w:val="FootnoteText"/>
        <w:rPr>
          <w:lang w:val="fi-FI"/>
        </w:rPr>
      </w:pPr>
      <w:r>
        <w:rPr>
          <w:rStyle w:val="FootnoteReference"/>
        </w:rPr>
        <w:footnoteRef/>
      </w:r>
      <w:r>
        <w:t xml:space="preserve"> </w:t>
      </w:r>
      <w:hyperlink r:id="rId4">
        <w:r>
          <w:rPr>
            <w:rStyle w:val="Hyperlink"/>
          </w:rPr>
          <w:t>https://ec.europa.eu/info/plastics-conference_en</w:t>
        </w:r>
      </w:hyperlink>
      <w:r>
        <w:t xml:space="preserve">    </w:t>
      </w:r>
    </w:p>
  </w:footnote>
  <w:footnote w:id="5">
    <w:p>
      <w:pPr>
        <w:pStyle w:val="FootnoteText"/>
        <w:rPr>
          <w:lang w:val="fi-FI"/>
        </w:rPr>
      </w:pPr>
      <w:r>
        <w:rPr>
          <w:rStyle w:val="FootnoteReference"/>
        </w:rPr>
        <w:footnoteRef/>
      </w:r>
      <w:r>
        <w:t xml:space="preserve"> През периода 3 — 7 декември 2013 г. са интервюирани 26 595 граждани на ЕС от 28 държави членки.</w:t>
      </w:r>
    </w:p>
  </w:footnote>
  <w:footnote w:id="6">
    <w:p>
      <w:pPr>
        <w:pStyle w:val="FootnoteText"/>
        <w:rPr>
          <w:lang w:val="fi-FI"/>
        </w:rPr>
      </w:pPr>
      <w:r>
        <w:rPr>
          <w:rStyle w:val="FootnoteReference"/>
        </w:rPr>
        <w:footnoteRef/>
      </w:r>
      <w:r>
        <w:t xml:space="preserve"> През периода 23 септември — 2 октомври 2017 г. са интервюирани 27 881 граждани на ЕС от 28 държави членки.</w:t>
      </w:r>
    </w:p>
  </w:footnote>
  <w:footnote w:id="7">
    <w:p>
      <w:pPr>
        <w:pStyle w:val="FootnoteText"/>
        <w:rPr>
          <w:lang w:val="fi-FI"/>
        </w:rPr>
      </w:pPr>
      <w:r>
        <w:rPr>
          <w:rStyle w:val="FootnoteReference"/>
        </w:rPr>
        <w:footnoteRef/>
      </w:r>
      <w:r>
        <w:t xml:space="preserve"> </w:t>
      </w:r>
      <w:hyperlink r:id="rId5">
        <w:r>
          <w:rPr>
            <w:rStyle w:val="Hyperlink"/>
          </w:rPr>
          <w:t>http://ec.europa.eu/environment/consultations/pdf/marine_litter.pdf</w:t>
        </w:r>
      </w:hyperlink>
      <w:r>
        <w:t xml:space="preserve"> </w:t>
      </w:r>
    </w:p>
  </w:footnote>
  <w:footnote w:id="8">
    <w:p>
      <w:pPr>
        <w:pStyle w:val="FootnoteText"/>
        <w:rPr>
          <w:lang w:val="fi-FI"/>
        </w:rPr>
      </w:pPr>
      <w:r>
        <w:rPr>
          <w:rStyle w:val="FootnoteReference"/>
        </w:rPr>
        <w:footnoteRef/>
      </w:r>
      <w:r>
        <w:t xml:space="preserve"> </w:t>
      </w:r>
      <w:hyperlink r:id="rId6">
        <w:r>
          <w:rPr>
            <w:rStyle w:val="Hyperlink"/>
          </w:rPr>
          <w:t>http://www.eesc.europa.eu/sites/default/files/files/circular-economy-stakeholder-conferenceprogramme_v20180212-2.pdf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3178"/>
    <w:multiLevelType w:val="hybridMultilevel"/>
    <w:tmpl w:val="3130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FF4358"/>
    <w:multiLevelType w:val="hybridMultilevel"/>
    <w:tmpl w:val="A664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AA0E53"/>
    <w:multiLevelType w:val="hybridMultilevel"/>
    <w:tmpl w:val="4F7003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DC4611A"/>
    <w:multiLevelType w:val="hybridMultilevel"/>
    <w:tmpl w:val="EEB663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64A12FA4"/>
    <w:multiLevelType w:val="multilevel"/>
    <w:tmpl w:val="428ECF3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7782744"/>
    <w:multiLevelType w:val="hybridMultilevel"/>
    <w:tmpl w:val="264A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650907"/>
    <w:multiLevelType w:val="hybridMultilevel"/>
    <w:tmpl w:val="0B644E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ACCOMPAGNANT.CP" w:val="\u1087?\u1088?\u1080?\u1076?\u1088?\u1091?\u1078?\u1072?\u1074?\u1072?\u1097?"/>
    <w:docVar w:name="LW_CORRIGENDUM" w:val="&lt;UNUSED&gt;"/>
    <w:docVar w:name="LW_COVERPAGE_EXISTS" w:val="True"/>
    <w:docVar w:name="LW_COVERPAGE_GUID" w:val="2D52AA7C-19E0-47AA-8EED-D55862A08870"/>
    <w:docVar w:name="LW_COVERPAGE_TYPE" w:val="1"/>
    <w:docVar w:name="LW_CROSSREFERENCE" w:val="{COM(2018) 340 final}_x000b_{SEC(2018) 253 final}_x000b_{SWD(2018) 254 final}_x000b_{SWD(2018) 255 final}_x000b_{SWD(2018) 256 final}"/>
    <w:docVar w:name="LW_DocType" w:val="NORMAL"/>
    <w:docVar w:name="LW_EMISSION" w:val="28.5.2018"/>
    <w:docVar w:name="LW_EMISSION_ISODATE" w:val="2018-05-28"/>
    <w:docVar w:name="LW_EMISSION_LOCATION" w:val="BRX"/>
    <w:docVar w:name="LW_EMISSION_PREFIX" w:val="Брюксел, "/>
    <w:docVar w:name="LW_EMISSION_SUFFIX" w:val="\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5?\u1088?\u1077?\u1076?\u1083?\u1086?\u1078?\u1077?\u1085?\u1080?\u1077? \u1079?\u1072? \u1044?\u1048?\u1056?\u1045?\u1050?\u1058?\u1048?\u1042?\u1040? \u1053?\u1040? \u1045?\u1042?\u1056?\u1054?\u1055?\u1045?\u1049?\u1057?\u1050?\u1048?\u1071? \u1055?\u1040?\u1056?\u1051?\u1040?\u1052?\u1045?\u1053?\u1058? \u1048? \u1053?\u1040? \u1057?\u1066?\u1042?\u1045?\u1058?\u1040? \u1086?\u1090?\u1085?\u1086?\u1089?\u1085?\u1086? \u1085?\u1072?\u1084?\u1072?\u1083?\u1103?\u1074?\u1072?\u1085?\u1077?\u1090?\u1086? \u1085?\u1072? \u1074?\u1098?\u1079?\u1076?\u1077?\u1081?\u1089?\u1090?\u1074?\u1080?\u1077?\u1090?\u1086? \u1085?\u1072? \u1086?\u1087?\u1088?\u1077?\u1076?\u1077?\u1083?\u1077?\u1085?\u1080? \u1087?\u1083?\u1072?\u1089?\u1090?\u1084?\u1072?\u1089?\u1086?\u1074?\u1080? \u1087?\u1088?\u1086?\u1076?\u1091?\u1082?\u1090?\u1080? \u1074?\u1098?\u1088?\u1093?\u1091? \u1086?\u1082?\u1086?\u1083?\u1085?\u1072?\u1090?\u1072? \u1089?\u1088?\u1077?\u1076?\u1072?"/>
    <w:docVar w:name="LW_PART_NBR" w:val="1"/>
    <w:docVar w:name="LW_PART_NBR_TOTAL" w:val="1"/>
    <w:docVar w:name="LW_REF.INST.NEW" w:val="SWD"/>
    <w:docVar w:name="LW_REF.INST.NEW_ADOPTED" w:val="final"/>
    <w:docVar w:name="LW_REF.INST.NEW_TEXT" w:val="(2018) 2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4?\u1073?\u1079?\u1086?\u1088?\u1077?\u1085? \u1076?\u1086?\u1082?\u1083?\u1072?\u1076? \u1079?\u1072? \u1082?\u1086?\u1085?\u1089?\u1091?\u1083?\u1090?\u1072?\u1094?\u1080?\u1103?\u1090?\u1072? \u1089?\u1098?\u1089? \u1079?\u1072?\u1080?\u1085?\u1090?\u1077?\u1088?\u1077?\u1089?\u1086?\u1074?\u1072?\u1085?\u1080?\u1090?\u1077? \u1089?\u1090?\u1088?\u1072?\u1085?\u1080?"/>
    <w:docVar w:name="LW_TYPE.DOC.CP" w:val="\u1056?\u1040?\u1041?\u1054?\u1058?\u1045?\u1053? \u1044?\u1054?\u1050?\u1059?\u1052?\u1045?\u1053?\u1058? \u1053?\u1040? \u1057?\u1051?\u1059?\u1046?\u1041?\u1048?\u1058?\u1045? \u1053?\u1040? \u1050?\u1054?\u1052?\u1048?\u1057?\u1048?\u1071?\u1058?\u1040?"/>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rFonts w:asciiTheme="majorHAnsi" w:eastAsia="Calibri" w:hAnsiTheme="majorHAnsi" w:cstheme="majorBidi"/>
      <w:b/>
      <w:bCs/>
      <w:noProof/>
      <w:sz w:val="26"/>
      <w:szCs w:val="28"/>
    </w:rPr>
  </w:style>
  <w:style w:type="paragraph" w:styleId="Heading2">
    <w:name w:val="heading 2"/>
    <w:basedOn w:val="Normal"/>
    <w:next w:val="Normal"/>
    <w:link w:val="Heading2Char"/>
    <w:uiPriority w:val="9"/>
    <w:unhideWhenUsed/>
    <w:qFormat/>
    <w:pPr>
      <w:keepNext/>
      <w:keepLines/>
      <w:spacing w:before="200" w:after="60"/>
      <w:outlineLvl w:val="1"/>
    </w:pPr>
    <w:rPr>
      <w:rFonts w:asciiTheme="majorHAnsi" w:eastAsia="Times New Roman" w:hAnsiTheme="majorHAnsi" w:cstheme="majorBidi"/>
      <w:b/>
      <w:bCs/>
      <w:noProof/>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rPr>
      <w:shd w:val="clear" w:color="auto" w:fill="auto"/>
      <w:vertAlign w:val="superscript"/>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Calibri" w:hAnsiTheme="majorHAnsi" w:cstheme="majorBidi"/>
      <w:b/>
      <w:bCs/>
      <w:noProof/>
      <w:sz w:val="26"/>
      <w:szCs w:val="28"/>
    </w:rPr>
  </w:style>
  <w:style w:type="character" w:customStyle="1" w:styleId="Heading2Char">
    <w:name w:val="Heading 2 Char"/>
    <w:basedOn w:val="DefaultParagraphFont"/>
    <w:link w:val="Heading2"/>
    <w:uiPriority w:val="9"/>
    <w:rPr>
      <w:rFonts w:asciiTheme="majorHAnsi" w:eastAsia="Times New Roman" w:hAnsiTheme="majorHAnsi" w:cstheme="majorBidi"/>
      <w:b/>
      <w:bCs/>
      <w:noProof/>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rFonts w:asciiTheme="majorHAnsi" w:eastAsia="Calibri" w:hAnsiTheme="majorHAnsi" w:cstheme="majorBidi"/>
      <w:b/>
      <w:bCs/>
      <w:noProof/>
      <w:sz w:val="26"/>
      <w:szCs w:val="28"/>
    </w:rPr>
  </w:style>
  <w:style w:type="paragraph" w:styleId="Heading2">
    <w:name w:val="heading 2"/>
    <w:basedOn w:val="Normal"/>
    <w:next w:val="Normal"/>
    <w:link w:val="Heading2Char"/>
    <w:uiPriority w:val="9"/>
    <w:unhideWhenUsed/>
    <w:qFormat/>
    <w:pPr>
      <w:keepNext/>
      <w:keepLines/>
      <w:spacing w:before="200" w:after="60"/>
      <w:outlineLvl w:val="1"/>
    </w:pPr>
    <w:rPr>
      <w:rFonts w:asciiTheme="majorHAnsi" w:eastAsia="Times New Roman" w:hAnsiTheme="majorHAnsi" w:cstheme="majorBidi"/>
      <w:b/>
      <w:bCs/>
      <w:noProof/>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rPr>
      <w:shd w:val="clear" w:color="auto" w:fill="auto"/>
      <w:vertAlign w:val="superscript"/>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Calibri" w:hAnsiTheme="majorHAnsi" w:cstheme="majorBidi"/>
      <w:b/>
      <w:bCs/>
      <w:noProof/>
      <w:sz w:val="26"/>
      <w:szCs w:val="28"/>
    </w:rPr>
  </w:style>
  <w:style w:type="character" w:customStyle="1" w:styleId="Heading2Char">
    <w:name w:val="Heading 2 Char"/>
    <w:basedOn w:val="DefaultParagraphFont"/>
    <w:link w:val="Heading2"/>
    <w:uiPriority w:val="9"/>
    <w:rPr>
      <w:rFonts w:asciiTheme="majorHAnsi" w:eastAsia="Times New Roman" w:hAnsiTheme="majorHAnsi" w:cstheme="majorBidi"/>
      <w:b/>
      <w:bCs/>
      <w:noProo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commfrontoffice/publicopinion/flash/fl_388_en.pdf" TargetMode="External"/><Relationship Id="rId2" Type="http://schemas.openxmlformats.org/officeDocument/2006/relationships/hyperlink" Target="http://ec.europa.eu/commfrontoffice/publicopinion/index.cfm/Survey/getSurveyDetail/instruments/SPECIAL/su%20rveyKy/2156" TargetMode="External"/><Relationship Id="rId1" Type="http://schemas.openxmlformats.org/officeDocument/2006/relationships/hyperlink" Target="http://eur-lex.europa.eu/legal-content/BG/TXT/?qid=1516265440535&amp;uri=COM%3A2018%3A28%3AFIN" TargetMode="External"/><Relationship Id="rId6" Type="http://schemas.openxmlformats.org/officeDocument/2006/relationships/hyperlink" Target="http://www.eesc.europa.eu/sites/default/files/files/circular-economy-stakeholder-conferenceprogramme_v20180212-2.pdf" TargetMode="External"/><Relationship Id="rId5" Type="http://schemas.openxmlformats.org/officeDocument/2006/relationships/hyperlink" Target="http://ec.europa.eu/environment/consultations/pdf/marine_litter.pdf" TargetMode="External"/><Relationship Id="rId4" Type="http://schemas.openxmlformats.org/officeDocument/2006/relationships/hyperlink" Target="https://ec.europa.eu/info/plastics-conferenc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C3B8D0F-0CB3-40B5-8FA7-18F0A75F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3121</Words>
  <Characters>19413</Characters>
  <Application>Microsoft Office Word</Application>
  <DocSecurity>0</DocSecurity>
  <Lines>318</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2018-04-18T12:00:00Z</cp:lastPrinted>
  <dcterms:created xsi:type="dcterms:W3CDTF">2018-04-23T10:28:00Z</dcterms:created>
  <dcterms:modified xsi:type="dcterms:W3CDTF">2018-05-28T11:52:00Z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