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Ref466458412"/>
      <w:bookmarkStart w:id="1" w:name="_Toc46992531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B1132469-CF1F-404D-A8DD-AC6B4222280A" style="width:450pt;height:484.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480" w:after="120"/>
        <w:ind w:right="-28"/>
        <w:rPr>
          <w:rFonts w:eastAsia="Calibri"/>
          <w:b/>
          <w:bCs/>
          <w:noProof/>
        </w:rPr>
      </w:pPr>
      <w:bookmarkStart w:id="3" w:name="_GoBack"/>
      <w:bookmarkEnd w:id="0"/>
      <w:bookmarkEnd w:id="1"/>
      <w:bookmarkEnd w:id="3"/>
      <w:r>
        <w:rPr>
          <w:b/>
          <w:noProof/>
        </w:rPr>
        <w:lastRenderedPageBreak/>
        <w:t>В какво се състои проблемът?</w:t>
      </w:r>
    </w:p>
    <w:p>
      <w:pPr>
        <w:rPr>
          <w:noProof/>
        </w:rPr>
      </w:pPr>
      <w:r>
        <w:rPr>
          <w:noProof/>
        </w:rPr>
        <w:t xml:space="preserve">Количеството на морските отпадъци се увеличава, като застрашава екосистемите, биологичното разнообразие, здравето на човека, както и туризма, рибарството и корабоплаването. Проблемът е трансграничен по характер. </w:t>
      </w:r>
    </w:p>
    <w:p>
      <w:pPr>
        <w:rPr>
          <w:bCs/>
          <w:noProof/>
        </w:rPr>
      </w:pPr>
      <w:r>
        <w:rPr>
          <w:noProof/>
        </w:rPr>
        <w:t xml:space="preserve">Пластмасите съставляват 85 % от броя на отпадъците по европейските плажове. Половината от тях са „пластмаси за еднократна употреба“, които се използват само веднъж за кратък период, преди да бъдат изхвърлени. На изоставените, изгубените и изхвърлените по друг начин риболовни уреди се падат други 27 %. </w:t>
      </w:r>
    </w:p>
    <w:p>
      <w:pPr>
        <w:ind w:right="-29"/>
        <w:rPr>
          <w:bCs/>
          <w:noProof/>
        </w:rPr>
      </w:pPr>
      <w:r>
        <w:rPr>
          <w:noProof/>
        </w:rPr>
        <w:t xml:space="preserve">Европейските политики в областта на водите, морските ресурси, отпадъците, продуктите и рибарството все още не се справят в достатъчна степен с морските отпадъци, като има много мерки, които са по преценка на държавите членки и това води до разпокъсаност на вътрешния пазар. </w:t>
      </w:r>
    </w:p>
    <w:p>
      <w:pPr>
        <w:spacing w:before="480" w:after="120"/>
        <w:ind w:right="-28"/>
        <w:rPr>
          <w:rFonts w:eastAsia="Calibri"/>
          <w:b/>
          <w:bCs/>
          <w:noProof/>
        </w:rPr>
      </w:pPr>
      <w:r>
        <w:rPr>
          <w:b/>
          <w:noProof/>
        </w:rPr>
        <w:t>Защо са необходими действия на равнището на ЕС и каква е целта?</w:t>
      </w:r>
    </w:p>
    <w:p>
      <w:pPr>
        <w:rPr>
          <w:noProof/>
        </w:rPr>
      </w:pPr>
      <w:r>
        <w:rPr>
          <w:noProof/>
        </w:rPr>
        <w:t xml:space="preserve">Чрез съвместни и пропорционални действия на равнището на ЕС могат да бъдат намалени морските отпадъци, като същевременно се гарантира съществуването на единен пазар и правна сигурност за предприятията. </w:t>
      </w:r>
    </w:p>
    <w:p>
      <w:pPr>
        <w:pStyle w:val="Bullet0"/>
        <w:numPr>
          <w:ilvl w:val="0"/>
          <w:numId w:val="0"/>
        </w:numPr>
        <w:rPr>
          <w:noProof/>
        </w:rPr>
      </w:pPr>
      <w:r>
        <w:rPr>
          <w:noProof/>
        </w:rPr>
        <w:t>Общата цел е да се намалят екологичните вреди от определени пластмасови продукти, като същевременно се насърчи преходът към кръгова икономика с алтернативи, които са иновативни и се отнасят за многократна употреба.</w:t>
      </w:r>
    </w:p>
    <w:p>
      <w:pPr>
        <w:spacing w:before="480" w:after="120"/>
        <w:ind w:right="-28"/>
        <w:rPr>
          <w:rFonts w:eastAsia="Calibri"/>
          <w:b/>
          <w:bCs/>
          <w:noProof/>
        </w:rPr>
      </w:pPr>
      <w:r>
        <w:rPr>
          <w:b/>
          <w:noProof/>
        </w:rPr>
        <w:t>Варианти на политиката</w:t>
      </w:r>
    </w:p>
    <w:p>
      <w:pPr>
        <w:ind w:right="-29"/>
        <w:rPr>
          <w:noProof/>
        </w:rPr>
      </w:pPr>
      <w:r>
        <w:rPr>
          <w:noProof/>
        </w:rPr>
        <w:t xml:space="preserve">Анализът е съсредоточен върху риболовните съоръжения и десетте най-често срещани пластмаси за еднократна употреба (около 86 % от пластмасите за еднократна употреба): цигарени фасове; бутилки за напитки и капачки; клечки за уши; пликове от чипс; мокри кърпички; дамски превръзки; прибори за хранене; сламки; бъркалки; чаши за напитки; съдове за храни, както и риболовни съоръжения. </w:t>
      </w:r>
    </w:p>
    <w:p>
      <w:pPr>
        <w:ind w:right="-29"/>
        <w:rPr>
          <w:noProof/>
        </w:rPr>
      </w:pPr>
      <w:r>
        <w:rPr>
          <w:noProof/>
        </w:rPr>
        <w:t xml:space="preserve">Набор от варианти беше анализиран спрямо базов вариант, който включва текущото преразглеждане на Регламента за контрол на рибарството и Директивата за пристанищните приемни съоръжения, както и стратегията за пластмасите и преразгледаното законодателство в областта на отпадъците. </w:t>
      </w:r>
    </w:p>
    <w:p>
      <w:pPr>
        <w:pStyle w:val="Text1"/>
        <w:spacing w:before="480"/>
        <w:ind w:left="0" w:right="-28"/>
        <w:rPr>
          <w:b/>
          <w:noProof/>
        </w:rPr>
      </w:pPr>
      <w:r>
        <w:rPr>
          <w:b/>
          <w:noProof/>
        </w:rPr>
        <w:t xml:space="preserve">Предпочетен вариант </w:t>
      </w:r>
    </w:p>
    <w:p>
      <w:pPr>
        <w:pStyle w:val="Text1"/>
        <w:spacing w:after="0"/>
        <w:ind w:left="0"/>
        <w:rPr>
          <w:noProof/>
        </w:rPr>
      </w:pPr>
      <w:r>
        <w:rPr>
          <w:noProof/>
        </w:rPr>
        <w:t xml:space="preserve">Този вариант </w:t>
      </w:r>
      <w:r>
        <w:rPr>
          <w:b/>
          <w:noProof/>
        </w:rPr>
        <w:t>значително ще намали количеството на морските отпадъци</w:t>
      </w:r>
      <w:r>
        <w:rPr>
          <w:noProof/>
        </w:rPr>
        <w:t xml:space="preserve">. За пластмасите за еднократна употреба, измерени чрез преброяване, </w:t>
      </w:r>
      <w:r>
        <w:rPr>
          <w:b/>
          <w:noProof/>
        </w:rPr>
        <w:t>намалението е приблизително наполовина</w:t>
      </w:r>
      <w:r>
        <w:rPr>
          <w:noProof/>
        </w:rPr>
        <w:t>. Той включва:</w:t>
      </w:r>
    </w:p>
    <w:p>
      <w:pPr>
        <w:pStyle w:val="ListBullet"/>
        <w:rPr>
          <w:noProof/>
        </w:rPr>
      </w:pPr>
      <w:r>
        <w:rPr>
          <w:noProof/>
        </w:rPr>
        <w:t>разширена отговорност на производителя за разходите за предотвратяване и почистване на отпадъци от цигарени филтри, бутилки за напитки, пликове от чипс, мокри кърпички, дамски превръзки, чаши за напитки, съдове за храни, балони, както и осигуряване на подходящо управление на отпадъците от повредени, излезли от употреба и уловени риболовни съоръжения;</w:t>
      </w:r>
    </w:p>
    <w:p>
      <w:pPr>
        <w:pStyle w:val="ListBullet"/>
        <w:rPr>
          <w:noProof/>
        </w:rPr>
      </w:pPr>
      <w:r>
        <w:rPr>
          <w:noProof/>
        </w:rPr>
        <w:lastRenderedPageBreak/>
        <w:t xml:space="preserve">стимули за рибарите за връщане на брега и предаване на пристанищата на повредени, излезли от употреба и уловени риболовни съоръжения; </w:t>
      </w:r>
    </w:p>
    <w:p>
      <w:pPr>
        <w:pStyle w:val="ListBullet"/>
        <w:rPr>
          <w:noProof/>
        </w:rPr>
      </w:pPr>
      <w:r>
        <w:rPr>
          <w:noProof/>
        </w:rPr>
        <w:t xml:space="preserve">мерки по отношение на дизайна на продукта за прикрепяне на капачките към бутилките за напитки; </w:t>
      </w:r>
    </w:p>
    <w:p>
      <w:pPr>
        <w:pStyle w:val="ListBullet"/>
        <w:rPr>
          <w:noProof/>
        </w:rPr>
      </w:pPr>
      <w:r>
        <w:rPr>
          <w:noProof/>
        </w:rPr>
        <w:t xml:space="preserve">целеви стойности за намаляване на пластмасовите варианти за еднократна употреба на чаши за напитки, мокри кърпички и съдове за храни; </w:t>
      </w:r>
    </w:p>
    <w:p>
      <w:pPr>
        <w:pStyle w:val="ListBullet"/>
        <w:rPr>
          <w:noProof/>
        </w:rPr>
      </w:pPr>
      <w:r>
        <w:rPr>
          <w:noProof/>
        </w:rPr>
        <w:t>забрана на пластмасовите варианти за еднократна употреба на клечки за уши, пластмасови пръчици за балони, прибори за хранене, сламки и бъркалки.</w:t>
      </w:r>
    </w:p>
    <w:p>
      <w:pPr>
        <w:pStyle w:val="ListBullet"/>
        <w:numPr>
          <w:ilvl w:val="0"/>
          <w:numId w:val="0"/>
        </w:numPr>
        <w:rPr>
          <w:noProof/>
        </w:rPr>
      </w:pPr>
    </w:p>
    <w:p>
      <w:pPr>
        <w:ind w:right="-29"/>
        <w:rPr>
          <w:noProof/>
        </w:rPr>
      </w:pPr>
      <w:r>
        <w:rPr>
          <w:noProof/>
        </w:rPr>
        <w:t>През 2030 г. при пластмасите за еднократна употреба този вариант ще спести 2,6 милиона тона емисии, изразени в еквивалент на CO</w:t>
      </w:r>
      <w:r>
        <w:rPr>
          <w:noProof/>
          <w:vertAlign w:val="subscript"/>
        </w:rPr>
        <w:t>2</w:t>
      </w:r>
      <w:r>
        <w:rPr>
          <w:noProof/>
        </w:rPr>
        <w:t xml:space="preserve">. При този вариант ще бъдат избегнати щети за околната среда (равностойни на 11 милиарда евро). Ще има разходи за привеждане в съответствие за предприятията (около 2 милиарда евро) и за управление на отпадъците (510 милиона евро). Потребителите биха спестили парични средства (около 6,5 милиарда евро), но биха понесли известни неудобства. </w:t>
      </w:r>
    </w:p>
    <w:p>
      <w:pPr>
        <w:pStyle w:val="ListBullet"/>
        <w:numPr>
          <w:ilvl w:val="0"/>
          <w:numId w:val="0"/>
        </w:numPr>
        <w:rPr>
          <w:noProof/>
        </w:rPr>
      </w:pPr>
      <w:r>
        <w:rPr>
          <w:noProof/>
        </w:rPr>
        <w:t xml:space="preserve">Допълнителна мярка — схема за възстановяване на депозитите или еквивалентна система, допълнително би намалила значително морските отпадъци при приемливи допълнителни разходи (около 1,4 милиарда евро). </w:t>
      </w:r>
    </w:p>
    <w:p>
      <w:pPr>
        <w:ind w:right="-29"/>
        <w:rPr>
          <w:noProof/>
        </w:rPr>
      </w:pPr>
      <w:r>
        <w:rPr>
          <w:noProof/>
        </w:rPr>
        <w:t>Предпочетеният вариант за риболовни съоръжения и съоръжения за аквакултури се състои във въвеждането на разширена отговорност на производителя за производителите на пластмаси, съдържащи се в риболовни съоръжения и съоръжения за аквакултури, и финансови стимули за насърчаване на връщането на риболовни съоръжения на брега. Това би довело до разходи за отрасъла от порядъка на 0,16 % от приходите. Вариантът ще допълни мерките, насочени към риболовните съоръжения, и ще гарантира постъпването на пластмасовите материали от риболовни съоръжения в потока за управление и рециклиране на отпадъците, като ангажира производителите на пластмасови материали за риболовни съоръжения и увеличи равнищата на рециклиране на материалите от риболовни съоръжения.</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12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F48FA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37E6E4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690966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ECA832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F41EB848"/>
    <w:lvl w:ilvl="0">
      <w:start w:val="1"/>
      <w:numFmt w:val="decimal"/>
      <w:lvlText w:val="%1."/>
      <w:lvlJc w:val="left"/>
      <w:pPr>
        <w:tabs>
          <w:tab w:val="num" w:pos="360"/>
        </w:tabs>
        <w:ind w:left="360" w:hanging="360"/>
      </w:pPr>
    </w:lvl>
  </w:abstractNum>
  <w:abstractNum w:abstractNumId="5">
    <w:nsid w:val="FFFFFF89"/>
    <w:multiLevelType w:val="singleLevel"/>
    <w:tmpl w:val="21ECBE02"/>
    <w:lvl w:ilvl="0">
      <w:start w:val="1"/>
      <w:numFmt w:val="bullet"/>
      <w:pStyle w:val="ListBullet"/>
      <w:lvlText w:val=""/>
      <w:lvlJc w:val="left"/>
      <w:pPr>
        <w:ind w:left="360" w:hanging="360"/>
      </w:pPr>
      <w:rPr>
        <w:rFonts w:ascii="Symbol" w:hAnsi="Symbol" w:hint="default"/>
      </w:rPr>
    </w:lvl>
  </w:abstractNum>
  <w:abstractNum w:abstractNumId="6">
    <w:nsid w:val="0B5F748A"/>
    <w:multiLevelType w:val="hybridMultilevel"/>
    <w:tmpl w:val="44E6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C02EDA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854"/>
        </w:tabs>
        <w:ind w:left="185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50A359E"/>
    <w:multiLevelType w:val="hybridMultilevel"/>
    <w:tmpl w:val="2F80A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C7F1A"/>
    <w:multiLevelType w:val="hybridMultilevel"/>
    <w:tmpl w:val="B9E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63876"/>
    <w:multiLevelType w:val="hybridMultilevel"/>
    <w:tmpl w:val="8886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1A4C3E"/>
    <w:multiLevelType w:val="hybridMultilevel"/>
    <w:tmpl w:val="6326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6121B6"/>
    <w:multiLevelType w:val="hybridMultilevel"/>
    <w:tmpl w:val="FBEE8AE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11"/>
  </w:num>
  <w:num w:numId="4">
    <w:abstractNumId w:val="10"/>
  </w:num>
  <w:num w:numId="5">
    <w:abstractNumId w:val="8"/>
  </w:num>
  <w:num w:numId="6">
    <w:abstractNumId w:val="12"/>
  </w:num>
  <w:num w:numId="7">
    <w:abstractNumId w:val="9"/>
  </w:num>
  <w:num w:numId="8">
    <w:abstractNumId w:val="13"/>
  </w:num>
  <w:num w:numId="9">
    <w:abstractNumId w:val="5"/>
  </w:num>
  <w:num w:numId="10">
    <w:abstractNumId w:val="3"/>
  </w:num>
  <w:num w:numId="11">
    <w:abstractNumId w:val="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1132469-CF1F-404D-A8DD-AC6B4222280A"/>
    <w:docVar w:name="LW_COVERPAGE_TYPE" w:val="1"/>
    <w:docVar w:name="LW_CROSSREFERENCE" w:val="{COM(2018) 340 final}_x000b_{SEC(2018) 253 final}_x000b_{SWD(2018) 254 final}_x000b_{SWD(2018) 256 final}_x000b_{SWD(2018) 257 final}"/>
    <w:docVar w:name="LW_DocType" w:val="NORMAL"/>
    <w:docVar w:name="LW_EMISSION" w:val="28.5.2018"/>
    <w:docVar w:name="LW_EMISSION_ISODATE" w:val="2018-05-28"/>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5?\u1072?\u1084?\u1072?\u1083?\u1103?\u1074?\u1072?\u1085?\u1077?\u1090?\u1086? \u1085?\u1072? \u1074?\u1098?\u1079?\u1076?\u1077?\u1081?\u1089?\u1090?\u1074?\u1080?\u1077?\u1090?\u1086? \u1085?\u1072? \u1086?\u1087?\u1088?\u1077?\u1076?\u1077?\u1083?\u1077?\u1085?\u1080? \u1087?\u1083?\u1072?\u1089?\u1090?\u1084?\u1072?\u1089?\u1086?\u1074?\u1080? \u1087?\u1088?\u1086?\u1076?\u1091?\u1082?\u1090?\u1080? \u1074?\u1098?\u1088?\u1093?\u1091? \u1086?\u1082?\u1086?\u1083?\u1085?\u1072?\u1090?\u1072? \u1089?\u1088?\u1077?\u1076?\u1072?"/>
    <w:docVar w:name="LW_PART_NBR" w:val="1"/>
    <w:docVar w:name="LW_PART_NBR_TOTAL" w:val="1"/>
    <w:docVar w:name="LW_REF.INST.NEW" w:val="SWD"/>
    <w:docVar w:name="LW_REF.INST.NEW_ADOPTED" w:val="final"/>
    <w:docVar w:name="LW_REF.INST.NEW_TEXT" w:val="(2018)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83?\u1072?\u1089?\u1090?\u1084?\u1072?\u1089?\u1080? \u1079?\u1072? \u1077?\u1076?\u1085?\u1086?\u1082?\u1088?\u1072?\u1090?\u1085?\u1072? \u1091?\u1087?\u1086?\u1090?\u1088?\u1077?\u1073?\u1072? \u1080? \u1088?\u1080?\u1073?\u1086?\u1083?\u1086?\u1074?\u1085?\u1080? \u1089?\u1098?\u1086?\u1088?\u1098?\u1078?\u1077?\u1085?\u1080?\u1103?&lt;/FMT&gt;_x000b_"/>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qFormat/>
    <w:locked/>
    <w:rPr>
      <w:rFonts w:ascii="Times New Roman" w:eastAsia="Times New Roman" w:hAnsi="Times New Roman" w:cs="Times New Roman"/>
      <w:sz w:val="24"/>
      <w:szCs w:val="20"/>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pacing w:after="0"/>
      <w:ind w:left="720" w:hanging="720"/>
    </w:pPr>
    <w:rPr>
      <w:sz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f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0">
    <w:name w:val="Bullet 0"/>
    <w:basedOn w:val="Normal"/>
    <w:pPr>
      <w:numPr>
        <w:numId w:val="5"/>
      </w:numPr>
      <w:spacing w:before="120" w:after="120"/>
    </w:pPr>
    <w:rPr>
      <w:szCs w:val="24"/>
    </w:rPr>
  </w:style>
  <w:style w:type="paragraph" w:customStyle="1" w:styleId="Text1">
    <w:name w:val="Text 1"/>
    <w:basedOn w:val="Normal"/>
    <w:pPr>
      <w:spacing w:before="120" w:after="120"/>
      <w:ind w:left="850"/>
    </w:pPr>
    <w:rPr>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Bullet">
    <w:name w:val="List Bullet"/>
    <w:basedOn w:val="Normal"/>
    <w:uiPriority w:val="99"/>
    <w:unhideWhenUsed/>
    <w:pPr>
      <w:numPr>
        <w:numId w:val="9"/>
      </w:numPr>
      <w:spacing w:before="120" w:after="1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customStyle="1" w:styleId="FooterCoverPageChar">
    <w:name w:val="Footer Cover Page Char"/>
    <w:basedOn w:val="Heading1Char"/>
    <w:rPr>
      <w:rFonts w:ascii="Times New Roman" w:eastAsia="Calibri" w:hAnsi="Times New Roman" w:cs="Times New Roman"/>
      <w:b/>
      <w:smallCaps/>
      <w:sz w:val="24"/>
      <w:szCs w:val="20"/>
    </w:rPr>
  </w:style>
  <w:style w:type="character" w:customStyle="1" w:styleId="HeaderCoverPageChar">
    <w:name w:val="Header Cover Page Char"/>
    <w:basedOn w:val="Heading1Char"/>
    <w:rPr>
      <w:rFonts w:ascii="Times New Roman" w:eastAsia="Calibri" w:hAnsi="Times New Roman" w:cs="Times New Roman"/>
      <w:b/>
      <w:smallCaps/>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style>
  <w:style w:type="character" w:customStyle="1" w:styleId="FooterCoverPageChar1">
    <w:name w:val="Footer Cover Page Char1"/>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1"/>
    <w:pPr>
      <w:tabs>
        <w:tab w:val="center" w:pos="4535"/>
        <w:tab w:val="right" w:pos="9071"/>
      </w:tabs>
      <w:spacing w:after="120"/>
    </w:pPr>
  </w:style>
  <w:style w:type="character" w:customStyle="1" w:styleId="HeaderCoverPageChar1">
    <w:name w:val="Header Cover Page Char1"/>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1"/>
      </w:numPr>
      <w:spacing w:before="240"/>
      <w:outlineLvl w:val="0"/>
    </w:pPr>
    <w:rPr>
      <w:rFonts w:eastAsia="Calibri"/>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tabs>
        <w:tab w:val="clear" w:pos="1854"/>
        <w:tab w:val="num" w:pos="1920"/>
      </w:tabs>
      <w:ind w:left="1920"/>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Calibri"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qFormat/>
    <w:pPr>
      <w:ind w:left="720"/>
      <w:contextualSpacing/>
    </w:p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qFormat/>
    <w:locked/>
    <w:rPr>
      <w:rFonts w:ascii="Times New Roman" w:eastAsia="Times New Roman" w:hAnsi="Times New Roman" w:cs="Times New Roman"/>
      <w:sz w:val="24"/>
      <w:szCs w:val="20"/>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pacing w:after="0"/>
      <w:ind w:left="720" w:hanging="720"/>
    </w:pPr>
    <w:rPr>
      <w:sz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f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0">
    <w:name w:val="Bullet 0"/>
    <w:basedOn w:val="Normal"/>
    <w:pPr>
      <w:numPr>
        <w:numId w:val="5"/>
      </w:numPr>
      <w:spacing w:before="120" w:after="120"/>
    </w:pPr>
    <w:rPr>
      <w:szCs w:val="24"/>
    </w:rPr>
  </w:style>
  <w:style w:type="paragraph" w:customStyle="1" w:styleId="Text1">
    <w:name w:val="Text 1"/>
    <w:basedOn w:val="Normal"/>
    <w:pPr>
      <w:spacing w:before="120" w:after="120"/>
      <w:ind w:left="850"/>
    </w:pPr>
    <w:rPr>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Bullet">
    <w:name w:val="List Bullet"/>
    <w:basedOn w:val="Normal"/>
    <w:uiPriority w:val="99"/>
    <w:unhideWhenUsed/>
    <w:pPr>
      <w:numPr>
        <w:numId w:val="9"/>
      </w:numPr>
      <w:spacing w:before="120" w:after="1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customStyle="1" w:styleId="FooterCoverPageChar">
    <w:name w:val="Footer Cover Page Char"/>
    <w:basedOn w:val="Heading1Char"/>
    <w:rPr>
      <w:rFonts w:ascii="Times New Roman" w:eastAsia="Calibri" w:hAnsi="Times New Roman" w:cs="Times New Roman"/>
      <w:b/>
      <w:smallCaps/>
      <w:sz w:val="24"/>
      <w:szCs w:val="20"/>
    </w:rPr>
  </w:style>
  <w:style w:type="character" w:customStyle="1" w:styleId="HeaderCoverPageChar">
    <w:name w:val="Header Cover Page Char"/>
    <w:basedOn w:val="Heading1Char"/>
    <w:rPr>
      <w:rFonts w:ascii="Times New Roman" w:eastAsia="Calibri" w:hAnsi="Times New Roman" w:cs="Times New Roman"/>
      <w:b/>
      <w:smallCaps/>
      <w:sz w:val="24"/>
      <w:szCs w:val="20"/>
    </w:rPr>
  </w:style>
  <w:style w:type="paragraph" w:customStyle="1" w:styleId="FooterCoverPage">
    <w:name w:val="Footer Cover Page"/>
    <w:basedOn w:val="Normal"/>
    <w:link w:val="FooterCoverPageChar1"/>
    <w:pPr>
      <w:tabs>
        <w:tab w:val="center" w:pos="4535"/>
        <w:tab w:val="right" w:pos="9071"/>
        <w:tab w:val="right" w:pos="9921"/>
      </w:tabs>
      <w:spacing w:before="360" w:after="0"/>
      <w:ind w:left="-850" w:right="-850"/>
      <w:jc w:val="left"/>
    </w:pPr>
  </w:style>
  <w:style w:type="character" w:customStyle="1" w:styleId="FooterCoverPageChar1">
    <w:name w:val="Footer Cover Page Char1"/>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1"/>
    <w:pPr>
      <w:tabs>
        <w:tab w:val="center" w:pos="4535"/>
        <w:tab w:val="right" w:pos="9071"/>
      </w:tabs>
      <w:spacing w:after="120"/>
    </w:pPr>
  </w:style>
  <w:style w:type="character" w:customStyle="1" w:styleId="HeaderCoverPageChar1">
    <w:name w:val="Header Cover Page Char1"/>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D8C4-7731-499C-9B9A-1F40896B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635</Words>
  <Characters>3851</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2018-03-01T15:18:00Z</cp:lastPrinted>
  <dcterms:created xsi:type="dcterms:W3CDTF">2018-04-19T13:22:00Z</dcterms:created>
  <dcterms:modified xsi:type="dcterms:W3CDTF">2018-05-28T11:52:00Z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