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CE91FCED-D688-4C19-98F1-58151D952EFE" style="width:450.7pt;height:406.7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rPr>
          <w:rFonts w:ascii="Times New Roman" w:hAnsi="Times New Roman" w:cs="Times New Roman"/>
          <w:b/>
          <w:noProof/>
          <w:sz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noProof/>
          <w:sz w:val="28"/>
          <w:lang w:val="bg-BG"/>
        </w:rPr>
        <w:lastRenderedPageBreak/>
        <w:t>Приложение</w:t>
      </w:r>
      <w:r>
        <w:rPr>
          <w:rFonts w:ascii="Times New Roman" w:hAnsi="Times New Roman" w:cs="Times New Roman"/>
          <w:b/>
          <w:noProof/>
          <w:sz w:val="28"/>
        </w:rPr>
        <w:t xml:space="preserve"> 1</w:t>
      </w:r>
    </w:p>
    <w:p>
      <w:pPr>
        <w:rPr>
          <w:rFonts w:ascii="Times New Roman" w:hAnsi="Times New Roman" w:cs="Times New Roman"/>
          <w:b/>
          <w:noProof/>
          <w:sz w:val="28"/>
        </w:rPr>
      </w:pPr>
    </w:p>
    <w:p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Ваксинационно покритие в ЕС</w:t>
      </w:r>
    </w:p>
    <w:p>
      <w:pPr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  <w:lang w:val="en-US"/>
        </w:rPr>
        <w:drawing>
          <wp:inline distT="0" distB="0" distL="0" distR="0">
            <wp:extent cx="5414418" cy="45196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418" cy="451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bg-BG"/>
        </w:rPr>
        <w:t>Фигура</w:t>
      </w:r>
      <w:r>
        <w:rPr>
          <w:rFonts w:ascii="Times New Roman" w:hAnsi="Times New Roman" w:cs="Times New Roman"/>
          <w:noProof/>
        </w:rPr>
        <w:t xml:space="preserve"> 1: Ваксинационно покритие срещу морбили в ЕС </w:t>
      </w:r>
      <w:r>
        <w:rPr>
          <w:rFonts w:ascii="Times New Roman" w:hAnsi="Times New Roman" w:cs="Times New Roman"/>
          <w:noProof/>
          <w:lang w:val="bg-BG"/>
        </w:rPr>
        <w:t>през</w:t>
      </w:r>
      <w:r>
        <w:rPr>
          <w:rFonts w:ascii="Times New Roman" w:hAnsi="Times New Roman" w:cs="Times New Roman"/>
          <w:noProof/>
        </w:rPr>
        <w:t xml:space="preserve"> 2016</w:t>
      </w:r>
      <w:r>
        <w:rPr>
          <w:rFonts w:ascii="Times New Roman" w:hAnsi="Times New Roman" w:cs="Times New Roman"/>
          <w:noProof/>
          <w:lang w:val="bg-BG"/>
        </w:rPr>
        <w:t xml:space="preserve"> г.</w:t>
      </w:r>
      <w:r>
        <w:rPr>
          <w:rFonts w:ascii="Times New Roman" w:hAnsi="Times New Roman" w:cs="Times New Roman"/>
          <w:noProof/>
        </w:rPr>
        <w:t xml:space="preserve"> (</w:t>
      </w:r>
      <w:r>
        <w:rPr>
          <w:rFonts w:ascii="Times New Roman" w:hAnsi="Times New Roman" w:cs="Times New Roman"/>
          <w:noProof/>
          <w:lang w:val="bg-BG"/>
        </w:rPr>
        <w:t>Източник</w:t>
      </w:r>
      <w:r>
        <w:rPr>
          <w:rFonts w:ascii="Times New Roman" w:hAnsi="Times New Roman" w:cs="Times New Roman"/>
          <w:noProof/>
        </w:rPr>
        <w:t>: WHO/UNICEF JRF)</w:t>
      </w:r>
    </w:p>
    <w:p>
      <w:pPr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br w:type="page"/>
      </w:r>
      <w:r>
        <w:rPr>
          <w:rFonts w:ascii="Times New Roman" w:hAnsi="Times New Roman" w:cs="Times New Roman"/>
          <w:b/>
          <w:noProof/>
          <w:sz w:val="28"/>
          <w:lang w:val="en-US"/>
        </w:rPr>
        <w:lastRenderedPageBreak/>
        <w:drawing>
          <wp:inline distT="0" distB="0" distL="0" distR="0">
            <wp:extent cx="5943599" cy="4525377"/>
            <wp:effectExtent l="0" t="0" r="63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99" cy="4525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lang w:val="bg-BG"/>
        </w:rPr>
        <w:t>Фигура</w:t>
      </w:r>
      <w:r>
        <w:rPr>
          <w:rFonts w:ascii="Times New Roman" w:hAnsi="Times New Roman" w:cs="Times New Roman"/>
          <w:noProof/>
        </w:rPr>
        <w:t xml:space="preserve"> 2: Покритие при втората доза от ваксината срещу морбили в ЕС (</w:t>
      </w:r>
      <w:r>
        <w:rPr>
          <w:rFonts w:ascii="Times New Roman" w:hAnsi="Times New Roman" w:cs="Times New Roman"/>
          <w:noProof/>
          <w:lang w:val="bg-BG"/>
        </w:rPr>
        <w:t>Източник</w:t>
      </w:r>
      <w:r>
        <w:rPr>
          <w:rFonts w:ascii="Times New Roman" w:hAnsi="Times New Roman" w:cs="Times New Roman"/>
          <w:noProof/>
        </w:rPr>
        <w:t>: ECDC)</w:t>
      </w:r>
    </w:p>
    <w:p>
      <w:pPr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br w:type="page"/>
      </w:r>
    </w:p>
    <w:p>
      <w:pPr>
        <w:rPr>
          <w:rFonts w:ascii="Times New Roman" w:hAnsi="Times New Roman" w:cs="Times New Roman"/>
          <w:b/>
          <w:noProof/>
          <w:sz w:val="28"/>
        </w:rPr>
      </w:pPr>
      <w:r>
        <w:rPr>
          <w:rFonts w:ascii="Times New Roman" w:hAnsi="Times New Roman" w:cs="Times New Roman"/>
          <w:b/>
          <w:noProof/>
          <w:sz w:val="28"/>
          <w:lang w:val="bg-BG"/>
        </w:rPr>
        <w:lastRenderedPageBreak/>
        <w:t>Приложение</w:t>
      </w:r>
      <w:r>
        <w:rPr>
          <w:rFonts w:ascii="Times New Roman" w:hAnsi="Times New Roman" w:cs="Times New Roman"/>
          <w:b/>
          <w:noProof/>
          <w:sz w:val="28"/>
        </w:rPr>
        <w:t xml:space="preserve"> 2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Определящи фактори за колебанието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942959" cy="451965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59" cy="451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lang w:val="bg-BG"/>
        </w:rPr>
        <w:t>Фигура</w:t>
      </w:r>
      <w:r>
        <w:rPr>
          <w:rFonts w:ascii="Times New Roman" w:hAnsi="Times New Roman" w:cs="Times New Roman"/>
          <w:noProof/>
        </w:rPr>
        <w:t xml:space="preserve"> 3: Определящи фактори за колебанието в Европа, 2015</w:t>
      </w:r>
      <w:r>
        <w:rPr>
          <w:rFonts w:ascii="Times New Roman" w:hAnsi="Times New Roman" w:cs="Times New Roman"/>
          <w:noProof/>
          <w:lang w:val="bg-BG"/>
        </w:rPr>
        <w:t> г.</w:t>
      </w:r>
      <w:r>
        <w:rPr>
          <w:rFonts w:ascii="Times New Roman" w:hAnsi="Times New Roman" w:cs="Times New Roman"/>
          <w:noProof/>
        </w:rPr>
        <w:t xml:space="preserve"> (</w:t>
      </w:r>
      <w:r>
        <w:rPr>
          <w:rFonts w:ascii="Times New Roman" w:hAnsi="Times New Roman" w:cs="Times New Roman"/>
          <w:noProof/>
          <w:lang w:val="bg-BG"/>
        </w:rPr>
        <w:t>Източник</w:t>
      </w:r>
      <w:r>
        <w:rPr>
          <w:rFonts w:ascii="Times New Roman" w:hAnsi="Times New Roman" w:cs="Times New Roman"/>
          <w:noProof/>
        </w:rPr>
        <w:t>: ECDC)</w:t>
      </w:r>
      <w:r>
        <w:rPr>
          <w:rStyle w:val="FootnoteReference"/>
          <w:rFonts w:ascii="Times New Roman" w:hAnsi="Times New Roman" w:cs="Times New Roman"/>
          <w:noProof/>
        </w:rPr>
        <w:footnoteReference w:id="1"/>
      </w: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Европейски център за профилактика и контрол върху заболяванията</w:t>
      </w:r>
      <w:r>
        <w:rPr>
          <w:rFonts w:ascii="Times New Roman" w:hAnsi="Times New Roman" w:cs="Times New Roman"/>
          <w:sz w:val="16"/>
          <w:szCs w:val="16"/>
          <w:lang w:val="bg-BG"/>
        </w:rPr>
        <w:t xml:space="preserve"> (</w:t>
      </w:r>
      <w:r>
        <w:rPr>
          <w:rFonts w:ascii="Times New Roman" w:hAnsi="Times New Roman" w:cs="Times New Roman"/>
          <w:sz w:val="16"/>
          <w:szCs w:val="16"/>
        </w:rPr>
        <w:t>ECDC</w:t>
      </w:r>
      <w:r>
        <w:rPr>
          <w:rFonts w:ascii="Times New Roman" w:hAnsi="Times New Roman" w:cs="Times New Roman"/>
          <w:sz w:val="16"/>
          <w:szCs w:val="16"/>
          <w:lang w:val="bg-BG"/>
        </w:rPr>
        <w:t>)</w:t>
      </w:r>
      <w:r>
        <w:rPr>
          <w:rFonts w:ascii="Times New Roman" w:hAnsi="Times New Roman" w:cs="Times New Roman"/>
          <w:sz w:val="16"/>
          <w:szCs w:val="16"/>
        </w:rPr>
        <w:t>. Rapid literature review on motivating hesitant population groups in Europe to vaccinate</w:t>
      </w:r>
      <w:r>
        <w:rPr>
          <w:rFonts w:ascii="Times New Roman" w:hAnsi="Times New Roman" w:cs="Times New Roman"/>
          <w:sz w:val="16"/>
          <w:szCs w:val="16"/>
          <w:lang w:val="bg-BG"/>
        </w:rPr>
        <w:t xml:space="preserve"> (Кратък преглед на литературата относно насърчаване на ваксинацията при колебаещи се групи от населението в Европа)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>
        <w:rPr>
          <w:rFonts w:ascii="Times New Roman" w:hAnsi="Times New Roman" w:cs="Times New Roman"/>
          <w:sz w:val="16"/>
          <w:szCs w:val="16"/>
          <w:lang w:val="bg-BG"/>
        </w:rPr>
        <w:t>Стокхолм</w:t>
      </w:r>
      <w:r>
        <w:rPr>
          <w:rFonts w:ascii="Times New Roman" w:hAnsi="Times New Roman" w:cs="Times New Roman"/>
          <w:sz w:val="16"/>
          <w:szCs w:val="16"/>
        </w:rPr>
        <w:t xml:space="preserve">: ECDC, 2015. </w:t>
      </w:r>
      <w:hyperlink r:id="rId1" w:history="1">
        <w:r>
          <w:rPr>
            <w:rStyle w:val="Hyperlink"/>
            <w:sz w:val="16"/>
            <w:szCs w:val="16"/>
          </w:rPr>
          <w:t>https://ecdc.europa.eu/sites/portal/files/media/en/publications/Publications/vaccination-motivating-hesistant-populations-europe-literature-review.pdf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CE91FCED-D688-4C19-98F1-58151D952EFE"/>
    <w:docVar w:name="LW_COVERPAGE_TYPE" w:val="1"/>
    <w:docVar w:name="LW_CROSSREFERENCE" w:val="&lt;UNUSED&gt;"/>
    <w:docVar w:name="LW_DocType" w:val="NORMAL"/>
    <w:docVar w:name="LW_EMISSION" w:val="26.4.2018"/>
    <w:docVar w:name="LW_EMISSION_ISODATE" w:val="2018-04-26"/>
    <w:docVar w:name="LW_EMISSION_LOCATION" w:val="BRX"/>
    <w:docVar w:name="LW_EMISSION_PREFIX" w:val="Брюксел, "/>
    <w:docVar w:name="LW_EMISSION_SUFFIX" w:val="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7?\u1072?\u1089?\u1080?\u1083?\u1074?\u1072?\u1085?\u1077? \u1085?\u1072? \u1089?\u1098?\u1090?\u1088?\u1091?\u1076?\u1085?\u1080?\u1095?\u1077?\u1089?\u1090?\u1074?\u1086?\u1090?\u1086? \u1074? \u1073?\u1086?\u1088?\u1073?\u1072?\u1090?\u1072? \u1089?\u1088?\u1077?\u1097?\u1091? \u1073?\u1086?\u1083?\u1077?\u1089?\u1090?\u1080?, \u1087?\u1088?\u1077?\u1076?\u1086?\u1090?\u1074?\u1088?\u1072?\u1090?\u1080?\u1084?\u1080? \u1095?\u1088?\u1077?\u1079? \u1074?\u1072?\u1082?\u1089?\u1080?\u1085?\u1072?\u1094?\u1080?\u1103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245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\u1055?\u1056?\u1048?\u1051?\u1054?\u1046?\u1045?\u1053?\u1048?\u1071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footer" Target="footer6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dc.europa.eu/sites/portal/files/media/en/publications/Publications/vaccination-motivating-hesistant-populations-europe-literature-re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54</Words>
  <Characters>305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UYTTERSPROT Martine (SANCO)</dc:creator>
  <cp:lastModifiedBy>DIGIT/A3</cp:lastModifiedBy>
  <cp:revision>23</cp:revision>
  <dcterms:created xsi:type="dcterms:W3CDTF">2018-04-26T10:05:00Z</dcterms:created>
  <dcterms:modified xsi:type="dcterms:W3CDTF">2018-05-29T08:15:00Z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2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</Properties>
</file>