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alt="A1A82A00-E772-439E-A3FE-81D5DED7415D" style="width:450.4pt;height:420.3pt">
            <v:imagedata r:id="rId7" o:title=""/>
          </v:shape>
        </w:pict>
      </w:r>
    </w:p>
    <w:bookmarkEnd w:id="0"/>
    <w:p>
      <w:pPr>
        <w:rPr>
          <w:noProof/>
        </w:rPr>
        <w:sectPr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>
      <w:pPr>
        <w:rPr>
          <w:rFonts w:ascii="Times New Roman" w:hAnsi="Times New Roman" w:cs="Times New Roman"/>
          <w:b/>
          <w:noProof/>
          <w:sz w:val="28"/>
        </w:rPr>
      </w:pPr>
      <w:bookmarkStart w:id="1" w:name="_GoBack"/>
      <w:bookmarkEnd w:id="1"/>
      <w:r>
        <w:rPr>
          <w:rFonts w:ascii="Times New Roman" w:hAnsi="Times New Roman" w:cs="Times New Roman"/>
          <w:b/>
          <w:noProof/>
          <w:sz w:val="28"/>
        </w:rPr>
        <w:lastRenderedPageBreak/>
        <w:t>Annexe 1</w:t>
      </w:r>
    </w:p>
    <w:p>
      <w:pPr>
        <w:rPr>
          <w:rFonts w:ascii="Times New Roman" w:hAnsi="Times New Roman" w:cs="Times New Roman"/>
          <w:b/>
          <w:noProof/>
          <w:sz w:val="28"/>
        </w:rPr>
      </w:pPr>
    </w:p>
    <w:p>
      <w:pPr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Couverture vaccinale dans l’UE</w:t>
      </w:r>
    </w:p>
    <w:p>
      <w:pPr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  <w:lang w:val="en-US"/>
        </w:rPr>
        <w:drawing>
          <wp:inline distT="0" distB="0" distL="0" distR="0">
            <wp:extent cx="5760720" cy="4608576"/>
            <wp:effectExtent l="0" t="0" r="0" b="1905"/>
            <wp:docPr id="5" name="Picture 5" descr="C:\Users\ehrlaso\AppData\Local\Temp\7zO854E0467\graphs_F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hrlaso\AppData\Local\Temp\7zO854E0467\graphs_FR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noProof/>
          <w:lang w:val="fr-BE"/>
        </w:rPr>
      </w:pPr>
      <w:r>
        <w:rPr>
          <w:rFonts w:ascii="Times New Roman" w:hAnsi="Times New Roman" w:cs="Times New Roman"/>
          <w:noProof/>
          <w:lang w:val="fr-BE"/>
        </w:rPr>
        <w:t>Figure 1: Taux de couverture vaccinale contre la rougeole dans l’UE en 2016 (Source: Formulaire commun OMS/Unicef de notification sur la vaccination)</w:t>
      </w:r>
    </w:p>
    <w:p>
      <w:pPr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  <w:lang w:val="fr-BE"/>
        </w:rPr>
        <w:br w:type="page"/>
      </w:r>
      <w:r>
        <w:rPr>
          <w:rFonts w:ascii="Times New Roman" w:hAnsi="Times New Roman" w:cs="Times New Roman"/>
          <w:b/>
          <w:noProof/>
          <w:sz w:val="28"/>
          <w:lang w:eastAsia="en-GB"/>
        </w:rPr>
        <w:lastRenderedPageBreak/>
        <w:pict>
          <v:shape id="_x0000_i1026" type="#_x0000_t75" style="width:452.95pt;height:344.95pt">
            <v:imagedata r:id="rId15" o:title="graphs_FR-01"/>
          </v:shape>
        </w:pict>
      </w:r>
    </w:p>
    <w:p>
      <w:pPr>
        <w:rPr>
          <w:rFonts w:ascii="Times New Roman" w:hAnsi="Times New Roman" w:cs="Times New Roman"/>
          <w:noProof/>
          <w:lang w:val="fr-BE"/>
        </w:rPr>
      </w:pPr>
      <w:r>
        <w:rPr>
          <w:rFonts w:ascii="Times New Roman" w:hAnsi="Times New Roman" w:cs="Times New Roman"/>
          <w:noProof/>
          <w:lang w:val="fr-BE"/>
        </w:rPr>
        <w:t>Figure 2: Couverture pour la deuxième dose du vaccin contre la rougeole dans l’UE (Source: ECDC)</w:t>
      </w:r>
    </w:p>
    <w:p>
      <w:pPr>
        <w:rPr>
          <w:rFonts w:ascii="Times New Roman" w:hAnsi="Times New Roman" w:cs="Times New Roman"/>
          <w:b/>
          <w:noProof/>
          <w:sz w:val="28"/>
          <w:lang w:val="fr-BE"/>
        </w:rPr>
      </w:pPr>
      <w:r>
        <w:rPr>
          <w:rFonts w:ascii="Times New Roman" w:hAnsi="Times New Roman" w:cs="Times New Roman"/>
          <w:b/>
          <w:noProof/>
          <w:sz w:val="28"/>
          <w:lang w:val="fr-BE"/>
        </w:rPr>
        <w:br w:type="page"/>
      </w:r>
    </w:p>
    <w:p>
      <w:pPr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t>Annexe 2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Facteurs de réticence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60720" cy="4609353"/>
            <wp:effectExtent l="0" t="0" r="0" b="1270"/>
            <wp:docPr id="8" name="Picture 8" descr="C:\Users\ehrlaso\AppData\Local\Temp\7zO85437059\graphs_F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hrlaso\AppData\Local\Temp\7zO85437059\graphs_FR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fr-BE"/>
        </w:rPr>
      </w:pPr>
      <w:r>
        <w:rPr>
          <w:rFonts w:ascii="Times New Roman" w:hAnsi="Times New Roman" w:cs="Times New Roman"/>
          <w:noProof/>
          <w:lang w:val="fr-BE"/>
        </w:rPr>
        <w:t>Figure 3: Facteurs de réticence en Europe, en 2015 (Source: ECDC)</w:t>
      </w:r>
      <w:r>
        <w:rPr>
          <w:rStyle w:val="FootnoteReference"/>
          <w:rFonts w:ascii="Times New Roman" w:hAnsi="Times New Roman" w:cs="Times New Roman"/>
          <w:noProof/>
        </w:rPr>
        <w:footnoteReference w:id="1"/>
      </w:r>
    </w:p>
    <w:p>
      <w:pPr>
        <w:jc w:val="both"/>
        <w:rPr>
          <w:rFonts w:ascii="Times New Roman" w:hAnsi="Times New Roman" w:cs="Times New Roman"/>
          <w:noProof/>
          <w:sz w:val="24"/>
          <w:szCs w:val="24"/>
          <w:lang w:val="fr-BE"/>
        </w:rPr>
      </w:pPr>
    </w:p>
    <w:p>
      <w:pPr>
        <w:rPr>
          <w:noProof/>
          <w:lang w:val="fr-BE"/>
        </w:rPr>
      </w:pPr>
    </w:p>
    <w:sectPr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FR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  <w:footnote w:id="1">
    <w:p>
      <w:pPr>
        <w:pStyle w:val="FootnoteText"/>
        <w:rPr>
          <w:rFonts w:ascii="Times New Roman" w:hAnsi="Times New Roman" w:cs="Times New Roman"/>
          <w:sz w:val="16"/>
          <w:szCs w:val="16"/>
          <w:lang w:val="fr-BE"/>
        </w:rPr>
      </w:pPr>
      <w:r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>
        <w:rPr>
          <w:rFonts w:ascii="Times New Roman" w:hAnsi="Times New Roman" w:cs="Times New Roman"/>
          <w:sz w:val="16"/>
          <w:szCs w:val="16"/>
          <w:lang w:val="fr-BE"/>
        </w:rPr>
        <w:t xml:space="preserve"> Centre européen de prévention et de contrôle des maladies, «Rapid literature review on motivating hesitant population groups in Europe to vaccinate», ECDC, Stockholm, 2015, </w:t>
      </w:r>
      <w:hyperlink r:id="rId1" w:history="1">
        <w:r>
          <w:rPr>
            <w:rStyle w:val="Hyperlink"/>
            <w:sz w:val="16"/>
            <w:szCs w:val="16"/>
            <w:lang w:val="fr-BE"/>
          </w:rPr>
          <w:t>https://ecdc.europa.eu/sites/portal/files/media/en/publications/Publications/vaccination-motivating-hesistant-populations-europe-literature-review.pdf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de la"/>
    <w:docVar w:name="LW_ANNEX_NBR_FIRST" w:val="1"/>
    <w:docVar w:name="LW_ANNEX_NBR_LAST" w:val="2"/>
    <w:docVar w:name="LW_ANNEX_UNIQUE" w:val="0"/>
    <w:docVar w:name="LW_CORRIGENDUM" w:val="&lt;UNUSED&gt;"/>
    <w:docVar w:name="LW_COVERPAGE_EXISTS" w:val="True"/>
    <w:docVar w:name="LW_COVERPAGE_GUID" w:val="A1A82A00-E772-439E-A3FE-81D5DED7415D"/>
    <w:docVar w:name="LW_COVERPAGE_TYPE" w:val="1"/>
    <w:docVar w:name="LW_CROSSREFERENCE" w:val="&lt;UNUSED&gt;"/>
    <w:docVar w:name="LW_DocType" w:val="NORMAL"/>
    <w:docVar w:name="LW_EMISSION" w:val="26.4.2018"/>
    <w:docVar w:name="LW_EMISSION_ISODATE" w:val="2018-04-26"/>
    <w:docVar w:name="LW_EMISSION_LOCATION" w:val="BRX"/>
    <w:docVar w:name="LW_EMISSION_PREFIX" w:val="Bruxelles, le "/>
    <w:docVar w:name="LW_EMISSION_SUFFIX" w:val="&lt;EMPTY&gt;"/>
    <w:docVar w:name="LW_ID_DOCTYPE_NONLW" w:val="CP-039"/>
    <w:docVar w:name="LW_LANGUE" w:val="FR"/>
    <w:docVar w:name="LW_LEVEL_OF_SENSITIVITY" w:val="Standard treatment"/>
    <w:docVar w:name="LW_NOM.INST" w:val="COMMISSION EUROPÉENNE"/>
    <w:docVar w:name="LW_NOM.INST_JOINTDOC" w:val="&lt;EMPTY&gt;"/>
    <w:docVar w:name="LW_OBJETACTEPRINCIPAL.CP" w:val="Coopération renforcée contre les maladies à prévention vaccinale_x000b_"/>
    <w:docVar w:name="LW_PART_NBR" w:val="&lt;UNUSED&gt;"/>
    <w:docVar w:name="LW_PART_NBR_TOTAL" w:val="&lt;UNUSED&gt;"/>
    <w:docVar w:name="LW_REF.INST.NEW" w:val="COM"/>
    <w:docVar w:name="LW_REF.INST.NEW_ADOPTED" w:val="final"/>
    <w:docVar w:name="LW_REF.INST.NEW_TEXT" w:val="(2018) 245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 xsi:nil=&quot;true&quot; /&gt;_x000d__x000a_  &lt;limited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footnote xsi:nil=&quot;true&quot; /&gt;_x000d__x000a_  &lt;isRestricted&gt;false&lt;/isRestricted&gt;_x000d__x000a_&lt;/SensitivityLevel&gt;"/>
    <w:docVar w:name="LW_SUPERTITRE" w:val="&lt;UNUSED&gt;"/>
    <w:docVar w:name="LW_TITRE.OBJ.CP" w:val="&lt;UNUSED&gt;"/>
    <w:docVar w:name="LW_TYPE.DOC.CP" w:val="ANNEXES_x000b_"/>
    <w:docVar w:name="LW_TYPEACTEPRINCIPAL.CP" w:val="COMMUNICATION DE LA COMMISSION AU PARLEMENT EUROPÉEN, AU CONSEIL, AU COMITÉ ÉCONOMIQUE ET SOCIAL EUROPÉEN ET AU COMITÉ DES RÉGIONS_x000b_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footer" Target="footer6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dc.europa.eu/sites/portal/files/media/en/publications/Publications/vaccination-motivating-hesistant-populations-europe-literature-review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62</Words>
  <Characters>339</Characters>
  <Application>Microsoft Office Word</Application>
  <DocSecurity>0</DocSecurity>
  <Lines>18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DIGIT/A3</cp:lastModifiedBy>
  <cp:revision>22</cp:revision>
  <dcterms:created xsi:type="dcterms:W3CDTF">2018-04-26T10:05:00Z</dcterms:created>
  <dcterms:modified xsi:type="dcterms:W3CDTF">2018-05-29T08:14:00Z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First annex">
    <vt:lpwstr>1</vt:lpwstr>
  </property>
  <property fmtid="{D5CDD505-2E9C-101B-9397-08002B2CF9AE}" pid="4" name="Last annex">
    <vt:lpwstr>2</vt:lpwstr>
  </property>
  <property fmtid="{D5CDD505-2E9C-101B-9397-08002B2CF9AE}" pid="5" name="Unique annex">
    <vt:lpwstr>0</vt:lpwstr>
  </property>
  <property fmtid="{D5CDD505-2E9C-101B-9397-08002B2CF9AE}" pid="6" name="Part">
    <vt:lpwstr>&lt;UNUSED&gt;</vt:lpwstr>
  </property>
  <property fmtid="{D5CDD505-2E9C-101B-9397-08002B2CF9AE}" pid="7" name="Total parts">
    <vt:lpwstr>&lt;UNUSED&gt;</vt:lpwstr>
  </property>
  <property fmtid="{D5CDD505-2E9C-101B-9397-08002B2CF9AE}" pid="8" name="DocStatus">
    <vt:lpwstr>Green</vt:lpwstr>
  </property>
</Properties>
</file>