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5E716F2-A437-4994-9F16-B800B56D2564"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Чешката република за 2018 г.</w:t>
      </w:r>
      <w:r>
        <w:rPr>
          <w:noProof/>
        </w:rPr>
        <w:br/>
      </w:r>
      <w:r>
        <w:rPr>
          <w:noProof/>
        </w:rPr>
        <w:br/>
        <w:t>и съдържаща становище на Съвета относно конвергентната програма на Чешката република за 2018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препоръката на Европейската комисия</w:t>
      </w:r>
      <w:r>
        <w:rPr>
          <w:rStyle w:val="FootnoteReference"/>
          <w:noProof/>
        </w:rPr>
        <w:footnoteReference w:id="2"/>
      </w:r>
      <w:r>
        <w:rPr>
          <w:noProof/>
        </w:rPr>
        <w:t>,</w:t>
      </w:r>
    </w:p>
    <w:p>
      <w:pPr>
        <w:rPr>
          <w:noProof/>
        </w:rPr>
      </w:pPr>
      <w:r>
        <w:rPr>
          <w:noProof/>
        </w:rPr>
        <w:t>като взе предвид резолюциите на Европейския парламент</w:t>
      </w:r>
      <w:r>
        <w:rPr>
          <w:rStyle w:val="FootnoteReference"/>
          <w:noProof/>
        </w:rPr>
        <w:footnoteReference w:id="3"/>
      </w:r>
      <w:r>
        <w:rPr>
          <w:noProof/>
        </w:rPr>
        <w:t>,</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На 22 ноември 2017 г., въз основа на Регламент (ЕС) № 1176/2011, Комисията прие също Доклад за механизма за предупреждение, в който Чешката република не беше посочена като една от държавите членки, за които ще се извърши задълбочен преглед.</w:t>
      </w:r>
    </w:p>
    <w:p>
      <w:pPr>
        <w:pStyle w:val="ManualConsidrant"/>
        <w:rPr>
          <w:noProof/>
        </w:rPr>
      </w:pPr>
      <w:r>
        <w:t>(2)</w:t>
      </w:r>
      <w:r>
        <w:tab/>
      </w:r>
      <w:r>
        <w:rPr>
          <w:noProof/>
        </w:rPr>
        <w:t>Докладът за Чешката република за 2018 г.</w:t>
      </w:r>
      <w:r>
        <w:rPr>
          <w:rStyle w:val="FootnoteReference"/>
          <w:noProof/>
        </w:rPr>
        <w:footnoteReference w:id="4"/>
      </w:r>
      <w:r>
        <w:rPr>
          <w:noProof/>
        </w:rPr>
        <w:t xml:space="preserve"> беше публикуван на 7 март 2018 г. В него бяха оценени напредъкът на Чешката република в изпълнението на специфичните за страната препоръки, приети от Съвета на 11 юли 2017 г., </w:t>
      </w:r>
      <w:r>
        <w:rPr>
          <w:noProof/>
        </w:rPr>
        <w:lastRenderedPageBreak/>
        <w:t>последващите действия във връзка с препоръките, приети през предходните години, както и напредъкът на Чешката република за постигане на нейните национални цели по стратегията „Европа 2020“.</w:t>
      </w:r>
    </w:p>
    <w:p>
      <w:pPr>
        <w:pStyle w:val="ManualConsidrant"/>
        <w:rPr>
          <w:noProof/>
        </w:rPr>
      </w:pPr>
      <w:r>
        <w:t>(3)</w:t>
      </w:r>
      <w:r>
        <w:tab/>
      </w:r>
      <w:r>
        <w:rPr>
          <w:noProof/>
        </w:rPr>
        <w:t>На 30 април 2018 г. Чешката република представи своята Национална програма за реформи за 2018 г. и своята Програма за конвергенция за 2018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6"/>
      </w:r>
      <w:r>
        <w:rPr>
          <w:noProof/>
        </w:rPr>
        <w:t xml:space="preserve">. </w:t>
      </w:r>
    </w:p>
    <w:p>
      <w:pPr>
        <w:pStyle w:val="ManualConsidrant"/>
        <w:rPr>
          <w:noProof/>
        </w:rPr>
      </w:pPr>
      <w:r>
        <w:t>(5)</w:t>
      </w:r>
      <w:r>
        <w:tab/>
      </w:r>
      <w:r>
        <w:rPr>
          <w:noProof/>
        </w:rPr>
        <w:t>Спрямо Чешката република понастоящем се прилагат предпазните мерки на Пакта за стабилност и растеж. В своята програма за конвергенция за 2018 г. правителството планира бюджетен излишък в номинално изражение за периода 2018—2021 г. Средносрочната бюджетна цел — структурен дефицит от 1,0 % от БВП — продължава да се спазва с марж през целия период на програмата. Съгласно програмата за конвергенция за 2018 г. съотношението на консолидирания държавен дълг към БВП се очаква да спадне постепенно до 29,9 % през 2021 г. Макроикономическият сценарий в основата на тези бюджетни прогнози е реалистичен. Рисковете пред постигането на бюджетните цели изглеждат като цяло уравновесени, с очаквано покачване на публичните инвестиции и по-нататъшен растеж на заплатите в публичния сектор. Според прогнозата на Комисията от пролетта на 2018 г. структурното салдо ще се понижи до около 0,9 % от БВП през 2018 г. и до 0,2 % от БВП през 2019 г., което остава над средносрочната бюджетна цел. Като цяло Съветът е на мнение, че се предвижда Чешката република да спази разпоредбите на Пакта за стабилност и растеж през 2018 и 2019 г.</w:t>
      </w:r>
    </w:p>
    <w:p>
      <w:pPr>
        <w:pStyle w:val="ManualConsidrant"/>
        <w:rPr>
          <w:noProof/>
        </w:rPr>
      </w:pPr>
      <w:r>
        <w:t>(6)</w:t>
      </w:r>
      <w:r>
        <w:tab/>
      </w:r>
      <w:r>
        <w:rPr>
          <w:noProof/>
        </w:rPr>
        <w:t xml:space="preserve">В дългосрочен план са налице средни по тежест рискове за фискалната устойчивост в Чешката република. Докато разходите, предизвикани от застаряването на населението, представляват предизвикателство в областта на здравеопазването и дългосрочните грижи, на промените в пенсионната система следва да се обърне особено внимание. Актуализираните прогнози за свързаните със застаряването на населението разходи показват по-голямо увеличение отколкото посоченото в </w:t>
      </w:r>
      <w:r>
        <w:rPr>
          <w:i/>
          <w:noProof/>
        </w:rPr>
        <w:t>Доклада за застаряването</w:t>
      </w:r>
      <w:r>
        <w:rPr>
          <w:noProof/>
        </w:rPr>
        <w:t xml:space="preserve"> за 2015 г. Пенсионните </w:t>
      </w:r>
      <w:r>
        <w:rPr>
          <w:noProof/>
        </w:rPr>
        <w:lastRenderedPageBreak/>
        <w:t>разходи се очаква да се увеличат от 8,2 % от БВП през 2016 г. до 10,9 % от БВП през 2070 г. Това очаквано по-голямо увеличение на разходите за пенсии се дължи главно на тавана на пенсионната възраст от 65 години. В действителност привеждането на законоустановената пенсионна възраст в съответствие с продължителността на живота не става автоматично; таванът ще се преразглежда на всеки пет години от правителството, като се започне от 2019 г. Тъй като са оставени на преценката на правителството, настоящите прогнози  за пенсионни разходи не отчитат това преразглеждане на пенсионната възраст. Освен това индексирането на пенсиите е понастоящем по-благоприятно, като се вземат предвид 50 % от реалния растеж на заплатите, вместо предишните 33 %. Въздействието на тези промени върху разходите възлиза на 2 процентни пункта от БВП през 2070 г. Допълнителните промени, които се обсъждат понастоящем, като например увеличаване на размера на основната пенсия и по-високи пенсии за по-възрастните пенсионери, също влошават показателите за устойчивост. Що се отнася до публичните разходи за здравеопазване, в дългосрочен план се прогнозира те да нараснат с 1,1 процентни пункта от БВП, което надвишава очакваното средно увеличение от 0,9 процентни пункта за Европейския съюз. В този контекст са налице признаци на неефективно използване на ресурсите при извънболничното и болничното лечение.</w:t>
      </w:r>
    </w:p>
    <w:p>
      <w:pPr>
        <w:pStyle w:val="ManualConsidrant"/>
        <w:rPr>
          <w:noProof/>
        </w:rPr>
      </w:pPr>
      <w:r>
        <w:t>(7)</w:t>
      </w:r>
      <w:r>
        <w:tab/>
      </w:r>
      <w:r>
        <w:rPr>
          <w:noProof/>
        </w:rPr>
        <w:t xml:space="preserve">Новият закон за фискалната отговорност, въведен в началото на 2017 г., значително укрепи фискалната рамка на Чешката република и бе създаден независим фискален съвет. Понастоящем е в процес на разглеждане в рамките на междуведомствена писмена процедура проектозакон за независим одит, който има за цел да реши неуредените проблеми, свързани с транспонирането на Директива 2011/85/ЕС на Съвета. </w:t>
      </w:r>
    </w:p>
    <w:p>
      <w:pPr>
        <w:pStyle w:val="ManualConsidrant"/>
        <w:rPr>
          <w:noProof/>
        </w:rPr>
      </w:pPr>
      <w:r>
        <w:t>(8)</w:t>
      </w:r>
      <w:r>
        <w:tab/>
      </w:r>
      <w:r>
        <w:rPr>
          <w:noProof/>
        </w:rPr>
        <w:t xml:space="preserve">Чешката национална банка може да определи препоръчителни макропруденциални ограничения по отношение на ипотечното кредитиране, но има ограничени правомощия за налагане на наказания, тъй като не разполага с официални правомощия да ги прилага. Въпреки че чешките банки спазват определено съвкупно равнище на ограничения, те не се съобразяват изцяло с насоките от 2016 г. на Чешката национална банка.  Обвързващи правни ограничения вероятно ще увеличат степента на съответствие между банките, като осигурят финансова стабилност и намаляване на рисковете за кредитополучателите. Очаква се през 2018 г. парламентът да разгледа законодателно предложение, с което се изменя Законът за Чешката национална банка. </w:t>
      </w:r>
    </w:p>
    <w:p>
      <w:pPr>
        <w:pStyle w:val="ManualConsidrant"/>
        <w:rPr>
          <w:noProof/>
        </w:rPr>
      </w:pPr>
      <w:r>
        <w:t>(9)</w:t>
      </w:r>
      <w:r>
        <w:tab/>
      </w:r>
      <w:r>
        <w:rPr>
          <w:noProof/>
        </w:rPr>
        <w:t xml:space="preserve">Чешката република продължава да е изправена пред предизвикателства, свързани с подобряването на прозрачността и ефективността на обществените поръчки и предотвратяването на корупцията. Въпреки че бяха предприети някои стъпки за подобряване на рамката за обществените поръчки, нивото на конкуренция продължава да буди безпокойство, като почти половината от всички търгове за обществени поръчки приключват само с една оферта. В същото време въвеждането на задължително използване на електронни процедури има потенциала да насърчи постигането на прозрачност и ефективност. Чешките органи са инвестирали в национална електронна платформа, която следва да става все по-лесна за използване и надеждна, в допълнение към частните платформи, обслужващи чешкия пазар. Налице е все още значителен потенциал за премахване на административните пречки и за разгръщане на потенциала за обобщени и стратегически обществени поръчки с </w:t>
      </w:r>
      <w:r>
        <w:rPr>
          <w:noProof/>
        </w:rPr>
        <w:lastRenderedPageBreak/>
        <w:t>цел по-рентабилно изразходване на публичните средства. И централните и местните органи са започнали да предприемат целенасочени инициативи за обучение на служителите, участващи в процедурите за възлагане на обществени поръчки. Въпреки това, създаването на съвместни мерки в областта на обществените поръчки и придобиването на експертни знания в някои области все още остават сериозни предизвикателства. Освен това, корупцията и подкупите все още будят опасения сред предприятията и гражданите. Въпреки че бяха приети няколко големи реформи на антикорупционната стратегия, в някои области проблемите все още не са преодолени.</w:t>
      </w:r>
    </w:p>
    <w:p>
      <w:pPr>
        <w:pStyle w:val="ManualConsidrant"/>
        <w:rPr>
          <w:noProof/>
        </w:rPr>
      </w:pPr>
      <w:r>
        <w:t>(10)</w:t>
      </w:r>
      <w:r>
        <w:tab/>
      </w:r>
      <w:r>
        <w:rPr>
          <w:noProof/>
        </w:rPr>
        <w:t>При все че резултатите от електронното управление остават под средното равнище за Европейския съюз, междувременно са приети съответните законодателни мерки, за да се гарантира увеличаването на достъпността и наличието на тези услуги. Очаква се някои широкомащабни инициативи да бъдат въведени през 2018 г., но успехът им ще зависи от способността на органите на властта да повишават осведомеността и да предоставят лесни за ползване решения.</w:t>
      </w:r>
    </w:p>
    <w:p>
      <w:pPr>
        <w:pStyle w:val="ManualConsidrant"/>
        <w:rPr>
          <w:noProof/>
        </w:rPr>
      </w:pPr>
      <w:r>
        <w:t>(11)</w:t>
      </w:r>
      <w:r>
        <w:tab/>
      </w:r>
      <w:r>
        <w:rPr>
          <w:noProof/>
        </w:rPr>
        <w:t>Някои административни и регулаторни тежести са спирачка за инвестициите. Те се отнасят основно за разрешения за строителство и за сложността на данъчното облагане. Признава се обаче, че властите са приели изменение на Закона за строителството, с което се опростява процедурата за издаване на разрешително за строеж, като оценката на въздействието върху околната среда се включва в решението за регулация или в общото разрешително за регулация и строителство. Все пак продължава да не е ясно дали това би могло да оптимизира процедурите за големи инфраструктурни проекти, тъй като различни други разрешения не са включени в тази система за издаване на общи разрешителни. Изменение на съществуващия закон за регулиране на изграждането на транспортна инфраструктура е в процес на обсъждане в парламента. Въпреки че бяха извършени промени в данъчната система, за да се подобри събирането на данъци, данъчните разпоредби и ставки се наредиха сред проблемните области за извършване на стопанска дейност, които будят най-голямо безпокойство. Новото правителство е посочило евентуалните промени с цел повишаване на прозрачността и опростяване на данъчната система, включително продължаващата работа за модернизиране на правната уредба относно данъка върху доходите. Разходите за привеждане в съответствие са се увеличили малко и остават над средната стойност за Европейския съюз. Въпреки че носи допълнителни данъчни постъпления, декларацията за контрол по данъка върху добавената стойност удължи времето, необходимо за привеждане в съответствие с данъчните изисквания. Въпреки значителното намаляване в часове на времето за привеждане в съответствие с данъчния кодекс в сравнение с миналото, Чешката република все още е в горния край на ckàлата. Освен това новите намалени ставки на данъка върху добавената стойност може да доведат до увеличаване на сложността на системата на данъка върху добавената стойност, особено за малките и средните предприятия.</w:t>
      </w:r>
    </w:p>
    <w:p>
      <w:pPr>
        <w:pStyle w:val="ManualConsidrant"/>
        <w:rPr>
          <w:noProof/>
        </w:rPr>
      </w:pPr>
      <w:r>
        <w:t>(12)</w:t>
      </w:r>
      <w:r>
        <w:tab/>
      </w:r>
      <w:r>
        <w:rPr>
          <w:noProof/>
        </w:rPr>
        <w:t xml:space="preserve">Въпреки че чешката икономика се пренасочва към дейности, които се основават на интензивното използване на знания, все още съществуват някои пречки, които възпрепятстват развитието на добре функционираща система за научни изследвания и иновации. Увеличаването на инвестициите за научноизследователска и развойна дейност се дължи главно на преки чуждестранни инвестиции. Разходите за научноизследователска и развойна </w:t>
      </w:r>
      <w:r>
        <w:rPr>
          <w:noProof/>
        </w:rPr>
        <w:lastRenderedPageBreak/>
        <w:t>дейност от местни предприятия са намалели през последните две години. Въпреки значителните публични инвестиции в научноизследователска и развойна дейност, Чешката република изостава по отношение на качеството на публичната си научна база. Бяха приети мерки на политиката за изграждане на връзки между академичните среди и предприятията и за подобряване на резултатите на публичната научна база, но резултатите до този момент са ограничени и реформите все още не са изцяло изпълнени. Освен това управлението на системата за научни изследвания и иновации продължава да е разпокъсано.</w:t>
      </w:r>
    </w:p>
    <w:p>
      <w:pPr>
        <w:pStyle w:val="ManualConsidrant"/>
        <w:rPr>
          <w:noProof/>
        </w:rPr>
      </w:pPr>
      <w:r>
        <w:t>(13)</w:t>
      </w:r>
      <w:r>
        <w:tab/>
      </w:r>
      <w:r>
        <w:rPr>
          <w:noProof/>
        </w:rPr>
        <w:t>Качественото приобщаващо образование и обучение са от първостепенно значение с оглед на увеличаващите се пречки на пазара на труда в Чешката република. Постиженията в областта на образованието са все още силно засегнати от социално-икономическия произход на студентите. Мерките за приобщаващо образование все още не са изцяло изпълнени, по-специално по отношение на децата от ромски произход. Недостигът на квалифицирани учители, съчетан с демографските прогнози, показва, че наемането и задържането на работа на преподаватели може да става все по-трудно. Планираната нова система за професионално развитие на преподавателите, която трябваше да свърже непрекъснатото професионално развитие, професионалното израстване и заплатите, не бе приета от парламента. Заплатите на учителите остават ниски в сравнение с тези на останалите работници с висше образование, но са предвидени допълнителни увеличения на заплатите през следващите години. Учителската професия следователно продължава да бъде относително непривлекателна за талантливите млади хора. Накрая, успехът на реформата за по-приобщаващо образование (въведена през 2016 г. с подкрепата на Европейския социален фонд) ще зависи от наличието на достатъчно и устойчиво национално финансиране, по-нататъшното обучение на преподавателите и помощник-преподавателите и повишаването на осведомеността на обществеността относно ползите от приобщаващото образование.</w:t>
      </w:r>
    </w:p>
    <w:p>
      <w:pPr>
        <w:pStyle w:val="ManualConsidrant"/>
        <w:rPr>
          <w:noProof/>
        </w:rPr>
      </w:pPr>
      <w:r>
        <w:t>(14)</w:t>
      </w:r>
      <w:r>
        <w:tab/>
      </w:r>
      <w:r>
        <w:rPr>
          <w:noProof/>
        </w:rPr>
        <w:t xml:space="preserve">Чешката република постига солидни резултати на пазара на труда. Заетостта се е повишила стабилно през последните шест години и безработицата е спаднала значително. Потенциалът на жените, нискоквалифицираните лица и хората с увреждания обаче все още не се използва достатъчно. На фона на недостига на работна ръка, категорично съществува възможност за увеличаване на тяхното участие на пазара на труда. Разликите в заетостта и заплащането на жените и мъжете продължават да са високи въпреки предприетите наскоро мерки, благодарение на които родителският отпуск е станал по-гъвкав и броят на детските заведения се е увеличил. Равнището на заетост на жените остава доста под това на мъжете. Майчинството все още оказва значително влияние върху участието на пазара на труда, във връзка с ниската наличност на финансово достъпни заведения за полагане на грижи за деца, правото на дълготраен родителски отпуск, ниската степен на използване на гъвкав режим на работа и липсата на заведения за дългосрочни грижи. През 2016 г. само 4,7 % от децата на възраст под три години са посещавали професионални заведения за грижи за деца. Въпреки че нискоквалифицираните лица съставляват малка част от населението, равнището на заетост сред тях е доста под тази сред средно- и висококвалифицираните лица. Аналогично, процентът на заетост на хората с увреждания е под средната стойност за Европейския съюз, въпреки рекордно ниския общ процент на безработица и недостига на пазара на труда. Това може </w:t>
      </w:r>
      <w:r>
        <w:rPr>
          <w:noProof/>
        </w:rPr>
        <w:lastRenderedPageBreak/>
        <w:t>да мотивира оползотворяването на неизползвания потенциал на хората с увреждания. Поради ограничен капацитет, публичните служби по заетостта в момента не предоставят на търсещите работа персонализирана, непрекъсната подкрепа. Увеличаването на способностите на публичните служби по заетостта за информиране и активиране на населението, в съчетание с ефективни и целенасочени политики за активен пазар на труда и индивидуализирани услуги, ще спомогне за стимулирането на участието на неактивните групи. Инициативи за повишаване на квалификацията (включващи и цифрови умения) биха могли да подобрят достъпа до пазара на труда.</w:t>
      </w:r>
    </w:p>
    <w:p>
      <w:pPr>
        <w:pStyle w:val="ManualConsidrant"/>
        <w:rPr>
          <w:noProof/>
        </w:rPr>
      </w:pPr>
      <w:r>
        <w:t>(15)</w:t>
      </w:r>
      <w:r>
        <w:tab/>
      </w:r>
      <w:r>
        <w:rPr>
          <w:noProof/>
        </w:rPr>
        <w:t xml:space="preserve">В рамките на европейския семестър за 2018 г. Комисията направи цялостен анализ на икономическата политика на Чешката република и го публикува в доклада за страната от 2018 г. Комисията оцени и програмата за конвергенция за 2018 г. и националната програма за реформи за 2018 г. и предприетите последващи действия във връзка с препоръките към Чешката република, отправени през предходните години. Комисията взе предвид не само тяхното значение за провеждането на устойчива фискална и социално-икономическа политика в Чешката република,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t>(16)</w:t>
      </w:r>
      <w:r>
        <w:tab/>
      </w:r>
      <w:r>
        <w:rPr>
          <w:noProof/>
        </w:rPr>
        <w:t>С оглед на тази оценка Съветът разгледа програмата за конвергенция за 2018 г. и изрази становище, че се очаква Чешката република да спази Пакта за стабилност и растеж.</w:t>
      </w:r>
    </w:p>
    <w:p>
      <w:pPr>
        <w:pStyle w:val="Formuledadoption"/>
        <w:rPr>
          <w:noProof/>
        </w:rPr>
      </w:pPr>
      <w:r>
        <w:rPr>
          <w:noProof/>
        </w:rPr>
        <w:t>ПРЕПОРЪЧВА</w:t>
      </w:r>
      <w:r>
        <w:rPr>
          <w:noProof/>
          <w:color w:val="002060"/>
        </w:rPr>
        <w:t xml:space="preserve"> </w:t>
      </w:r>
      <w:r>
        <w:rPr>
          <w:noProof/>
        </w:rPr>
        <w:t>на Чешката република да предприеме следните действия през 2018 и 2019 г.:</w:t>
      </w:r>
    </w:p>
    <w:p>
      <w:pPr>
        <w:pStyle w:val="ManualNumPar1"/>
        <w:rPr>
          <w:noProof/>
        </w:rPr>
      </w:pPr>
      <w:r>
        <w:t>1.</w:t>
      </w:r>
      <w:r>
        <w:tab/>
      </w:r>
      <w:r>
        <w:rPr>
          <w:noProof/>
        </w:rPr>
        <w:t>Подобряване на дългосрочната фискална устойчивост, по-специално на пенсионната система. Преодоляване на слабостите в практиките за възлагане на обществени поръчки, по-специално чрез осигуряването на възможност за конкуренция, основана до по-голяма степен на качеството, и чрез изпълнение на мерките за борба с корупцията.</w:t>
      </w:r>
    </w:p>
    <w:p>
      <w:pPr>
        <w:pStyle w:val="ManualNumPar1"/>
        <w:rPr>
          <w:noProof/>
        </w:rPr>
      </w:pPr>
      <w:r>
        <w:t>2.</w:t>
      </w:r>
      <w:r>
        <w:tab/>
      </w:r>
      <w:r>
        <w:rPr>
          <w:noProof/>
        </w:rPr>
        <w:t>Намаляване на административната тежест за инвестициите, включително чрез ускоряване на процедурите по издаване на разрешение за инфраструктурни работи. Премахване на препятствията, които затрудняват научните изследвания, развитието и иновациите, по-специално чрез увеличаване на капацитета за иновации на местните предприятия. Укрепване на капацитета на образователната система да доведе до качествено приобщаващо образование, включително чрез насърчаване на учителската професия. Насърчаване на заетостта на жените, нискоквалифицираните лица и хората с увреждания, включително чрез подобряване на ефективността на активните политики на пазара на труда.</w:t>
      </w:r>
    </w:p>
    <w:p>
      <w:pPr>
        <w:rPr>
          <w:noProof/>
        </w:rPr>
      </w:pPr>
      <w:bookmarkStart w:id="1" w:name="_CopyToNewDocument_"/>
      <w:bookmarkEnd w:id="1"/>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COM(2018) 403 final.</w:t>
      </w:r>
    </w:p>
  </w:footnote>
  <w:footnote w:id="3">
    <w:p>
      <w:pPr>
        <w:pStyle w:val="FootnoteText"/>
      </w:pPr>
      <w:r>
        <w:rPr>
          <w:rStyle w:val="FootnoteReference"/>
        </w:rPr>
        <w:footnoteRef/>
      </w:r>
      <w:r>
        <w:tab/>
        <w:t>P8_TA(2018)0077 и P8_TA(2018)0078.</w:t>
      </w:r>
    </w:p>
  </w:footnote>
  <w:footnote w:id="4">
    <w:p>
      <w:pPr>
        <w:pStyle w:val="FootnoteText"/>
      </w:pPr>
      <w:r>
        <w:rPr>
          <w:rStyle w:val="FootnoteReference"/>
        </w:rPr>
        <w:footnoteRef/>
      </w:r>
      <w:r>
        <w:tab/>
        <w:t>SWD(2018) 202 final.</w:t>
      </w:r>
    </w:p>
  </w:footnote>
  <w:footnote w:id="5">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6">
    <w:p>
      <w:pPr>
        <w:pStyle w:val="FootnoteText"/>
      </w:pPr>
      <w:r>
        <w:rPr>
          <w:rStyle w:val="FootnoteReference"/>
        </w:rPr>
        <w:footnoteRef/>
      </w:r>
      <w:r>
        <w:tab/>
        <w:t>COM(2014) 494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7A68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AA03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0815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74FC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96AD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A23C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6888CA"/>
    <w:lvl w:ilvl="0">
      <w:start w:val="1"/>
      <w:numFmt w:val="decimal"/>
      <w:pStyle w:val="ListNumber"/>
      <w:lvlText w:val="%1."/>
      <w:lvlJc w:val="left"/>
      <w:pPr>
        <w:tabs>
          <w:tab w:val="num" w:pos="360"/>
        </w:tabs>
        <w:ind w:left="360" w:hanging="360"/>
      </w:pPr>
    </w:lvl>
  </w:abstractNum>
  <w:abstractNum w:abstractNumId="7">
    <w:nsid w:val="FFFFFF89"/>
    <w:multiLevelType w:val="singleLevel"/>
    <w:tmpl w:val="A030F9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5:55: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E716F2-A437-4994-9F16-B800B56D2564"/>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ensitive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3"/>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 optional=&quot;false&quot; maxTextLength=&quot;0&quot;&gt;_x000d__x000a_    &lt;text&gt;Limited                       Embargo until adoption&lt;/text&gt;_x000d__x000a_  &lt;/marking&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63?\u1077?\u1096?\u1082?\u1072?\u1090?\u1072? \u1088?\u1077?\u1087?\u1091?\u1073?\u1083?\u1080?\u1082?\u1072? \u1079?\u1072? 2018 \u1075?._x000b__x000b_\u1080? \u1089?\u1098?\u1076?\u1098?\u1088?\u1078?\u1072?\u1097?\u1072? \u1089?\u1090?\u1072?\u1085?\u1086?\u1074?\u1080?\u1097?\u1077? \u1085?\u1072? \u1057?\u1098?\u1074?\u1077?\u1090?\u1072? \u1086?\u1090?\u1085?\u1086?\u1089?\u1085?\u1086? \u1082?\u1086?\u1085?\u1074?\u1077?\u1088?\u1075?\u1077?\u1085?\u1090?\u1085?\u1072?\u1090?\u1072? \u1087?\u1088?\u1086?\u1075?\u1088?\u1072?\u1084?\u1072? \u1085?\u1072? \u1063?\u1077?\u1096?\u1082?\u1072?\u1090?\u1072? \u1088?\u1077?\u1087?\u1091?\u1073?\u1083?\u1080?\u1082?\u1072?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220E-653C-49EE-9C01-EBE35BCA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2543</Words>
  <Characters>15182</Characters>
  <Application>Microsoft Office Word</Application>
  <DocSecurity>0</DocSecurity>
  <Lines>271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2018-05-28T15:13:00Z</dcterms:created>
  <dcterms:modified xsi:type="dcterms:W3CDTF">2018-05-29T13:55:00Z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Sensitive treatment</vt:lpwstr>
  </property>
  <property fmtid="{D5CDD505-2E9C-101B-9397-08002B2CF9AE}" pid="9" name="LWTemplateID">
    <vt:lpwstr>SG-002</vt:lpwstr>
  </property>
  <property fmtid="{D5CDD505-2E9C-101B-9397-08002B2CF9AE}" pid="10" name="DQCStatus">
    <vt:lpwstr>Green (DQC version 03)</vt:lpwstr>
  </property>
</Properties>
</file>