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5D" w:rsidRDefault="004167D2" w:rsidP="004167D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36DBB96-200D-4FB5-8E7F-08333D2D10B0" style="width:450.6pt;height:366pt">
            <v:imagedata r:id="rId9" o:title=""/>
          </v:shape>
        </w:pict>
      </w:r>
    </w:p>
    <w:p w:rsidR="0020655D" w:rsidRDefault="0020655D">
      <w:pPr>
        <w:rPr>
          <w:noProof/>
        </w:rPr>
        <w:sectPr w:rsidR="0020655D" w:rsidSect="004167D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20655D" w:rsidRDefault="0020655D">
      <w:pPr>
        <w:pStyle w:val="Exposdesmotifstitre"/>
        <w:rPr>
          <w:noProof/>
        </w:rPr>
      </w:pPr>
    </w:p>
    <w:p w:rsidR="0020655D" w:rsidRDefault="0020655D">
      <w:pPr>
        <w:rPr>
          <w:noProof/>
        </w:rPr>
      </w:pPr>
    </w:p>
    <w:p w:rsidR="0020655D" w:rsidRDefault="004167D2">
      <w:pPr>
        <w:pStyle w:val="Statut"/>
        <w:rPr>
          <w:noProof/>
        </w:rPr>
      </w:pPr>
      <w:r>
        <w:rPr>
          <w:noProof/>
        </w:rPr>
        <w:t>Препоръка за</w:t>
      </w:r>
    </w:p>
    <w:p w:rsidR="0020655D" w:rsidRDefault="004167D2">
      <w:pPr>
        <w:pStyle w:val="Typedudocument"/>
        <w:rPr>
          <w:noProof/>
        </w:rPr>
      </w:pPr>
      <w:r>
        <w:rPr>
          <w:noProof/>
        </w:rPr>
        <w:t>ПРЕПОРЪКА НА СЪВЕТА</w:t>
      </w:r>
    </w:p>
    <w:p w:rsidR="0020655D" w:rsidRDefault="004167D2">
      <w:pPr>
        <w:pStyle w:val="Titreobjet"/>
        <w:rPr>
          <w:noProof/>
        </w:rPr>
      </w:pPr>
      <w:r>
        <w:rPr>
          <w:noProof/>
        </w:rPr>
        <w:t>относно Националната програма за реформи на Ирландия за 2018 г.</w:t>
      </w:r>
      <w:r>
        <w:rPr>
          <w:noProof/>
        </w:rPr>
        <w:br/>
      </w:r>
      <w:r>
        <w:rPr>
          <w:noProof/>
        </w:rPr>
        <w:br/>
        <w:t xml:space="preserve">и съдържаща становище на Съвета относно програмата </w:t>
      </w:r>
      <w:r>
        <w:rPr>
          <w:noProof/>
        </w:rPr>
        <w:t>за стабилност на Ирландия за 2018 г.</w:t>
      </w:r>
    </w:p>
    <w:p w:rsidR="0020655D" w:rsidRDefault="004167D2">
      <w:pPr>
        <w:pStyle w:val="Institutionquiagit"/>
        <w:rPr>
          <w:noProof/>
        </w:rPr>
      </w:pPr>
      <w:r>
        <w:rPr>
          <w:noProof/>
        </w:rPr>
        <w:t>СЪВЕТЪТ НА ЕВРОПЕЙСКИЯ СЪЮЗ,</w:t>
      </w:r>
    </w:p>
    <w:p w:rsidR="0020655D" w:rsidRDefault="004167D2">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20655D" w:rsidRDefault="004167D2">
      <w:pPr>
        <w:rPr>
          <w:noProof/>
        </w:rPr>
      </w:pPr>
      <w:r>
        <w:rPr>
          <w:noProof/>
        </w:rPr>
        <w:t>като взе предвид Регламент (ЕО) № 1466/97 на Съвета от 7</w:t>
      </w:r>
      <w:r>
        <w:rPr>
          <w:noProof/>
        </w:rPr>
        <w:t xml:space="preserve">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rsidR="0020655D" w:rsidRDefault="004167D2">
      <w:pPr>
        <w:rPr>
          <w:noProof/>
        </w:rPr>
      </w:pPr>
      <w:r>
        <w:rPr>
          <w:noProof/>
        </w:rPr>
        <w:t>като взе предвид Регламент (ЕС) № 1176/2011 на Европейския парламент и на Съвета от 16 но</w:t>
      </w:r>
      <w:r>
        <w:rPr>
          <w:noProof/>
        </w:rPr>
        <w:t>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rsidR="0020655D" w:rsidRDefault="004167D2">
      <w:pPr>
        <w:rPr>
          <w:noProof/>
        </w:rPr>
      </w:pPr>
      <w:r>
        <w:rPr>
          <w:noProof/>
        </w:rPr>
        <w:t>като взе предвид препоръката на Европейската комисия</w:t>
      </w:r>
      <w:r>
        <w:rPr>
          <w:rStyle w:val="FootnoteReference"/>
          <w:noProof/>
        </w:rPr>
        <w:footnoteReference w:id="4"/>
      </w:r>
      <w:r>
        <w:rPr>
          <w:noProof/>
        </w:rPr>
        <w:t>,</w:t>
      </w:r>
    </w:p>
    <w:p w:rsidR="0020655D" w:rsidRDefault="004167D2">
      <w:pPr>
        <w:rPr>
          <w:noProof/>
        </w:rPr>
      </w:pPr>
      <w:r>
        <w:rPr>
          <w:noProof/>
        </w:rPr>
        <w:t>като взе предвид резолюциите на Европейския парламент</w:t>
      </w:r>
      <w:r>
        <w:rPr>
          <w:rStyle w:val="FootnoteReference"/>
          <w:noProof/>
        </w:rPr>
        <w:footnoteReference w:id="5"/>
      </w:r>
      <w:r>
        <w:rPr>
          <w:noProof/>
        </w:rPr>
        <w:t>,</w:t>
      </w:r>
    </w:p>
    <w:p w:rsidR="0020655D" w:rsidRDefault="004167D2">
      <w:pPr>
        <w:outlineLvl w:val="0"/>
        <w:rPr>
          <w:noProof/>
        </w:rPr>
      </w:pPr>
      <w:r>
        <w:rPr>
          <w:noProof/>
        </w:rPr>
        <w:t xml:space="preserve">като взе </w:t>
      </w:r>
      <w:r>
        <w:rPr>
          <w:noProof/>
        </w:rPr>
        <w:t>предвид заключенията на Европейския съвет,</w:t>
      </w:r>
    </w:p>
    <w:p w:rsidR="0020655D" w:rsidRDefault="004167D2">
      <w:pPr>
        <w:rPr>
          <w:noProof/>
        </w:rPr>
      </w:pPr>
      <w:r>
        <w:rPr>
          <w:noProof/>
        </w:rPr>
        <w:t>като взе предвид становището на Комитета по заетостта,</w:t>
      </w:r>
    </w:p>
    <w:p w:rsidR="0020655D" w:rsidRDefault="004167D2">
      <w:pPr>
        <w:rPr>
          <w:noProof/>
        </w:rPr>
      </w:pPr>
      <w:r>
        <w:rPr>
          <w:noProof/>
        </w:rPr>
        <w:t>като взе предвид становището на Икономическия и финансов комитет,</w:t>
      </w:r>
    </w:p>
    <w:p w:rsidR="0020655D" w:rsidRDefault="004167D2">
      <w:pPr>
        <w:rPr>
          <w:noProof/>
        </w:rPr>
      </w:pPr>
      <w:r>
        <w:rPr>
          <w:noProof/>
        </w:rPr>
        <w:t>като взе предвид становището на Комитета за социална закрила,</w:t>
      </w:r>
    </w:p>
    <w:p w:rsidR="0020655D" w:rsidRDefault="004167D2">
      <w:pPr>
        <w:rPr>
          <w:noProof/>
        </w:rPr>
      </w:pPr>
      <w:r>
        <w:rPr>
          <w:noProof/>
        </w:rPr>
        <w:t>като взе предвид становището н</w:t>
      </w:r>
      <w:r>
        <w:rPr>
          <w:noProof/>
        </w:rPr>
        <w:t>а Комитета за икономическа политика,</w:t>
      </w:r>
    </w:p>
    <w:p w:rsidR="0020655D" w:rsidRDefault="004167D2">
      <w:pPr>
        <w:rPr>
          <w:noProof/>
        </w:rPr>
      </w:pPr>
      <w:r>
        <w:rPr>
          <w:noProof/>
        </w:rPr>
        <w:t>като има предвид, че:</w:t>
      </w:r>
    </w:p>
    <w:p w:rsidR="0020655D" w:rsidRDefault="004167D2">
      <w:pPr>
        <w:pStyle w:val="ManualConsidrant"/>
        <w:rPr>
          <w:noProof/>
        </w:rPr>
      </w:pPr>
      <w:r>
        <w:t>(1)</w:t>
      </w:r>
      <w:r>
        <w:tab/>
      </w:r>
      <w:r>
        <w:rPr>
          <w:noProof/>
        </w:rPr>
        <w:t>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Съветът надлежно взе предви</w:t>
      </w:r>
      <w:r>
        <w:rPr>
          <w:noProof/>
        </w:rPr>
        <w:t xml:space="preserve">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Въз основа на Регламент (ЕС) № 1176/2011, на </w:t>
      </w:r>
      <w:r>
        <w:rPr>
          <w:noProof/>
        </w:rPr>
        <w:t xml:space="preserve">22 ноември 2017 г. Комисията прие също Доклада за механизма за предупреждение, в който беше посочено, че Ирландия ще бъде една от </w:t>
      </w:r>
      <w:r>
        <w:rPr>
          <w:noProof/>
        </w:rPr>
        <w:lastRenderedPageBreak/>
        <w:t>държавите членки, за които ще бъде извършен задълбочен преглед. На същия ден Комисията прие и препоръка за препоръка на Съвета</w:t>
      </w:r>
      <w:r>
        <w:rPr>
          <w:noProof/>
        </w:rPr>
        <w:t xml:space="preserve"> относно икономическата политика на еврозоната, която беше одобрена от Европейския съвет на 22 март 2018 г. На 14 май 2018 г. Съветът прие Препоръката относно икономическата политика на еврозоната (наричана оттук нататък „препоръка за еврозоната“).</w:t>
      </w:r>
    </w:p>
    <w:p w:rsidR="0020655D" w:rsidRDefault="004167D2">
      <w:pPr>
        <w:pStyle w:val="ManualConsidrant"/>
        <w:rPr>
          <w:noProof/>
        </w:rPr>
      </w:pPr>
      <w:r>
        <w:t>(2)</w:t>
      </w:r>
      <w:r>
        <w:tab/>
      </w:r>
      <w:r>
        <w:rPr>
          <w:noProof/>
        </w:rPr>
        <w:t>Кат</w:t>
      </w:r>
      <w:r>
        <w:rPr>
          <w:noProof/>
        </w:rPr>
        <w:t xml:space="preserve">о държава членка, чиято парична единица е еврото, и с оглед на тясната взаимообвързаност между икономиките в икономическия и паричен съюз, Ирландия следва да гарантира пълното и навременно изпълнение на препоръката </w:t>
      </w:r>
      <w:r>
        <w:rPr>
          <w:noProof/>
          <w:color w:val="000000" w:themeColor="text1"/>
        </w:rPr>
        <w:t>относно икономическата политика</w:t>
      </w:r>
      <w:r>
        <w:rPr>
          <w:noProof/>
        </w:rPr>
        <w:t xml:space="preserve"> за еврозо</w:t>
      </w:r>
      <w:r>
        <w:rPr>
          <w:noProof/>
        </w:rPr>
        <w:t>ната, както е посочено в препоръките по-долу, по-специално в 1 и 2.</w:t>
      </w:r>
    </w:p>
    <w:p w:rsidR="0020655D" w:rsidRDefault="004167D2">
      <w:pPr>
        <w:pStyle w:val="ManualConsidrant"/>
        <w:rPr>
          <w:noProof/>
          <w:szCs w:val="24"/>
        </w:rPr>
      </w:pPr>
      <w:r>
        <w:t>(3)</w:t>
      </w:r>
      <w:r>
        <w:tab/>
      </w:r>
      <w:r>
        <w:rPr>
          <w:noProof/>
        </w:rPr>
        <w:t>Докладът за Ирландия</w:t>
      </w:r>
      <w:r>
        <w:rPr>
          <w:rStyle w:val="FootnoteReference"/>
          <w:noProof/>
        </w:rPr>
        <w:footnoteReference w:id="6"/>
      </w:r>
      <w:r>
        <w:rPr>
          <w:noProof/>
        </w:rPr>
        <w:t xml:space="preserve"> за 2018 г. беше публикуван на 7 март 2018 г. В него бе оценен напредъкът на Ирландия в изпълнението на специфичните за държавата препоръки, приети от Съвета на 11</w:t>
      </w:r>
      <w:r>
        <w:rPr>
          <w:noProof/>
        </w:rPr>
        <w:t xml:space="preserve"> юли 2017 г., последващите действия във връзка с препоръките, отправени към Ирландия през предходните години, както и напредъкът на страната по националните ѝ цели по стратегията „Европа 2020“. В него бе включен и задълбоченият преглед по член 5 от Регламе</w:t>
      </w:r>
      <w:r>
        <w:rPr>
          <w:noProof/>
        </w:rPr>
        <w:t>нт (ЕС) № 1176/2011, чиито резултати също бяха публикувани на 7 март 2018 г</w:t>
      </w:r>
      <w:r>
        <w:rPr>
          <w:rStyle w:val="FootnoteReference"/>
          <w:noProof/>
        </w:rPr>
        <w:footnoteReference w:id="7"/>
      </w:r>
      <w:r>
        <w:rPr>
          <w:noProof/>
        </w:rPr>
        <w:t>. Анализът на Комисията ѝ дава основание да заключи, че в Ирландия са налице прекомерни дисбаланси. По-специално големият натрупан частен и публичен дълг и нетните външни задължени</w:t>
      </w:r>
      <w:r>
        <w:rPr>
          <w:noProof/>
        </w:rPr>
        <w:t>я водят до уязвимост. Въпреки това подобренията са съществени. Силното повишение на производителността през последните години доведе до подобрена конкурентоспособност и положително салдо по текущата сметка, в резултат на които високото равнище на нетните в</w:t>
      </w:r>
      <w:r>
        <w:rPr>
          <w:noProof/>
        </w:rPr>
        <w:t>ъншни задължения бързо намаля. Силният икономически растеж продължава да подкрепя намаляването на задлъжнялостта на частния сектор. Неговият размер обаче остава голям, въпреки че силното влияние на дейността на мултинационалните дружества трябва да се взем</w:t>
      </w:r>
      <w:r>
        <w:rPr>
          <w:noProof/>
        </w:rPr>
        <w:t>е предвид при оценката на корпоративния дълг, докато дългът на домакинствата изглежда като цяло да съответства на основните икономически показатели. Държавният дълг се очаква да остане низходящ, а дефицитът се приближава към постигането на баланс. Цените н</w:t>
      </w:r>
      <w:r>
        <w:rPr>
          <w:noProof/>
        </w:rPr>
        <w:t xml:space="preserve">а жилищата се увеличават с бързо темпо, макар и началните им равнища вероятно да са подценени, което засилва и бюджета на домакинствата. Банките са добре рекапитализирани и печалбите им постепенно се подобряват. Обемът на необслужваните кредити продължава </w:t>
      </w:r>
      <w:r>
        <w:rPr>
          <w:noProof/>
        </w:rPr>
        <w:t>да намалява, въпреки че остава голям. Предприети бяха действия на политиката за справяне с тези слабости, но някои мерки ще се нуждаят от време, за да доведат до очакваните ефекти.</w:t>
      </w:r>
    </w:p>
    <w:p w:rsidR="0020655D" w:rsidRDefault="004167D2">
      <w:pPr>
        <w:pStyle w:val="ManualConsidrant"/>
        <w:rPr>
          <w:noProof/>
        </w:rPr>
      </w:pPr>
      <w:r>
        <w:t>(4)</w:t>
      </w:r>
      <w:r>
        <w:tab/>
      </w:r>
      <w:r>
        <w:rPr>
          <w:noProof/>
        </w:rPr>
        <w:t>На 18 април 2018 г. Ирландия представи своята национална програма за ре</w:t>
      </w:r>
      <w:r>
        <w:rPr>
          <w:noProof/>
        </w:rPr>
        <w:t>форми за 2018 г., а на 30 април 2015 г. своята програма за стабилност за 2018 г. Двете програми бяха оценени едновременно, за да бъдат отчетени взаимовръзките между тях.</w:t>
      </w:r>
    </w:p>
    <w:p w:rsidR="0020655D" w:rsidRDefault="004167D2">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w:t>
      </w:r>
      <w:r>
        <w:rPr>
          <w:noProof/>
        </w:rPr>
        <w:t>та</w:t>
      </w:r>
      <w:r>
        <w:rPr>
          <w:rStyle w:val="FootnoteReference"/>
          <w:noProof/>
        </w:rPr>
        <w:footnoteReference w:id="8"/>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w:t>
      </w:r>
      <w:r>
        <w:rPr>
          <w:noProof/>
        </w:rPr>
        <w:t>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9"/>
      </w:r>
      <w:r>
        <w:rPr>
          <w:noProof/>
        </w:rPr>
        <w:t xml:space="preserve">. </w:t>
      </w:r>
    </w:p>
    <w:p w:rsidR="0020655D" w:rsidRDefault="004167D2">
      <w:pPr>
        <w:pStyle w:val="ManualConsidrant"/>
        <w:rPr>
          <w:noProof/>
        </w:rPr>
      </w:pPr>
      <w:r>
        <w:t>(6)</w:t>
      </w:r>
      <w:r>
        <w:tab/>
      </w:r>
      <w:r>
        <w:rPr>
          <w:noProof/>
        </w:rPr>
        <w:t>Понасто</w:t>
      </w:r>
      <w:r>
        <w:rPr>
          <w:noProof/>
        </w:rPr>
        <w:t xml:space="preserve">ящем спрямо Ирландия се прилагат предпазните мерки на Пакта за стабилност и растеж и преходното правило за дълга. В своята програма за стабилност за 2018 г. правителството очаква номиналният дефицит да намалее леко до 0,2 % от БВП през 2018 г. и след това </w:t>
      </w:r>
      <w:r>
        <w:rPr>
          <w:noProof/>
        </w:rPr>
        <w:t>да продължи да се подобрява постепенно, достигайки излишък от 0,4 % от БВП през 2021 г. Средносрочната бюджетна цел — структурен дефицит в размер на 0,5 % от БВП — се очаква да бъде постигната от 2019 г. нататък. Според програмата за стабилност съотношение</w:t>
      </w:r>
      <w:r>
        <w:rPr>
          <w:noProof/>
        </w:rPr>
        <w:t>то на консолидирания държавен дълг към БВП се очаква да спадне до 66 % през 2018 г. и да продължи да намалява, като достигне 58,7 % от БВП през 2021 г. Макроикономическият сценарий в основата на тези бюджетни прогнози е реалистичен. В същото време мерките,</w:t>
      </w:r>
      <w:r>
        <w:rPr>
          <w:noProof/>
        </w:rPr>
        <w:t xml:space="preserve"> необходими за подкрепа на планираните цели за дефицита от 2019 г. нататък, все още не са напълно конкретизирани.</w:t>
      </w:r>
    </w:p>
    <w:p w:rsidR="0020655D" w:rsidRDefault="004167D2">
      <w:pPr>
        <w:pStyle w:val="ManualConsidrant"/>
        <w:rPr>
          <w:noProof/>
        </w:rPr>
      </w:pPr>
      <w:r>
        <w:t>(7)</w:t>
      </w:r>
      <w:r>
        <w:tab/>
      </w:r>
      <w:r>
        <w:rPr>
          <w:noProof/>
        </w:rPr>
        <w:t>На 11 юли 2017 г. Съветът препоръча на Ирландия да гарантира, че номиналният темп на растеж на нетните първични държавни разходи не надвиш</w:t>
      </w:r>
      <w:r>
        <w:rPr>
          <w:noProof/>
        </w:rPr>
        <w:t>ава 2,4% през 2018 г., което съответства на годишна корекция на структурното салдо от 0,6% от БВП. В същото време Съветът посочи, че следва да се отдели внимание на постигането на фискална позиция, която да допринася както за укрепването на протичащото в м</w:t>
      </w:r>
      <w:r>
        <w:rPr>
          <w:noProof/>
        </w:rPr>
        <w:t>омента възстановяване, така и за осигуряването на устойчивост на публичните финанси на Ирландия. Според прогнозата на Комисията от пролетта на 2018 г. има риск от известно отклонение от препоръчаната фискална корекция през 2018 г., както и за 2017 г. и 201</w:t>
      </w:r>
      <w:r>
        <w:rPr>
          <w:noProof/>
        </w:rPr>
        <w:t xml:space="preserve">8 г. взети заедно. </w:t>
      </w:r>
    </w:p>
    <w:p w:rsidR="0020655D" w:rsidRDefault="004167D2">
      <w:pPr>
        <w:pStyle w:val="ManualConsidrant"/>
        <w:rPr>
          <w:noProof/>
        </w:rPr>
      </w:pPr>
      <w:r>
        <w:t>(8)</w:t>
      </w:r>
      <w:r>
        <w:tab/>
      </w:r>
      <w:r>
        <w:rPr>
          <w:noProof/>
        </w:rPr>
        <w:t>През 2019 г. Ирландия би трябвало да постигне своята средносрочна бюджетна цел. Това е съвместимо с максимален номинален темп на растеж на нетните първични държавни разходи</w:t>
      </w:r>
      <w:r>
        <w:rPr>
          <w:rStyle w:val="FootnoteReference"/>
          <w:noProof/>
        </w:rPr>
        <w:footnoteReference w:id="10"/>
      </w:r>
      <w:r>
        <w:rPr>
          <w:noProof/>
        </w:rPr>
        <w:t>, ненадвишаващи 5,3%</w:t>
      </w:r>
      <w:r>
        <w:rPr>
          <w:rStyle w:val="FootnoteReference"/>
          <w:noProof/>
        </w:rPr>
        <w:footnoteReference w:id="11"/>
      </w:r>
      <w:r>
        <w:rPr>
          <w:noProof/>
        </w:rPr>
        <w:t>, което съответства на годишна структу</w:t>
      </w:r>
      <w:r>
        <w:rPr>
          <w:noProof/>
        </w:rPr>
        <w:t xml:space="preserve">рна корекция от 0,1 % от БВП. Въз основа на прогнозата на Комисията от пролетта на 2018 г. се предвижда структурното салдо да отбележи дефицит от 0,4 % от БВП през 2019 г. — над средносрочната бюджетна цел. Според прогнозите Ирландия ще спази правилото за </w:t>
      </w:r>
      <w:r>
        <w:rPr>
          <w:noProof/>
        </w:rPr>
        <w:t xml:space="preserve">дълга през 2018 г. и 2019 г. Като цяло Съветът е на мнение, че Ирландия трябва да има готовност да предприеме допълнителни мерки, за да гарантира спазването на препоръката през 2018 г., и се очаква да се спази разпоредбите на Пакта за стабилност и растеж. </w:t>
      </w:r>
      <w:r>
        <w:rPr>
          <w:noProof/>
        </w:rPr>
        <w:t>С оглед на разликата в измерванията на БВП и вътрешното производство в Ирландия и свързаното с него въздействие върху съотношението на дълга към БВП на Ирландия, настоящите циклични условия в Ирландия и повишените външни рискове за страната, би било разумн</w:t>
      </w:r>
      <w:r>
        <w:rPr>
          <w:noProof/>
        </w:rPr>
        <w:t>о да се използват всякакви извънредни приходи за по-нататъшното намаляване на съотношението на консолидирания държавен дълг към БВП.</w:t>
      </w:r>
    </w:p>
    <w:p w:rsidR="0020655D" w:rsidRDefault="004167D2">
      <w:pPr>
        <w:pStyle w:val="ManualConsidrant"/>
        <w:rPr>
          <w:noProof/>
        </w:rPr>
      </w:pPr>
      <w:r>
        <w:t>(9)</w:t>
      </w:r>
      <w:r>
        <w:tab/>
      </w:r>
      <w:r>
        <w:rPr>
          <w:noProof/>
        </w:rPr>
        <w:t>Публичните финанси бяха подобрени в контекста на здрав растеж на производството, но въпреки това остават рискове от нес</w:t>
      </w:r>
      <w:r>
        <w:rPr>
          <w:noProof/>
        </w:rPr>
        <w:t>табилност на приходите и има възможност приходите да станат по-устойчиви на икономическите колебания и сътресения. Ограничаването на приложното поле и на броя на данъчните разходи и разширяването на данъчната основа ще подобрят стабилността на данъчните по</w:t>
      </w:r>
      <w:r>
        <w:rPr>
          <w:noProof/>
        </w:rPr>
        <w:t>стъпления в условията на икономическа нестабилност. Въпреки това някои от последните данъчни мерки бяха съсредоточени върху намаления и облекчения и явно увеличиха още повече разчитането на силно проциклични източници на приходи. Освен това Ирландия има до</w:t>
      </w:r>
      <w:r>
        <w:rPr>
          <w:noProof/>
        </w:rPr>
        <w:t>пълнителен потенциал да подобри начина, по който нейната данъчна система може да подкрепя целите в областта на екологията.</w:t>
      </w:r>
    </w:p>
    <w:p w:rsidR="0020655D" w:rsidRDefault="004167D2">
      <w:pPr>
        <w:pStyle w:val="ManualConsidrant"/>
        <w:rPr>
          <w:noProof/>
        </w:rPr>
      </w:pPr>
      <w:r>
        <w:t>(10)</w:t>
      </w:r>
      <w:r>
        <w:tab/>
      </w:r>
      <w:r>
        <w:rPr>
          <w:noProof/>
        </w:rPr>
        <w:t>Както е посочено в препоръките от 2018 г. за еврозоната, борбата срещу стратегиите на данъкоплатците за агресивно планиране е от</w:t>
      </w:r>
      <w:r>
        <w:rPr>
          <w:noProof/>
        </w:rPr>
        <w:t xml:space="preserve"> съществено значение, за да се възпрепятства нарушаването на конкуренцията между предприятията, за гарантирането на справедливо третиране на данъкоплатците и защита на публичните финанси. Разпространението между държавите членки на ефектите от стратегиите </w:t>
      </w:r>
      <w:r>
        <w:rPr>
          <w:noProof/>
        </w:rPr>
        <w:t xml:space="preserve">на данъкоплатците за агресивно планиране налага координирани действия на националните политики, които да допълват законодателството на ЕС. Високото равнище на плащанията за дивиденти и авторски и лицензионни възнаграждения като процент от БВП показват, че </w:t>
      </w:r>
      <w:r>
        <w:rPr>
          <w:noProof/>
        </w:rPr>
        <w:t>данъчните правила на Ирландия се използват от предприятията, които прибягват към агресивно данъчно планиране. Ограниченото прилагане на данъци, удържани при източника (т.е от лица пребиваващи в ЕС към такива, които пребивават в трети държави) върху дивиден</w:t>
      </w:r>
      <w:r>
        <w:rPr>
          <w:noProof/>
        </w:rPr>
        <w:t>ти и авторски и лицензионни възнаграждения, направени от дружества със седалище в Ирландия, може да доведе до пълно избягване на данъчно облагане върху тези плащания, ако те не са обложени също в държавата на местоназначение. Освен това дружествата могат д</w:t>
      </w:r>
      <w:r>
        <w:rPr>
          <w:noProof/>
        </w:rPr>
        <w:t>а използват някои разпоредби в двустранните данъчни спогодби между Ирландия и някои други държави, за да заобиколят новите правилата, въведени в Ирландия през 2015 г., уреждащи статута на местно лице за данъчни цели. Резултатът от консултациите, предприети</w:t>
      </w:r>
      <w:r>
        <w:rPr>
          <w:noProof/>
        </w:rPr>
        <w:t xml:space="preserve"> от Ирландия в резултат на независимия преглед на кодекса за корпоративното данъчно облагане ще бъдат от значение за замисъла на обявените данъчни реформи. Комисията взема под внимание последните положителни стъпки, обявени или приети (т.е. стъпките, предп</w:t>
      </w:r>
      <w:r>
        <w:rPr>
          <w:noProof/>
        </w:rPr>
        <w:t>риети на национално равнище, за справяне с агресивното данъчно планиране; възможни защитни мерки срещу включени в списъците юрисдикции, които не оказват съдействие). Въз основа на неотдавнашните разговори Комисията ще продължи конструктивния си диалог за б</w:t>
      </w:r>
      <w:r>
        <w:rPr>
          <w:noProof/>
        </w:rPr>
        <w:t>орба срещу стратегиите на данъкоплатците за агресивно планиране.</w:t>
      </w:r>
    </w:p>
    <w:p w:rsidR="0020655D" w:rsidRDefault="004167D2">
      <w:pPr>
        <w:pStyle w:val="ManualConsidrant"/>
        <w:rPr>
          <w:noProof/>
        </w:rPr>
      </w:pPr>
      <w:r>
        <w:t>(11)</w:t>
      </w:r>
      <w:r>
        <w:tab/>
      </w:r>
      <w:r>
        <w:rPr>
          <w:noProof/>
        </w:rPr>
        <w:t>Остават рискове за дългосрочната фискална устойчивост, породени от разходите, свързани със застаряването. Ирландия предприе някои съществени мерки, свързани с ефективността, които включв</w:t>
      </w:r>
      <w:r>
        <w:rPr>
          <w:noProof/>
        </w:rPr>
        <w:t>ат например споразумение за намаляване на разходите с фармацевтичната промишленост, система за финансово управление и финансиране, основано на дейности. Също така бяха предприети някои мерки за подобряване на достъпа до първична медицинска помощ. Въпреки т</w:t>
      </w:r>
      <w:r>
        <w:rPr>
          <w:noProof/>
        </w:rPr>
        <w:t>ова ирландската здравна система е скъпа и е изправена пред множество предизвикателства, утежнени от бързото застаряване на населението. Освен това първичните грижи и грижите в общността все още не са способни да облекчат нарастващия натиск върху капацитета</w:t>
      </w:r>
      <w:r>
        <w:rPr>
          <w:noProof/>
        </w:rPr>
        <w:t xml:space="preserve"> и разходите в рамките на болничните грижи. Планираното преминаване към универсално здравеопазване трябва да бъде подкрепено с многогодишно бюджетно планиране и по-добър контрол върху разходите. Освен това трябва да бъдат взети предвид констатациите от цял</w:t>
      </w:r>
      <w:r>
        <w:rPr>
          <w:noProof/>
        </w:rPr>
        <w:t>остен преглед на разходите и ефективността и ефикасността на здравния сектор. Освен това трябва да се помисли за укрепването на ролята на първичната медицинска помощ като начин за облекчаване на претоварените болници в Ирландия. Въпреки редица реформи за о</w:t>
      </w:r>
      <w:r>
        <w:rPr>
          <w:noProof/>
        </w:rPr>
        <w:t>граничаване на публичните разходи за пенсии, като цяло се очаква дефицитът на пенсионната система да нарасне значително в дългосрочен план. Своевременното прилагане на представената пътна карта за реформа на пенсионната система е от възлово значение за укр</w:t>
      </w:r>
      <w:r>
        <w:rPr>
          <w:noProof/>
        </w:rPr>
        <w:t xml:space="preserve">епването на фискалната устойчивост на пенсионната система в Ирландия. </w:t>
      </w:r>
    </w:p>
    <w:p w:rsidR="0020655D" w:rsidRDefault="004167D2">
      <w:pPr>
        <w:pStyle w:val="ManualConsidrant"/>
        <w:rPr>
          <w:noProof/>
        </w:rPr>
      </w:pPr>
      <w:r>
        <w:t>(12)</w:t>
      </w:r>
      <w:r>
        <w:tab/>
      </w:r>
      <w:r>
        <w:rPr>
          <w:noProof/>
        </w:rPr>
        <w:t>Години на слаби инвестиции вследствие на икономическия срив оказват своето влияние върху наличието на подходяща инфраструктура в транспорта, чистата енергия, водоснабдяването, жили</w:t>
      </w:r>
      <w:r>
        <w:rPr>
          <w:noProof/>
        </w:rPr>
        <w:t>щното настаняване и телекомуникациите. Трайният недостиг на предлагането в съчетание с нарастващо търсене, продължават да предизвикват покачвания на цените на имотите. Въпреки че през 2016 г. цените не изглеждаха завишени, достъпността е повод за безпокойс</w:t>
      </w:r>
      <w:r>
        <w:rPr>
          <w:noProof/>
        </w:rPr>
        <w:t>тво. Ако не се намери решение, ограниченията в предлагането на жилища може да допринесе за натрупването на дисбаланси. В съчетание с териториалното устройство, подобряването на инфраструктурата е изключително важна предпоставка за подходящото предлагане на</w:t>
      </w:r>
      <w:r>
        <w:rPr>
          <w:noProof/>
        </w:rPr>
        <w:t xml:space="preserve"> жилища, засилването на частните инвестиции, повишението на производителността и балансираното регионално икономическо развитие. Освен това инфраструктурните инвестиции в чиста енергия, чист обществен транспорт и вода, както и активизирането на усилията в </w:t>
      </w:r>
      <w:r>
        <w:rPr>
          <w:noProof/>
        </w:rPr>
        <w:t>областта на възобновяемите енергийни източници и кръговата икономика ще бъде от съществено значение за успеха на Ирландия в прехода към нисковъглеродна и устойчива по отношение на околната среда икономика. В националния план за развитие за периода 2018—202</w:t>
      </w:r>
      <w:r>
        <w:rPr>
          <w:noProof/>
        </w:rPr>
        <w:t>7 г. и националната рамка за планиране, които са част от стратегията „Ирландия 2040“, ще представляват активни стъпки в правилната посока, след като бъдат приложени в тясно сътрудничество със заинтересованите страни.</w:t>
      </w:r>
    </w:p>
    <w:p w:rsidR="0020655D" w:rsidRDefault="004167D2">
      <w:pPr>
        <w:pStyle w:val="ManualConsidrant"/>
        <w:rPr>
          <w:noProof/>
        </w:rPr>
      </w:pPr>
      <w:r>
        <w:t>(13)</w:t>
      </w:r>
      <w:r>
        <w:tab/>
      </w:r>
      <w:r>
        <w:rPr>
          <w:noProof/>
        </w:rPr>
        <w:t>Полаганите усилия за смекчаване на</w:t>
      </w:r>
      <w:r>
        <w:rPr>
          <w:noProof/>
        </w:rPr>
        <w:t xml:space="preserve"> изменението на климата няма да позволят на Ирландия да постигне своите цели с национални средства по стратегията „Европа 2020“ в областта на климата. Само ограничен напредък бе постигнат при намаляването на въглеродните емисии във възлови сектори на иконо</w:t>
      </w:r>
      <w:r>
        <w:rPr>
          <w:noProof/>
        </w:rPr>
        <w:t xml:space="preserve">миката, най-вече в селското стопанство, автомобилния транспорт и жилищния сектор. По тази причина ще се наложи Ирландия да използва наличните възможности за гъвкавост, за да спази Решението за разпределяне на усилията, като например закупи квоти за емисии </w:t>
      </w:r>
      <w:r>
        <w:rPr>
          <w:noProof/>
        </w:rPr>
        <w:t>от други държави членки. Националните прогнози хвърлят светлина върху мащаба на необходимите допълнителни усилия: въз основа на провежданите политики се очаква емисиите съгласно Решението за разпределяне на усилията (определяне на задължителни годишни цели</w:t>
      </w:r>
      <w:r>
        <w:rPr>
          <w:noProof/>
        </w:rPr>
        <w:t xml:space="preserve"> относно емисиите на парникови газове за държавите членки през периода 2013—2020 г.) да нараснат до 2025 г., преди да се стабилизират на равнище малко под емисиите от 2005 г. Неотдавна Ирландия прие национален план за смекчаване на последиците, задаващ път</w:t>
      </w:r>
      <w:r>
        <w:rPr>
          <w:noProof/>
        </w:rPr>
        <w:t>на карта към нисковъглеродна икономика, и съгласувана рамка за справяне с оставащите предизвикателства в енергийния сектор. В сегашния си вид обаче, планът предлага малко конкретни нови смекчаващи мерки. Националната рамка за планиране също съдържа климати</w:t>
      </w:r>
      <w:r>
        <w:rPr>
          <w:noProof/>
        </w:rPr>
        <w:t>чен компонент, отчитащ факта, че подходящото териториално устройство ще бъде решаващ фактор за смекчаване на последиците от изменението на климата, като се има предвид, че населението е толкова широко разпръснато и че в Ирландия има само малко на брой голе</w:t>
      </w:r>
      <w:r>
        <w:rPr>
          <w:noProof/>
        </w:rPr>
        <w:t>ми градски райони, като във всички тях се наблюдават сериозни проблеми със задръствания и обществения транспорт. Накрая, националният план за развитие за периода 2018—2027 г. и неговото ефективно прилагане ще играят решаваща роля за декарбонизацията на ико</w:t>
      </w:r>
      <w:r>
        <w:rPr>
          <w:noProof/>
        </w:rPr>
        <w:t>номиката. В плана всъщност ще се определи степента, до която се мобилизират допълнителните средства за декарбонизацията на електроенергийния сектор, използването на възобновяеми енергийни източници и подобряването на обществения транспорт и енергийната ефе</w:t>
      </w:r>
      <w:r>
        <w:rPr>
          <w:noProof/>
        </w:rPr>
        <w:t>ктивност.</w:t>
      </w:r>
    </w:p>
    <w:p w:rsidR="0020655D" w:rsidRDefault="004167D2">
      <w:pPr>
        <w:pStyle w:val="ManualConsidrant"/>
        <w:rPr>
          <w:noProof/>
        </w:rPr>
      </w:pPr>
      <w:r>
        <w:t>(14)</w:t>
      </w:r>
      <w:r>
        <w:tab/>
      </w:r>
      <w:r>
        <w:rPr>
          <w:noProof/>
        </w:rPr>
        <w:t>Гарантирането на приобщаващ растеж продължава да бъде предизвикателство в Ирландия. Безработицата спадна до 6,7 % през 2017 г., но някои групи все още до голяма степен са откъснати от пазара на труда и са изключени в социално отношение. Като</w:t>
      </w:r>
      <w:r>
        <w:rPr>
          <w:noProof/>
        </w:rPr>
        <w:t xml:space="preserve"> цяло системата за социално подпомагане е успяла да ограничи бедността и неравенството и Ирландия е предприела мерки за насърчаване на заетостта чрез постепенно намаляване на обезщетенията и допълнителните плащания. Постоянно високото равнище на изложените</w:t>
      </w:r>
      <w:r>
        <w:rPr>
          <w:noProof/>
        </w:rPr>
        <w:t xml:space="preserve"> на риск от бедност и социално изключване в Ирландия е свързано с големия дял на хората, живеещи в домакинства с нисък интензитет на икономическа активност (почти два пъти повече от средното за ЕС и най-високия в ЕС — 18,2 % спрямо 10,5 % през 2016 г.). То</w:t>
      </w:r>
      <w:r>
        <w:rPr>
          <w:noProof/>
        </w:rPr>
        <w:t>ва се среща особено често при семействата с един родител. Почти три четвърти от хората, които не работят в Ирландия, са неактивни. Както общото равнище на изложените на риск от бедност и социално изключване, така и това, отнасящо се за децата, леко спаднах</w:t>
      </w:r>
      <w:r>
        <w:rPr>
          <w:noProof/>
        </w:rPr>
        <w:t>а през 2016 г., но продължават да са по-високи от средните за ЕС. В резултат на това Ирландия трябва да приключи изпълнението на своя план за действие в полза на безработните домакинства, в това число като подобри цялостната подкрепа за хората, които среща</w:t>
      </w:r>
      <w:r>
        <w:rPr>
          <w:noProof/>
        </w:rPr>
        <w:t xml:space="preserve">т най-големи трудности в намирането на работа. За предлагането на социални жилища е необходимо непрекъснато внимание за постигане на амбициозните цели и удовлетворяване на голямото търсене. </w:t>
      </w:r>
    </w:p>
    <w:p w:rsidR="0020655D" w:rsidRDefault="004167D2">
      <w:pPr>
        <w:pStyle w:val="ManualConsidrant"/>
        <w:rPr>
          <w:noProof/>
        </w:rPr>
      </w:pPr>
      <w:r>
        <w:t>(15)</w:t>
      </w:r>
      <w:r>
        <w:tab/>
      </w:r>
      <w:r>
        <w:rPr>
          <w:noProof/>
        </w:rPr>
        <w:t>Достъпът до финансово приемливи, целодневни и качествени гри</w:t>
      </w:r>
      <w:r>
        <w:rPr>
          <w:noProof/>
        </w:rPr>
        <w:t>жи за деца продължава да бъде предизвикателство. Според Организацията за икономическо сътрудничество и развитие разходите за грижи за децата в Ирландия — спрямо заплатите — през 2015 г. са били най-високите в ЕС за самотните родители и вторите най-високи в</w:t>
      </w:r>
      <w:r>
        <w:rPr>
          <w:noProof/>
        </w:rPr>
        <w:t xml:space="preserve"> ЕС за семейните двойки. Големите разходи за отглеждане на деца могат да действат като пречка за достъп до платена заетост, особено за домакинствата с ниски доходи, сред които и самотните родители. Това оказва отрицателно въздействие върху равнището на зае</w:t>
      </w:r>
      <w:r>
        <w:rPr>
          <w:noProof/>
        </w:rPr>
        <w:t>тост на жените, което през 2016 г. възлизаше на 65,4 % — близо до средната стойност за ЕС. Понастоящем в парламента се обсъжда закон за единна схемата за достъпни грижи за деца. Очаква се тя да се прилага през 2018 г., но закъсненията са вече осезаеми. Кач</w:t>
      </w:r>
      <w:r>
        <w:rPr>
          <w:noProof/>
        </w:rPr>
        <w:t>еството на полагането на грижи за деца бе насърчено по-специално чрез инициативи, осигуряващи солидни квалификации на персонала.</w:t>
      </w:r>
    </w:p>
    <w:p w:rsidR="0020655D" w:rsidRDefault="004167D2">
      <w:pPr>
        <w:pStyle w:val="ManualConsidrant"/>
        <w:rPr>
          <w:noProof/>
        </w:rPr>
      </w:pPr>
      <w:r>
        <w:t>(16)</w:t>
      </w:r>
      <w:r>
        <w:tab/>
      </w:r>
      <w:r>
        <w:rPr>
          <w:noProof/>
        </w:rPr>
        <w:t>Разликите между равнището на заетост на ниско, средно и високо квалифицираните работници са сред най-големите в ЕС през 20</w:t>
      </w:r>
      <w:r>
        <w:rPr>
          <w:noProof/>
        </w:rPr>
        <w:t>16 г., равнището на заетост на нискоквалифицираната работна ръка е с 10 процентни пункта по-ниско, отколкото преди икономическата криза. По тази причина, както и заради промяната в икономическата активност, несъответствията между търсените и предлаганите у</w:t>
      </w:r>
      <w:r>
        <w:rPr>
          <w:noProof/>
        </w:rPr>
        <w:t>мения и техният недостиг стават все по-очевидни в няколко области. Това засилва необходимостта да се ускорят политиките и мерките за повишаване на квалификацията и преквалификацията. В Ирландия ученето през целия живот сред наетите на работа нискоквалифици</w:t>
      </w:r>
      <w:r>
        <w:rPr>
          <w:noProof/>
        </w:rPr>
        <w:t>рани лица е особено слабо, което ги прави уязвими към промени в търсенето на пазара на труда. Като цяло в Ирландия уменията в областта на цифровите технологии са едни от най-слабите, което е в пълно противоречие с големия дял висшисти с научен, технологиче</w:t>
      </w:r>
      <w:r>
        <w:rPr>
          <w:noProof/>
        </w:rPr>
        <w:t>н, инженерен и математически профил, излизащи от ирландската система за висше образование. В Ирландия заетостта на хората с увреждания също е една от най-ниските в ЕС.</w:t>
      </w:r>
    </w:p>
    <w:p w:rsidR="0020655D" w:rsidRDefault="004167D2">
      <w:pPr>
        <w:pStyle w:val="ManualConsidrant"/>
        <w:rPr>
          <w:noProof/>
        </w:rPr>
      </w:pPr>
      <w:r>
        <w:t>(17)</w:t>
      </w:r>
      <w:r>
        <w:tab/>
      </w:r>
      <w:r>
        <w:rPr>
          <w:noProof/>
        </w:rPr>
        <w:t xml:space="preserve">Повишението на производителността в Ирландия се дължи основно от многонационалните </w:t>
      </w:r>
      <w:r>
        <w:rPr>
          <w:noProof/>
        </w:rPr>
        <w:t>дружества. Разликите в производителността между тези предприятия и ирландските местни предприятия — предимно малки и средни, се увеличава. Голямата международна мобилност на някои от многонационалните дружества и настоящата несигурност може да изложи на ри</w:t>
      </w:r>
      <w:r>
        <w:rPr>
          <w:noProof/>
        </w:rPr>
        <w:t>ск устойчивостта и надеждността на ирландската икономика в дългосрочен план. Неотдавнашно изследване показа, че предприятията — собственост на местни лица, са извлекли само ограничени ползи и положителни вторични ефекти, изразяващи се в повишена производит</w:t>
      </w:r>
      <w:r>
        <w:rPr>
          <w:noProof/>
        </w:rPr>
        <w:t>елност, иновации и износ, от дейностите на многонационалните дружества в Ирландия. Въпреки това ирландските дружества, извършващи научноизследователска и развойна дейност, наистина се възползват от положителни вторични ефекти, възникващи от наличието на му</w:t>
      </w:r>
      <w:r>
        <w:rPr>
          <w:noProof/>
        </w:rPr>
        <w:t>лтинационални компании. Стимулите в публичния сектор за извършване на научноизследователска и развойна дейност и за повишаване на наличността на квалифицирани работници за ирландските малки и средни предприятия ще насърчи разпространението на новите технол</w:t>
      </w:r>
      <w:r>
        <w:rPr>
          <w:noProof/>
        </w:rPr>
        <w:t>огии сред тези предприятия. В допълнение и както многократно се посочва от Ирландския национален съвет по конкурентоспособност, за да се гарантира конкурентоспособността на ирландските предприятия, трябва да се ограничи увеличението на някои производствени</w:t>
      </w:r>
      <w:r>
        <w:rPr>
          <w:noProof/>
        </w:rPr>
        <w:t xml:space="preserve"> фактори и в частност на правните разходи. Пречките на пазара на правни услуги продължават да представляват предизвикателство, което възпрепятства конкуренцията и повишава разходите за получателите на услуги. Те засягат главно малките предприятия, тъй като</w:t>
      </w:r>
      <w:r>
        <w:rPr>
          <w:noProof/>
        </w:rPr>
        <w:t xml:space="preserve"> повишават разходите за съдебни спорове. Все още не са въведени подзаконовите актове за прилагане на новия закон за регулиране на юридическите услуги. Значителни закъснения има в обществените консултации, които са необходимо условие за актовете за изпълнен</w:t>
      </w:r>
      <w:r>
        <w:rPr>
          <w:noProof/>
        </w:rPr>
        <w:t xml:space="preserve">ие. </w:t>
      </w:r>
    </w:p>
    <w:p w:rsidR="0020655D" w:rsidRDefault="004167D2">
      <w:pPr>
        <w:pStyle w:val="ManualConsidrant"/>
        <w:rPr>
          <w:noProof/>
        </w:rPr>
      </w:pPr>
      <w:r>
        <w:t>(18)</w:t>
      </w:r>
      <w:r>
        <w:tab/>
      </w:r>
      <w:r>
        <w:rPr>
          <w:noProof/>
        </w:rPr>
        <w:t>Макар финансовият сектор на Ирландия да е по пътя на устойчивото възстановяване, наследените проблеми все още създават ограничения. Въпреки че Ирландия продължи да бележи напредък по отношение на намаляването на необслужваните кредити, съотношени</w:t>
      </w:r>
      <w:r>
        <w:rPr>
          <w:noProof/>
        </w:rPr>
        <w:t>ето им спрямо общо брутните заеми (11,2 % през септември 2017 г.) продължава да е сред най-високите в ЕС. Прекомерният дълг, концентрацията на пазара и повишената несигурност в някои експортни сектори тежат върху търсенето на кредити от страна на малките и</w:t>
      </w:r>
      <w:r>
        <w:rPr>
          <w:noProof/>
        </w:rPr>
        <w:t xml:space="preserve"> средните предприятия, което продължава да бъде слабо. От решаващо значение е да се намалят дългосрочните просрочени задължения, от които закъснелите с повече от 2 години възлизат на около 60 % от всички просрочени ипотечни кредити през 2017 г. Намаляванет</w:t>
      </w:r>
      <w:r>
        <w:rPr>
          <w:noProof/>
        </w:rPr>
        <w:t xml:space="preserve">о на дългосрочните просрочени задължения би могло също да спомогне за решаване на проблема с прекомерната задлъжнялост, която намалява стимулите за предприятията, и по-специално за малките и средни предприятия, да използват кредитирането по по-продуктивни </w:t>
      </w:r>
      <w:r>
        <w:rPr>
          <w:noProof/>
        </w:rPr>
        <w:t>начини. Неотдавнашно проучване от Централната банка на Ирландия показва, че решенията за преструктуриране, включващи временно намаляване на плащанията, са особено предразположени към повторно неизпълнение. Жизнеспособността на изземванията и отписванията м</w:t>
      </w:r>
      <w:r>
        <w:rPr>
          <w:noProof/>
        </w:rPr>
        <w:t>оже да бъде подобрена и допълнена с по-строга рамка за защита на потребителите при продажба на заеми на вторичния пазар, като в същото време се гарантира дълготрайността на решенията за преструктуриране на кредитите.</w:t>
      </w:r>
    </w:p>
    <w:p w:rsidR="0020655D" w:rsidRDefault="004167D2">
      <w:pPr>
        <w:pStyle w:val="ManualConsidrant"/>
        <w:rPr>
          <w:noProof/>
        </w:rPr>
      </w:pPr>
      <w:r>
        <w:t>(19)</w:t>
      </w:r>
      <w:r>
        <w:tab/>
      </w:r>
      <w:r>
        <w:rPr>
          <w:noProof/>
        </w:rPr>
        <w:t>В контекста на европейския семестъ</w:t>
      </w:r>
      <w:r>
        <w:rPr>
          <w:noProof/>
        </w:rPr>
        <w:t>р за 2018 г. Комисията направи цялостен анализ на икономическата политика на Ирландия и го публикува в доклада за страната за 2018 г. Тя оцени също програмата за стабилност за 2018 г., националната програма за реформи за 2018 г., както и предприетите после</w:t>
      </w:r>
      <w:r>
        <w:rPr>
          <w:noProof/>
        </w:rPr>
        <w:t>дващи действия във връзка с препоръките към Ирландия, отправени през предходните години. Комисията взе предвид не само тяхното значение за провеждането на устойчива бюджетна и социално-икономическа политика в Ирландия, но и тяхното съответствие с правилата</w:t>
      </w:r>
      <w:r>
        <w:rPr>
          <w:noProof/>
        </w:rPr>
        <w:t xml:space="preserve">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rsidR="0020655D" w:rsidRDefault="004167D2">
      <w:pPr>
        <w:pStyle w:val="ManualConsidrant"/>
        <w:rPr>
          <w:noProof/>
        </w:rPr>
      </w:pPr>
      <w:r>
        <w:t>(20)</w:t>
      </w:r>
      <w:r>
        <w:tab/>
      </w:r>
      <w:r>
        <w:rPr>
          <w:noProof/>
        </w:rPr>
        <w:t>С оглед на тази оценка Съветът разгледа програмата за стабилност за 2018 г.,</w:t>
      </w:r>
      <w:r>
        <w:rPr>
          <w:noProof/>
        </w:rPr>
        <w:t xml:space="preserve"> като становището</w:t>
      </w:r>
      <w:r>
        <w:rPr>
          <w:rStyle w:val="FootnoteReference"/>
          <w:noProof/>
        </w:rPr>
        <w:footnoteReference w:id="12"/>
      </w:r>
      <w:r>
        <w:rPr>
          <w:noProof/>
        </w:rPr>
        <w:t xml:space="preserve"> му е изразено по-специално в препоръка 1 по-долу,</w:t>
      </w:r>
    </w:p>
    <w:p w:rsidR="0020655D" w:rsidRDefault="004167D2">
      <w:pPr>
        <w:pStyle w:val="ManualConsidrant"/>
        <w:rPr>
          <w:noProof/>
        </w:rPr>
      </w:pPr>
      <w:r>
        <w:t>(21)</w:t>
      </w:r>
      <w:r>
        <w:tab/>
      </w:r>
      <w:r>
        <w:rPr>
          <w:noProof/>
        </w:rPr>
        <w:t>С оглед на задълбочения преглед, направен от Комисията, и на тази оценка Съветът разгледа националната програма за реформи и програмата за стабилност. Неговите препоръки по член 6 от</w:t>
      </w:r>
      <w:r>
        <w:rPr>
          <w:noProof/>
        </w:rPr>
        <w:t xml:space="preserve"> Регламент (ЕС) № 1176/2011 са отразени в препоръки 1—3 по-долу.</w:t>
      </w:r>
    </w:p>
    <w:p w:rsidR="0020655D" w:rsidRDefault="004167D2">
      <w:pPr>
        <w:pStyle w:val="Formuledadoption"/>
        <w:rPr>
          <w:noProof/>
        </w:rPr>
      </w:pPr>
      <w:r>
        <w:rPr>
          <w:noProof/>
        </w:rPr>
        <w:t>ПРЕПОРЪЧВА на Ирландия да предприеме следните действия през 2018 и 2019 г.:</w:t>
      </w:r>
    </w:p>
    <w:p w:rsidR="0020655D" w:rsidRDefault="004167D2">
      <w:pPr>
        <w:pStyle w:val="ManualNumPar1"/>
        <w:rPr>
          <w:noProof/>
        </w:rPr>
      </w:pPr>
      <w:bookmarkStart w:id="1" w:name="_CopyToNewDocument_"/>
      <w:bookmarkEnd w:id="1"/>
      <w:r>
        <w:rPr>
          <w:noProof/>
        </w:rPr>
        <w:t>1.</w:t>
      </w:r>
      <w:r>
        <w:rPr>
          <w:noProof/>
        </w:rPr>
        <w:tab/>
        <w:t>Да постигне средносрочната бюджетна цел през 2019 г. Да използва извънредните приходи, за да ускори намаляването</w:t>
      </w:r>
      <w:r>
        <w:rPr>
          <w:noProof/>
        </w:rPr>
        <w:t xml:space="preserve"> на съотношението на консолидирания държавен дълг към БВП. Да ограничи обхвата и броя на данъчните разходи и да разшири данъчната основа. Да се справи с очакваното увеличение на разходите, свързани със застаряването на населението, като увеличи ефективност</w:t>
      </w:r>
      <w:r>
        <w:rPr>
          <w:noProof/>
        </w:rPr>
        <w:t>та на разходите в здравеопазването и като осъществи планираните пенсионни реформи.</w:t>
      </w:r>
    </w:p>
    <w:p w:rsidR="0020655D" w:rsidRDefault="004167D2">
      <w:pPr>
        <w:pStyle w:val="ManualNumPar1"/>
        <w:rPr>
          <w:noProof/>
        </w:rPr>
      </w:pPr>
      <w:r>
        <w:rPr>
          <w:noProof/>
        </w:rPr>
        <w:t>2.</w:t>
      </w:r>
      <w:r>
        <w:rPr>
          <w:noProof/>
        </w:rPr>
        <w:tab/>
        <w:t>Да гарантира своевременното и ефективно изпълнение на Националния план за развитие, включително по отношение на чистата енергия, транспорта, жилищното настаняване, водосн</w:t>
      </w:r>
      <w:r>
        <w:rPr>
          <w:noProof/>
        </w:rPr>
        <w:t>абдяването и достъпните и качествени грижи за децата. Да даде приоритет на повишаването на уменията на населението в трудоспособна възраст с акцент върху уменията в областта на цифровите технологии.</w:t>
      </w:r>
    </w:p>
    <w:p w:rsidR="0020655D" w:rsidRDefault="004167D2">
      <w:pPr>
        <w:pStyle w:val="ManualNumPar1"/>
        <w:rPr>
          <w:noProof/>
        </w:rPr>
      </w:pPr>
      <w:r>
        <w:rPr>
          <w:noProof/>
        </w:rPr>
        <w:t>3.</w:t>
      </w:r>
      <w:r>
        <w:rPr>
          <w:noProof/>
        </w:rPr>
        <w:tab/>
        <w:t>Да насърчава повишаването на производителността на ирл</w:t>
      </w:r>
      <w:r>
        <w:rPr>
          <w:noProof/>
        </w:rPr>
        <w:t>андските предприятия, и по-специално на малките и средните предприятия, като стимулира научните изследвания и иновациите с целенасочени политики, по-преки форми на финансиране и по-стратегическо сътрудничество с чуждестранни мултинационални предприятия, пу</w:t>
      </w:r>
      <w:r>
        <w:rPr>
          <w:noProof/>
        </w:rPr>
        <w:t>блични научноизследователски центрове и университети. Да насърчава по-бързото и трайно намаляване на дългосрочните просрочени задължения, въз основа на инициативите за уязвимите домакинства и чрез отписвания на невъзстановимите експозиции.</w:t>
      </w:r>
    </w:p>
    <w:p w:rsidR="0020655D" w:rsidRDefault="004167D2" w:rsidP="004167D2">
      <w:pPr>
        <w:pStyle w:val="Fait"/>
        <w:rPr>
          <w:noProof/>
        </w:rPr>
      </w:pPr>
      <w:r w:rsidRPr="004167D2">
        <w:t>Съставено в Брюксел на  година.</w:t>
      </w:r>
    </w:p>
    <w:p w:rsidR="0020655D" w:rsidRDefault="004167D2">
      <w:pPr>
        <w:pStyle w:val="Institutionquisigne"/>
        <w:rPr>
          <w:noProof/>
        </w:rPr>
      </w:pPr>
      <w:r>
        <w:rPr>
          <w:noProof/>
        </w:rPr>
        <w:tab/>
        <w:t>За Съвета</w:t>
      </w:r>
    </w:p>
    <w:p w:rsidR="0020655D" w:rsidRPr="004167D2" w:rsidRDefault="004167D2">
      <w:pPr>
        <w:pStyle w:val="Personnequisigne"/>
        <w:rPr>
          <w:noProof/>
        </w:rPr>
      </w:pPr>
      <w:r>
        <w:rPr>
          <w:noProof/>
        </w:rPr>
        <w:tab/>
        <w:t>Председател</w:t>
      </w:r>
    </w:p>
    <w:sectPr w:rsidR="0020655D" w:rsidRPr="004167D2" w:rsidSect="004167D2">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55D" w:rsidRDefault="004167D2">
      <w:pPr>
        <w:spacing w:before="0" w:after="0"/>
      </w:pPr>
      <w:r>
        <w:separator/>
      </w:r>
    </w:p>
  </w:endnote>
  <w:endnote w:type="continuationSeparator" w:id="0">
    <w:p w:rsidR="0020655D" w:rsidRDefault="004167D2">
      <w:pPr>
        <w:spacing w:before="0" w:after="0"/>
      </w:pPr>
      <w:r>
        <w:continuationSeparator/>
      </w:r>
    </w:p>
  </w:endnote>
  <w:endnote w:type="continuationNotice" w:id="1">
    <w:p w:rsidR="0020655D" w:rsidRDefault="002065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D2" w:rsidRPr="004167D2" w:rsidRDefault="004167D2" w:rsidP="00416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5D" w:rsidRPr="004167D2" w:rsidRDefault="004167D2" w:rsidP="004167D2">
    <w:pPr>
      <w:pStyle w:val="Footer"/>
      <w:rPr>
        <w:rFonts w:ascii="Arial" w:hAnsi="Arial" w:cs="Arial"/>
        <w:b/>
        <w:sz w:val="48"/>
      </w:rPr>
    </w:pPr>
    <w:r w:rsidRPr="004167D2">
      <w:rPr>
        <w:rFonts w:ascii="Arial" w:hAnsi="Arial" w:cs="Arial"/>
        <w:b/>
        <w:sz w:val="48"/>
      </w:rPr>
      <w:t>BG</w:t>
    </w:r>
    <w:r w:rsidRPr="004167D2">
      <w:rPr>
        <w:rFonts w:ascii="Arial" w:hAnsi="Arial" w:cs="Arial"/>
        <w:b/>
        <w:sz w:val="48"/>
      </w:rPr>
      <w:tab/>
    </w:r>
    <w:r w:rsidRPr="004167D2">
      <w:rPr>
        <w:rFonts w:ascii="Arial" w:hAnsi="Arial" w:cs="Arial"/>
        <w:b/>
        <w:sz w:val="48"/>
      </w:rPr>
      <w:tab/>
    </w:r>
    <w:r w:rsidRPr="004167D2">
      <w:tab/>
    </w:r>
    <w:r w:rsidRPr="004167D2">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D2" w:rsidRPr="004167D2" w:rsidRDefault="004167D2" w:rsidP="004167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D2" w:rsidRPr="004167D2" w:rsidRDefault="004167D2" w:rsidP="004167D2">
    <w:pPr>
      <w:pStyle w:val="Footer"/>
      <w:rPr>
        <w:rFonts w:ascii="Arial" w:hAnsi="Arial" w:cs="Arial"/>
        <w:b/>
        <w:sz w:val="48"/>
      </w:rPr>
    </w:pPr>
    <w:r w:rsidRPr="004167D2">
      <w:rPr>
        <w:rFonts w:ascii="Arial" w:hAnsi="Arial" w:cs="Arial"/>
        <w:b/>
        <w:sz w:val="48"/>
      </w:rPr>
      <w:t>BG</w:t>
    </w:r>
    <w:r w:rsidRPr="004167D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167D2">
      <w:tab/>
    </w:r>
    <w:r w:rsidRPr="004167D2">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D2" w:rsidRPr="004167D2" w:rsidRDefault="004167D2" w:rsidP="00416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55D" w:rsidRDefault="004167D2">
      <w:pPr>
        <w:spacing w:before="0" w:after="0"/>
      </w:pPr>
      <w:r>
        <w:separator/>
      </w:r>
    </w:p>
  </w:footnote>
  <w:footnote w:type="continuationSeparator" w:id="0">
    <w:p w:rsidR="0020655D" w:rsidRDefault="004167D2">
      <w:pPr>
        <w:spacing w:before="0" w:after="0"/>
      </w:pPr>
      <w:r>
        <w:continuationSeparator/>
      </w:r>
    </w:p>
  </w:footnote>
  <w:footnote w:type="continuationNotice" w:id="1">
    <w:p w:rsidR="0020655D" w:rsidRDefault="0020655D">
      <w:pPr>
        <w:spacing w:before="0" w:after="0"/>
      </w:pPr>
    </w:p>
  </w:footnote>
  <w:footnote w:id="2">
    <w:p w:rsidR="0020655D" w:rsidRDefault="004167D2">
      <w:pPr>
        <w:pStyle w:val="FootnoteText"/>
        <w:rPr>
          <w:lang w:val="pt-PT"/>
        </w:rPr>
      </w:pPr>
      <w:r>
        <w:rPr>
          <w:rStyle w:val="FootnoteReference"/>
        </w:rPr>
        <w:footnoteRef/>
      </w:r>
      <w:r>
        <w:tab/>
        <w:t>ОВ L 209, 2.8.1997 г., стр. 1.</w:t>
      </w:r>
    </w:p>
  </w:footnote>
  <w:footnote w:id="3">
    <w:p w:rsidR="0020655D" w:rsidRDefault="004167D2">
      <w:pPr>
        <w:pStyle w:val="FootnoteText"/>
        <w:rPr>
          <w:lang w:val="pt-PT"/>
        </w:rPr>
      </w:pPr>
      <w:r>
        <w:rPr>
          <w:rStyle w:val="FootnoteReference"/>
        </w:rPr>
        <w:footnoteRef/>
      </w:r>
      <w:r>
        <w:tab/>
        <w:t>ОВ L 306, 23.11.2011 г., стр. 25.</w:t>
      </w:r>
    </w:p>
  </w:footnote>
  <w:footnote w:id="4">
    <w:p w:rsidR="0020655D" w:rsidRDefault="004167D2">
      <w:pPr>
        <w:pStyle w:val="FootnoteText"/>
        <w:rPr>
          <w:lang w:val="pt-PT"/>
        </w:rPr>
      </w:pPr>
      <w:r>
        <w:rPr>
          <w:rStyle w:val="FootnoteReference"/>
        </w:rPr>
        <w:footnoteRef/>
      </w:r>
      <w:r>
        <w:rPr>
          <w:lang w:val="pt-PT"/>
        </w:rPr>
        <w:tab/>
        <w:t>COM(2018) 407 final.</w:t>
      </w:r>
    </w:p>
  </w:footnote>
  <w:footnote w:id="5">
    <w:p w:rsidR="0020655D" w:rsidRDefault="004167D2">
      <w:pPr>
        <w:pStyle w:val="FootnoteText"/>
        <w:rPr>
          <w:lang w:val="pt-PT"/>
        </w:rPr>
      </w:pPr>
      <w:r>
        <w:rPr>
          <w:rStyle w:val="FootnoteReference"/>
        </w:rPr>
        <w:footnoteRef/>
      </w:r>
      <w:r>
        <w:rPr>
          <w:lang w:val="pt-PT"/>
        </w:rPr>
        <w:tab/>
        <w:t xml:space="preserve">P8_TA(2018)0077 </w:t>
      </w:r>
      <w:r>
        <w:t>и</w:t>
      </w:r>
      <w:r>
        <w:rPr>
          <w:lang w:val="pt-PT"/>
        </w:rPr>
        <w:t xml:space="preserve"> P8_TA(2018)0078. </w:t>
      </w:r>
    </w:p>
  </w:footnote>
  <w:footnote w:id="6">
    <w:p w:rsidR="0020655D" w:rsidRDefault="004167D2">
      <w:pPr>
        <w:pStyle w:val="FootnoteText"/>
        <w:rPr>
          <w:lang w:val="pt-PT"/>
        </w:rPr>
      </w:pPr>
      <w:r>
        <w:rPr>
          <w:rStyle w:val="FootnoteReference"/>
        </w:rPr>
        <w:footnoteRef/>
      </w:r>
      <w:r>
        <w:rPr>
          <w:lang w:val="pt-PT"/>
        </w:rPr>
        <w:tab/>
        <w:t>SWD(2018) 206 final.</w:t>
      </w:r>
    </w:p>
  </w:footnote>
  <w:footnote w:id="7">
    <w:p w:rsidR="0020655D" w:rsidRDefault="004167D2">
      <w:pPr>
        <w:pStyle w:val="FootnoteText"/>
        <w:tabs>
          <w:tab w:val="left" w:pos="709"/>
        </w:tabs>
        <w:rPr>
          <w:lang w:val="pt-PT"/>
        </w:rPr>
      </w:pPr>
      <w:r>
        <w:rPr>
          <w:rStyle w:val="FootnoteReference"/>
        </w:rPr>
        <w:footnoteRef/>
      </w:r>
      <w:r>
        <w:rPr>
          <w:lang w:val="pt-PT"/>
        </w:rPr>
        <w:tab/>
        <w:t xml:space="preserve">COM(2018) 120 </w:t>
      </w:r>
      <w:r>
        <w:rPr>
          <w:lang w:val="pt-PT"/>
        </w:rPr>
        <w:t>final.</w:t>
      </w:r>
    </w:p>
  </w:footnote>
  <w:footnote w:id="8">
    <w:p w:rsidR="0020655D" w:rsidRDefault="004167D2">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1303/2013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декември</w:t>
      </w:r>
      <w:r>
        <w:rPr>
          <w:lang w:val="pt-PT"/>
        </w:rPr>
        <w:t xml:space="preserve"> 2013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общоприложими</w:t>
      </w:r>
      <w:r>
        <w:rPr>
          <w:lang w:val="pt-PT"/>
        </w:rPr>
        <w:t xml:space="preserve"> </w:t>
      </w:r>
      <w:r>
        <w:t>разпоредби</w:t>
      </w:r>
      <w:r>
        <w:rPr>
          <w:lang w:val="pt-PT"/>
        </w:rPr>
        <w:t xml:space="preserve"> </w:t>
      </w:r>
      <w:r>
        <w:t>за</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регионално</w:t>
      </w:r>
      <w:r>
        <w:rPr>
          <w:lang w:val="pt-PT"/>
        </w:rPr>
        <w:t xml:space="preserve"> </w:t>
      </w:r>
      <w:r>
        <w:t>развитие</w:t>
      </w:r>
      <w:r>
        <w:rPr>
          <w:lang w:val="pt-PT"/>
        </w:rPr>
        <w:t xml:space="preserve">, </w:t>
      </w:r>
      <w:r>
        <w:t>Европейския</w:t>
      </w:r>
      <w:r>
        <w:rPr>
          <w:lang w:val="pt-PT"/>
        </w:rPr>
        <w:t xml:space="preserve"> </w:t>
      </w:r>
      <w:r>
        <w:t>социален</w:t>
      </w:r>
      <w:r>
        <w:rPr>
          <w:lang w:val="pt-PT"/>
        </w:rPr>
        <w:t xml:space="preserve"> </w:t>
      </w:r>
      <w:r>
        <w:t>фонд</w:t>
      </w:r>
      <w:r>
        <w:rPr>
          <w:lang w:val="pt-PT"/>
        </w:rPr>
        <w:t xml:space="preserve">, </w:t>
      </w:r>
      <w:r>
        <w:t>Кохезионния</w:t>
      </w:r>
      <w:r>
        <w:rPr>
          <w:lang w:val="pt-PT"/>
        </w:rPr>
        <w:t xml:space="preserve"> </w:t>
      </w:r>
      <w:r>
        <w:t>фонд</w:t>
      </w:r>
      <w:r>
        <w:rPr>
          <w:lang w:val="pt-PT"/>
        </w:rPr>
        <w:t xml:space="preserve">, </w:t>
      </w:r>
      <w:r>
        <w:t>Европейския</w:t>
      </w:r>
      <w:r>
        <w:rPr>
          <w:lang w:val="pt-PT"/>
        </w:rPr>
        <w:t xml:space="preserve"> </w:t>
      </w:r>
      <w:r>
        <w:t>земеделски</w:t>
      </w:r>
      <w:r>
        <w:rPr>
          <w:lang w:val="pt-PT"/>
        </w:rPr>
        <w:t xml:space="preserve"> </w:t>
      </w:r>
      <w:r>
        <w:t>фонд</w:t>
      </w:r>
      <w:r>
        <w:rPr>
          <w:lang w:val="pt-PT"/>
        </w:rPr>
        <w:t xml:space="preserve"> </w:t>
      </w:r>
      <w:r>
        <w:t>за</w:t>
      </w:r>
      <w:r>
        <w:rPr>
          <w:lang w:val="pt-PT"/>
        </w:rPr>
        <w:t xml:space="preserve"> </w:t>
      </w:r>
      <w:r>
        <w:t>развитие</w:t>
      </w:r>
      <w:r>
        <w:rPr>
          <w:lang w:val="pt-PT"/>
        </w:rPr>
        <w:t xml:space="preserve"> </w:t>
      </w:r>
      <w:r>
        <w:t>на</w:t>
      </w:r>
      <w:r>
        <w:rPr>
          <w:lang w:val="pt-PT"/>
        </w:rPr>
        <w:t xml:space="preserve"> </w:t>
      </w:r>
      <w:r>
        <w:t>селските</w:t>
      </w:r>
      <w:r>
        <w:rPr>
          <w:lang w:val="pt-PT"/>
        </w:rPr>
        <w:t xml:space="preserve"> </w:t>
      </w:r>
      <w:r>
        <w:t>райони</w:t>
      </w:r>
      <w:r>
        <w:rPr>
          <w:lang w:val="pt-PT"/>
        </w:rPr>
        <w:t xml:space="preserve"> </w:t>
      </w:r>
      <w:r>
        <w:t>и</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морско</w:t>
      </w:r>
      <w:r>
        <w:rPr>
          <w:lang w:val="pt-PT"/>
        </w:rPr>
        <w:t xml:space="preserve"> </w:t>
      </w:r>
      <w:r>
        <w:t>дело</w:t>
      </w:r>
      <w:r>
        <w:rPr>
          <w:lang w:val="pt-PT"/>
        </w:rPr>
        <w:t xml:space="preserve"> </w:t>
      </w:r>
      <w:r>
        <w:t>и</w:t>
      </w:r>
      <w:r>
        <w:rPr>
          <w:lang w:val="pt-PT"/>
        </w:rPr>
        <w:t xml:space="preserve"> </w:t>
      </w:r>
      <w:r>
        <w:t>рибарство</w:t>
      </w:r>
      <w:r>
        <w:rPr>
          <w:lang w:val="pt-PT"/>
        </w:rPr>
        <w:t xml:space="preserve"> </w:t>
      </w:r>
      <w:r>
        <w:t>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общи</w:t>
      </w:r>
      <w:r>
        <w:rPr>
          <w:lang w:val="pt-PT"/>
        </w:rPr>
        <w:t xml:space="preserve"> </w:t>
      </w:r>
      <w:r>
        <w:t>разпоредби</w:t>
      </w:r>
      <w:r>
        <w:rPr>
          <w:lang w:val="pt-PT"/>
        </w:rPr>
        <w:t xml:space="preserve"> </w:t>
      </w:r>
      <w:r>
        <w:t>за</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регионално</w:t>
      </w:r>
      <w:r>
        <w:rPr>
          <w:lang w:val="pt-PT"/>
        </w:rPr>
        <w:t xml:space="preserve"> </w:t>
      </w:r>
      <w:r>
        <w:t>развитие</w:t>
      </w:r>
      <w:r>
        <w:rPr>
          <w:lang w:val="pt-PT"/>
        </w:rPr>
        <w:t xml:space="preserve">, </w:t>
      </w:r>
      <w:r>
        <w:t>Европейския</w:t>
      </w:r>
      <w:r>
        <w:rPr>
          <w:lang w:val="pt-PT"/>
        </w:rPr>
        <w:t xml:space="preserve"> </w:t>
      </w:r>
      <w:r>
        <w:t>социален</w:t>
      </w:r>
      <w:r>
        <w:rPr>
          <w:lang w:val="pt-PT"/>
        </w:rPr>
        <w:t xml:space="preserve"> </w:t>
      </w:r>
      <w:r>
        <w:t>фонд</w:t>
      </w:r>
      <w:r>
        <w:rPr>
          <w:lang w:val="pt-PT"/>
        </w:rPr>
        <w:t xml:space="preserve">, </w:t>
      </w:r>
      <w:r>
        <w:t>Кохезионния</w:t>
      </w:r>
      <w:r>
        <w:rPr>
          <w:lang w:val="pt-PT"/>
        </w:rPr>
        <w:t xml:space="preserve"> </w:t>
      </w:r>
      <w:r>
        <w:t>фонд</w:t>
      </w:r>
      <w:r>
        <w:rPr>
          <w:lang w:val="pt-PT"/>
        </w:rPr>
        <w:t xml:space="preserve"> </w:t>
      </w:r>
      <w:r>
        <w:t>и</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морско</w:t>
      </w:r>
      <w:r>
        <w:rPr>
          <w:lang w:val="pt-PT"/>
        </w:rPr>
        <w:t xml:space="preserve"> </w:t>
      </w:r>
      <w:r>
        <w:t>дело</w:t>
      </w:r>
      <w:r>
        <w:rPr>
          <w:lang w:val="pt-PT"/>
        </w:rPr>
        <w:t xml:space="preserve"> </w:t>
      </w:r>
      <w:r>
        <w:t>и</w:t>
      </w:r>
      <w:r>
        <w:rPr>
          <w:lang w:val="pt-PT"/>
        </w:rPr>
        <w:t xml:space="preserve"> </w:t>
      </w:r>
      <w:r>
        <w:t>рибарство</w:t>
      </w:r>
      <w:r>
        <w:rPr>
          <w:lang w:val="pt-PT"/>
        </w:rPr>
        <w:t xml:space="preserve">, </w:t>
      </w:r>
      <w:r>
        <w:t>и</w:t>
      </w:r>
      <w:r>
        <w:rPr>
          <w:lang w:val="pt-PT"/>
        </w:rPr>
        <w:t xml:space="preserve"> </w:t>
      </w:r>
      <w:r>
        <w:t>за</w:t>
      </w:r>
      <w:r>
        <w:rPr>
          <w:lang w:val="pt-PT"/>
        </w:rPr>
        <w:t xml:space="preserve"> </w:t>
      </w:r>
      <w:r>
        <w:t>отмя</w:t>
      </w:r>
      <w:r>
        <w:t>на</w:t>
      </w:r>
      <w:r>
        <w:rPr>
          <w:lang w:val="pt-PT"/>
        </w:rPr>
        <w:t xml:space="preserve"> </w:t>
      </w:r>
      <w:r>
        <w:t>на</w:t>
      </w:r>
      <w:r>
        <w:rPr>
          <w:lang w:val="pt-PT"/>
        </w:rPr>
        <w:t xml:space="preserve"> </w:t>
      </w:r>
      <w:r>
        <w:t>Регламент</w:t>
      </w:r>
      <w:r>
        <w:rPr>
          <w:lang w:val="pt-PT"/>
        </w:rPr>
        <w:t xml:space="preserve"> (</w:t>
      </w:r>
      <w:r>
        <w:t>ЕС</w:t>
      </w:r>
      <w:r>
        <w:rPr>
          <w:lang w:val="pt-PT"/>
        </w:rPr>
        <w:t xml:space="preserve">) № 1083/2006 </w:t>
      </w:r>
      <w:r>
        <w:t>на</w:t>
      </w:r>
      <w:r>
        <w:rPr>
          <w:lang w:val="pt-PT"/>
        </w:rPr>
        <w:t xml:space="preserve"> </w:t>
      </w:r>
      <w:r>
        <w:t>Съвета</w:t>
      </w:r>
      <w:r>
        <w:rPr>
          <w:lang w:val="pt-PT"/>
        </w:rPr>
        <w:t xml:space="preserve"> (</w:t>
      </w:r>
      <w:r>
        <w:t>ОВ</w:t>
      </w:r>
      <w:r>
        <w:rPr>
          <w:lang w:val="pt-PT"/>
        </w:rPr>
        <w:t xml:space="preserve"> L 347, 20.12.2013 </w:t>
      </w:r>
      <w:r>
        <w:t>г</w:t>
      </w:r>
      <w:r>
        <w:rPr>
          <w:lang w:val="pt-PT"/>
        </w:rPr>
        <w:t xml:space="preserve">., </w:t>
      </w:r>
      <w:r>
        <w:t>стр</w:t>
      </w:r>
      <w:r>
        <w:rPr>
          <w:lang w:val="pt-PT"/>
        </w:rPr>
        <w:t>. 320).</w:t>
      </w:r>
    </w:p>
  </w:footnote>
  <w:footnote w:id="9">
    <w:p w:rsidR="0020655D" w:rsidRDefault="004167D2">
      <w:pPr>
        <w:pStyle w:val="FootnoteText"/>
        <w:rPr>
          <w:lang w:val="pt-PT"/>
        </w:rPr>
      </w:pPr>
      <w:r>
        <w:rPr>
          <w:rStyle w:val="FootnoteReference"/>
        </w:rPr>
        <w:footnoteRef/>
      </w:r>
      <w:r>
        <w:rPr>
          <w:lang w:val="pt-PT"/>
        </w:rPr>
        <w:tab/>
        <w:t>COM(2014) 494 final.</w:t>
      </w:r>
    </w:p>
  </w:footnote>
  <w:footnote w:id="10">
    <w:p w:rsidR="0020655D" w:rsidRDefault="004167D2">
      <w:pPr>
        <w:pStyle w:val="FootnoteText"/>
        <w:rPr>
          <w:lang w:val="pt-PT"/>
        </w:rPr>
      </w:pPr>
      <w:r>
        <w:rPr>
          <w:rStyle w:val="FootnoteReference"/>
        </w:rPr>
        <w:footnoteRef/>
      </w:r>
      <w:r>
        <w:rPr>
          <w:lang w:val="pt-PT"/>
        </w:rPr>
        <w:tab/>
      </w:r>
      <w:r>
        <w:t>Нетните</w:t>
      </w:r>
      <w:r>
        <w:rPr>
          <w:lang w:val="pt-PT"/>
        </w:rPr>
        <w:t xml:space="preserve"> </w:t>
      </w:r>
      <w:r>
        <w:t>първични</w:t>
      </w:r>
      <w:r>
        <w:rPr>
          <w:lang w:val="pt-PT"/>
        </w:rPr>
        <w:t xml:space="preserve"> </w:t>
      </w:r>
      <w:r>
        <w:t>разходи</w:t>
      </w:r>
      <w:r>
        <w:rPr>
          <w:lang w:val="pt-PT"/>
        </w:rPr>
        <w:t xml:space="preserve"> </w:t>
      </w:r>
      <w:r>
        <w:t>на</w:t>
      </w:r>
      <w:r>
        <w:rPr>
          <w:lang w:val="pt-PT"/>
        </w:rPr>
        <w:t xml:space="preserve"> </w:t>
      </w:r>
      <w:r>
        <w:t>държавното</w:t>
      </w:r>
      <w:r>
        <w:rPr>
          <w:lang w:val="pt-PT"/>
        </w:rPr>
        <w:t xml:space="preserve"> </w:t>
      </w:r>
      <w:r>
        <w:t>управление</w:t>
      </w:r>
      <w:r>
        <w:rPr>
          <w:lang w:val="pt-PT"/>
        </w:rPr>
        <w:t xml:space="preserve"> </w:t>
      </w:r>
      <w:r>
        <w:t>се</w:t>
      </w:r>
      <w:r>
        <w:rPr>
          <w:lang w:val="pt-PT"/>
        </w:rPr>
        <w:t xml:space="preserve"> </w:t>
      </w:r>
      <w:r>
        <w:t>състоят</w:t>
      </w:r>
      <w:r>
        <w:rPr>
          <w:lang w:val="pt-PT"/>
        </w:rPr>
        <w:t xml:space="preserve"> </w:t>
      </w:r>
      <w:r>
        <w:t>от</w:t>
      </w:r>
      <w:r>
        <w:rPr>
          <w:lang w:val="pt-PT"/>
        </w:rPr>
        <w:t xml:space="preserve"> </w:t>
      </w:r>
      <w:r>
        <w:t>общите</w:t>
      </w:r>
      <w:r>
        <w:rPr>
          <w:lang w:val="pt-PT"/>
        </w:rPr>
        <w:t xml:space="preserve"> </w:t>
      </w:r>
      <w:r>
        <w:t>държавни</w:t>
      </w:r>
      <w:r>
        <w:rPr>
          <w:lang w:val="pt-PT"/>
        </w:rPr>
        <w:t xml:space="preserve"> </w:t>
      </w:r>
      <w:r>
        <w:t>разходи</w:t>
      </w:r>
      <w:r>
        <w:rPr>
          <w:lang w:val="pt-PT"/>
        </w:rPr>
        <w:t xml:space="preserve"> </w:t>
      </w:r>
      <w:r>
        <w:t>с</w:t>
      </w:r>
      <w:r>
        <w:rPr>
          <w:lang w:val="pt-PT"/>
        </w:rPr>
        <w:t xml:space="preserve"> </w:t>
      </w:r>
      <w:r>
        <w:t>изключение</w:t>
      </w:r>
      <w:r>
        <w:rPr>
          <w:lang w:val="pt-PT"/>
        </w:rPr>
        <w:t xml:space="preserve"> </w:t>
      </w:r>
      <w:r>
        <w:t>на</w:t>
      </w:r>
      <w:r>
        <w:rPr>
          <w:lang w:val="pt-PT"/>
        </w:rPr>
        <w:t xml:space="preserve"> </w:t>
      </w:r>
      <w:r>
        <w:t>разходите</w:t>
      </w:r>
      <w:r>
        <w:rPr>
          <w:lang w:val="pt-PT"/>
        </w:rPr>
        <w:t xml:space="preserve"> </w:t>
      </w:r>
      <w:r>
        <w:t>за</w:t>
      </w:r>
      <w:r>
        <w:rPr>
          <w:lang w:val="pt-PT"/>
        </w:rPr>
        <w:t xml:space="preserve"> </w:t>
      </w:r>
      <w:r>
        <w:t>лихви</w:t>
      </w:r>
      <w:r>
        <w:rPr>
          <w:lang w:val="pt-PT"/>
        </w:rPr>
        <w:t xml:space="preserve">, </w:t>
      </w:r>
      <w:r>
        <w:t>разходите</w:t>
      </w:r>
      <w:r>
        <w:rPr>
          <w:lang w:val="pt-PT"/>
        </w:rPr>
        <w:t xml:space="preserve"> </w:t>
      </w:r>
      <w:r>
        <w:t>по</w:t>
      </w:r>
      <w:r>
        <w:rPr>
          <w:lang w:val="pt-PT"/>
        </w:rPr>
        <w:t xml:space="preserve"> </w:t>
      </w:r>
      <w:r>
        <w:t>програми</w:t>
      </w:r>
      <w:r>
        <w:rPr>
          <w:lang w:val="pt-PT"/>
        </w:rPr>
        <w:t xml:space="preserve"> </w:t>
      </w:r>
      <w:r>
        <w:t>на</w:t>
      </w:r>
      <w:r>
        <w:rPr>
          <w:lang w:val="pt-PT"/>
        </w:rPr>
        <w:t xml:space="preserve"> </w:t>
      </w:r>
      <w:r>
        <w:t>Съюза</w:t>
      </w:r>
      <w:r>
        <w:rPr>
          <w:lang w:val="pt-PT"/>
        </w:rPr>
        <w:t xml:space="preserve">, </w:t>
      </w:r>
      <w:r>
        <w:t>които</w:t>
      </w:r>
      <w:r>
        <w:rPr>
          <w:lang w:val="pt-PT"/>
        </w:rPr>
        <w:t xml:space="preserve"> </w:t>
      </w:r>
      <w:r>
        <w:t>изцяло</w:t>
      </w:r>
      <w:r>
        <w:rPr>
          <w:lang w:val="pt-PT"/>
        </w:rPr>
        <w:t xml:space="preserve"> </w:t>
      </w:r>
      <w:r>
        <w:t>се</w:t>
      </w:r>
      <w:r>
        <w:rPr>
          <w:lang w:val="pt-PT"/>
        </w:rPr>
        <w:t xml:space="preserve"> </w:t>
      </w:r>
      <w:r>
        <w:t>покриват</w:t>
      </w:r>
      <w:r>
        <w:rPr>
          <w:lang w:val="pt-PT"/>
        </w:rPr>
        <w:t xml:space="preserve"> </w:t>
      </w:r>
      <w:r>
        <w:t>от</w:t>
      </w:r>
      <w:r>
        <w:rPr>
          <w:lang w:val="pt-PT"/>
        </w:rPr>
        <w:t xml:space="preserve"> </w:t>
      </w:r>
      <w:r>
        <w:t>приходи</w:t>
      </w:r>
      <w:r>
        <w:rPr>
          <w:lang w:val="pt-PT"/>
        </w:rPr>
        <w:t xml:space="preserve"> </w:t>
      </w:r>
      <w:r>
        <w:t>от</w:t>
      </w:r>
      <w:r>
        <w:rPr>
          <w:lang w:val="pt-PT"/>
        </w:rPr>
        <w:t xml:space="preserve"> </w:t>
      </w:r>
      <w:r>
        <w:t>фондове</w:t>
      </w:r>
      <w:r>
        <w:rPr>
          <w:lang w:val="pt-PT"/>
        </w:rPr>
        <w:t xml:space="preserve"> </w:t>
      </w:r>
      <w:r>
        <w:t>на</w:t>
      </w:r>
      <w:r>
        <w:rPr>
          <w:lang w:val="pt-PT"/>
        </w:rPr>
        <w:t xml:space="preserve"> </w:t>
      </w:r>
      <w:r>
        <w:t>Съюза</w:t>
      </w:r>
      <w:r>
        <w:rPr>
          <w:lang w:val="pt-PT"/>
        </w:rPr>
        <w:t xml:space="preserve">, </w:t>
      </w:r>
      <w:r>
        <w:t>и</w:t>
      </w:r>
      <w:r>
        <w:rPr>
          <w:lang w:val="pt-PT"/>
        </w:rPr>
        <w:t xml:space="preserve"> </w:t>
      </w:r>
      <w:r>
        <w:t>недискреционните</w:t>
      </w:r>
      <w:r>
        <w:rPr>
          <w:lang w:val="pt-PT"/>
        </w:rPr>
        <w:t xml:space="preserve"> </w:t>
      </w:r>
      <w:r>
        <w:t>промени</w:t>
      </w:r>
      <w:r>
        <w:rPr>
          <w:lang w:val="pt-PT"/>
        </w:rPr>
        <w:t xml:space="preserve"> </w:t>
      </w:r>
      <w:r>
        <w:t>в</w:t>
      </w:r>
      <w:r>
        <w:rPr>
          <w:lang w:val="pt-PT"/>
        </w:rPr>
        <w:t xml:space="preserve"> </w:t>
      </w:r>
      <w:r>
        <w:t>разходите</w:t>
      </w:r>
      <w:r>
        <w:rPr>
          <w:lang w:val="pt-PT"/>
        </w:rPr>
        <w:t xml:space="preserve"> </w:t>
      </w:r>
      <w:r>
        <w:t>за</w:t>
      </w:r>
      <w:r>
        <w:rPr>
          <w:lang w:val="pt-PT"/>
        </w:rPr>
        <w:t xml:space="preserve"> </w:t>
      </w:r>
      <w:r>
        <w:t>обезщетения</w:t>
      </w:r>
      <w:r>
        <w:rPr>
          <w:lang w:val="pt-PT"/>
        </w:rPr>
        <w:t xml:space="preserve"> </w:t>
      </w:r>
      <w:r>
        <w:t>при</w:t>
      </w:r>
      <w:r>
        <w:rPr>
          <w:lang w:val="pt-PT"/>
        </w:rPr>
        <w:t xml:space="preserve"> </w:t>
      </w:r>
      <w:r>
        <w:t>безработица</w:t>
      </w:r>
      <w:r>
        <w:rPr>
          <w:lang w:val="pt-PT"/>
        </w:rPr>
        <w:t xml:space="preserve">. </w:t>
      </w:r>
      <w:r>
        <w:t>Държавните</w:t>
      </w:r>
      <w:r>
        <w:rPr>
          <w:lang w:val="pt-PT"/>
        </w:rPr>
        <w:t xml:space="preserve"> </w:t>
      </w:r>
      <w:r>
        <w:t>разходи</w:t>
      </w:r>
      <w:r>
        <w:rPr>
          <w:lang w:val="pt-PT"/>
        </w:rPr>
        <w:t xml:space="preserve"> </w:t>
      </w:r>
      <w:r>
        <w:t>за</w:t>
      </w:r>
      <w:r>
        <w:rPr>
          <w:lang w:val="pt-PT"/>
        </w:rPr>
        <w:t xml:space="preserve"> </w:t>
      </w:r>
      <w:r>
        <w:t>бруто</w:t>
      </w:r>
      <w:r>
        <w:rPr>
          <w:lang w:val="pt-PT"/>
        </w:rPr>
        <w:t xml:space="preserve"> </w:t>
      </w:r>
      <w:r>
        <w:t>образуване</w:t>
      </w:r>
      <w:r>
        <w:rPr>
          <w:lang w:val="pt-PT"/>
        </w:rPr>
        <w:t xml:space="preserve"> </w:t>
      </w:r>
      <w:r>
        <w:t>на</w:t>
      </w:r>
      <w:r>
        <w:rPr>
          <w:lang w:val="pt-PT"/>
        </w:rPr>
        <w:t xml:space="preserve"> </w:t>
      </w:r>
      <w:r>
        <w:t>основен</w:t>
      </w:r>
      <w:r>
        <w:rPr>
          <w:lang w:val="pt-PT"/>
        </w:rPr>
        <w:t xml:space="preserve"> </w:t>
      </w:r>
      <w:r>
        <w:t>капитал</w:t>
      </w:r>
      <w:r>
        <w:rPr>
          <w:lang w:val="pt-PT"/>
        </w:rPr>
        <w:t xml:space="preserve"> </w:t>
      </w:r>
      <w:r>
        <w:t>се</w:t>
      </w:r>
      <w:r>
        <w:rPr>
          <w:lang w:val="pt-PT"/>
        </w:rPr>
        <w:t xml:space="preserve"> </w:t>
      </w:r>
      <w:r>
        <w:t>изглаждат</w:t>
      </w:r>
      <w:r>
        <w:rPr>
          <w:lang w:val="pt-PT"/>
        </w:rPr>
        <w:t xml:space="preserve"> </w:t>
      </w:r>
      <w:r>
        <w:t>за</w:t>
      </w:r>
      <w:r>
        <w:rPr>
          <w:lang w:val="pt-PT"/>
        </w:rPr>
        <w:t xml:space="preserve"> </w:t>
      </w:r>
      <w:r>
        <w:t>период</w:t>
      </w:r>
      <w:r>
        <w:rPr>
          <w:lang w:val="pt-PT"/>
        </w:rPr>
        <w:t xml:space="preserve"> </w:t>
      </w:r>
      <w:r>
        <w:t>от</w:t>
      </w:r>
      <w:r>
        <w:rPr>
          <w:lang w:val="pt-PT"/>
        </w:rPr>
        <w:t xml:space="preserve"> 4 </w:t>
      </w:r>
      <w:r>
        <w:t>години</w:t>
      </w:r>
      <w:r>
        <w:rPr>
          <w:lang w:val="pt-PT"/>
        </w:rPr>
        <w:t xml:space="preserve">. </w:t>
      </w:r>
      <w:r>
        <w:t>Дискреционните</w:t>
      </w:r>
      <w:r>
        <w:rPr>
          <w:lang w:val="pt-PT"/>
        </w:rPr>
        <w:t xml:space="preserve"> </w:t>
      </w:r>
      <w:r>
        <w:t>мерки</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приходите</w:t>
      </w:r>
      <w:r>
        <w:rPr>
          <w:lang w:val="pt-PT"/>
        </w:rPr>
        <w:t xml:space="preserve"> </w:t>
      </w:r>
      <w:r>
        <w:t>и</w:t>
      </w:r>
      <w:r>
        <w:rPr>
          <w:lang w:val="pt-PT"/>
        </w:rPr>
        <w:t xml:space="preserve"> </w:t>
      </w:r>
      <w:r>
        <w:t>предвиденото</w:t>
      </w:r>
      <w:r>
        <w:rPr>
          <w:lang w:val="pt-PT"/>
        </w:rPr>
        <w:t xml:space="preserve"> </w:t>
      </w:r>
      <w:r>
        <w:t>по</w:t>
      </w:r>
      <w:r>
        <w:rPr>
          <w:lang w:val="pt-PT"/>
        </w:rPr>
        <w:t xml:space="preserve"> </w:t>
      </w:r>
      <w:r>
        <w:t>закон</w:t>
      </w:r>
      <w:r>
        <w:rPr>
          <w:lang w:val="pt-PT"/>
        </w:rPr>
        <w:t xml:space="preserve"> </w:t>
      </w:r>
      <w:r>
        <w:t>увеличаване</w:t>
      </w:r>
      <w:r>
        <w:rPr>
          <w:lang w:val="pt-PT"/>
        </w:rPr>
        <w:t xml:space="preserve"> </w:t>
      </w:r>
      <w:r>
        <w:t>на</w:t>
      </w:r>
      <w:r>
        <w:rPr>
          <w:lang w:val="pt-PT"/>
        </w:rPr>
        <w:t xml:space="preserve"> </w:t>
      </w:r>
      <w:r>
        <w:t>приходите</w:t>
      </w:r>
      <w:r>
        <w:rPr>
          <w:lang w:val="pt-PT"/>
        </w:rPr>
        <w:t xml:space="preserve"> </w:t>
      </w:r>
      <w:r>
        <w:t>са</w:t>
      </w:r>
      <w:r>
        <w:rPr>
          <w:lang w:val="pt-PT"/>
        </w:rPr>
        <w:t xml:space="preserve"> </w:t>
      </w:r>
      <w:r>
        <w:t>взети</w:t>
      </w:r>
      <w:r>
        <w:rPr>
          <w:lang w:val="pt-PT"/>
        </w:rPr>
        <w:t xml:space="preserve"> </w:t>
      </w:r>
      <w:r>
        <w:t>предвид</w:t>
      </w:r>
      <w:r>
        <w:rPr>
          <w:lang w:val="pt-PT"/>
        </w:rPr>
        <w:t xml:space="preserve">. </w:t>
      </w:r>
      <w:r>
        <w:t>Еднократните</w:t>
      </w:r>
      <w:r>
        <w:rPr>
          <w:lang w:val="pt-PT"/>
        </w:rPr>
        <w:t xml:space="preserve"> </w:t>
      </w:r>
      <w:r>
        <w:t>мерки</w:t>
      </w:r>
      <w:r>
        <w:rPr>
          <w:lang w:val="pt-PT"/>
        </w:rPr>
        <w:t xml:space="preserve"> </w:t>
      </w:r>
      <w:r>
        <w:t>по</w:t>
      </w:r>
      <w:r>
        <w:rPr>
          <w:lang w:val="pt-PT"/>
        </w:rPr>
        <w:t xml:space="preserve"> </w:t>
      </w:r>
      <w:r>
        <w:t>отношение</w:t>
      </w:r>
      <w:r>
        <w:rPr>
          <w:lang w:val="pt-PT"/>
        </w:rPr>
        <w:t xml:space="preserve"> </w:t>
      </w:r>
      <w:r>
        <w:t>както</w:t>
      </w:r>
      <w:r>
        <w:rPr>
          <w:lang w:val="pt-PT"/>
        </w:rPr>
        <w:t xml:space="preserve"> </w:t>
      </w:r>
      <w:r>
        <w:t>на</w:t>
      </w:r>
      <w:r>
        <w:rPr>
          <w:lang w:val="pt-PT"/>
        </w:rPr>
        <w:t xml:space="preserve"> </w:t>
      </w:r>
      <w:r>
        <w:t>приходите</w:t>
      </w:r>
      <w:r>
        <w:rPr>
          <w:lang w:val="pt-PT"/>
        </w:rPr>
        <w:t xml:space="preserve">, </w:t>
      </w:r>
      <w:r>
        <w:t>така</w:t>
      </w:r>
      <w:r>
        <w:rPr>
          <w:lang w:val="pt-PT"/>
        </w:rPr>
        <w:t xml:space="preserve"> </w:t>
      </w:r>
      <w:r>
        <w:t>и</w:t>
      </w:r>
      <w:r>
        <w:rPr>
          <w:lang w:val="pt-PT"/>
        </w:rPr>
        <w:t xml:space="preserve"> </w:t>
      </w:r>
      <w:r>
        <w:t>на</w:t>
      </w:r>
      <w:r>
        <w:rPr>
          <w:lang w:val="pt-PT"/>
        </w:rPr>
        <w:t xml:space="preserve"> </w:t>
      </w:r>
      <w:r>
        <w:t>разходите</w:t>
      </w:r>
      <w:r>
        <w:rPr>
          <w:lang w:val="pt-PT"/>
        </w:rPr>
        <w:t xml:space="preserve">, </w:t>
      </w:r>
      <w:r>
        <w:t>са</w:t>
      </w:r>
      <w:r>
        <w:rPr>
          <w:lang w:val="pt-PT"/>
        </w:rPr>
        <w:t xml:space="preserve"> </w:t>
      </w:r>
      <w:r>
        <w:t>нетирани</w:t>
      </w:r>
      <w:r>
        <w:rPr>
          <w:lang w:val="pt-PT"/>
        </w:rPr>
        <w:t xml:space="preserve">. </w:t>
      </w:r>
      <w:r>
        <w:t>Целевият</w:t>
      </w:r>
      <w:r>
        <w:rPr>
          <w:lang w:val="pt-PT"/>
        </w:rPr>
        <w:t xml:space="preserve"> </w:t>
      </w:r>
      <w:r>
        <w:t>показател</w:t>
      </w:r>
      <w:r>
        <w:rPr>
          <w:lang w:val="pt-PT"/>
        </w:rPr>
        <w:t xml:space="preserve"> </w:t>
      </w:r>
      <w:r>
        <w:t>за</w:t>
      </w:r>
      <w:r>
        <w:rPr>
          <w:lang w:val="pt-PT"/>
        </w:rPr>
        <w:t xml:space="preserve"> </w:t>
      </w:r>
      <w:r>
        <w:t>разходите</w:t>
      </w:r>
      <w:r>
        <w:rPr>
          <w:lang w:val="pt-PT"/>
        </w:rPr>
        <w:t xml:space="preserve"> </w:t>
      </w:r>
      <w:r>
        <w:t>за</w:t>
      </w:r>
      <w:r>
        <w:rPr>
          <w:lang w:val="pt-PT"/>
        </w:rPr>
        <w:t xml:space="preserve"> </w:t>
      </w:r>
      <w:r>
        <w:t>Ирландия</w:t>
      </w:r>
      <w:r>
        <w:rPr>
          <w:lang w:val="pt-PT"/>
        </w:rPr>
        <w:t xml:space="preserve"> </w:t>
      </w:r>
      <w:r>
        <w:t>отразява</w:t>
      </w:r>
      <w:r>
        <w:rPr>
          <w:lang w:val="pt-PT"/>
        </w:rPr>
        <w:t xml:space="preserve"> </w:t>
      </w:r>
      <w:r>
        <w:t>корекция</w:t>
      </w:r>
      <w:r>
        <w:rPr>
          <w:lang w:val="pt-PT"/>
        </w:rPr>
        <w:t xml:space="preserve"> </w:t>
      </w:r>
      <w:r>
        <w:t>с</w:t>
      </w:r>
      <w:r>
        <w:rPr>
          <w:lang w:val="pt-PT"/>
        </w:rPr>
        <w:t xml:space="preserve"> </w:t>
      </w:r>
      <w:r>
        <w:t>цел</w:t>
      </w:r>
      <w:r>
        <w:rPr>
          <w:lang w:val="pt-PT"/>
        </w:rPr>
        <w:t xml:space="preserve"> </w:t>
      </w:r>
      <w:r>
        <w:t>да</w:t>
      </w:r>
      <w:r>
        <w:rPr>
          <w:lang w:val="pt-PT"/>
        </w:rPr>
        <w:t xml:space="preserve"> </w:t>
      </w:r>
      <w:r>
        <w:t>се</w:t>
      </w:r>
      <w:r>
        <w:rPr>
          <w:lang w:val="pt-PT"/>
        </w:rPr>
        <w:t xml:space="preserve"> </w:t>
      </w:r>
      <w:r>
        <w:t>коригира</w:t>
      </w:r>
      <w:r>
        <w:rPr>
          <w:lang w:val="pt-PT"/>
        </w:rPr>
        <w:t xml:space="preserve"> </w:t>
      </w:r>
      <w:r>
        <w:t>изкривяване</w:t>
      </w:r>
      <w:r>
        <w:rPr>
          <w:lang w:val="pt-PT"/>
        </w:rPr>
        <w:t xml:space="preserve"> </w:t>
      </w:r>
      <w:r>
        <w:t>в</w:t>
      </w:r>
      <w:r>
        <w:rPr>
          <w:lang w:val="pt-PT"/>
        </w:rPr>
        <w:t xml:space="preserve"> 10-</w:t>
      </w:r>
      <w:r>
        <w:t>годишния</w:t>
      </w:r>
      <w:r>
        <w:rPr>
          <w:lang w:val="pt-PT"/>
        </w:rPr>
        <w:t xml:space="preserve"> </w:t>
      </w:r>
      <w:r>
        <w:t>референтен</w:t>
      </w:r>
      <w:r>
        <w:rPr>
          <w:lang w:val="pt-PT"/>
        </w:rPr>
        <w:t xml:space="preserve"> </w:t>
      </w:r>
      <w:r>
        <w:t>темп</w:t>
      </w:r>
      <w:r>
        <w:rPr>
          <w:lang w:val="pt-PT"/>
        </w:rPr>
        <w:t xml:space="preserve"> </w:t>
      </w:r>
      <w:r>
        <w:t>на</w:t>
      </w:r>
      <w:r>
        <w:rPr>
          <w:lang w:val="pt-PT"/>
        </w:rPr>
        <w:t xml:space="preserve"> </w:t>
      </w:r>
      <w:r>
        <w:t>потенциалния</w:t>
      </w:r>
      <w:r>
        <w:rPr>
          <w:lang w:val="pt-PT"/>
        </w:rPr>
        <w:t xml:space="preserve"> </w:t>
      </w:r>
      <w:r>
        <w:t>растеж</w:t>
      </w:r>
      <w:r>
        <w:rPr>
          <w:lang w:val="pt-PT"/>
        </w:rPr>
        <w:t xml:space="preserve">, </w:t>
      </w:r>
      <w:r>
        <w:t>породено</w:t>
      </w:r>
      <w:r>
        <w:rPr>
          <w:lang w:val="pt-PT"/>
        </w:rPr>
        <w:t xml:space="preserve"> </w:t>
      </w:r>
      <w:r>
        <w:t>от</w:t>
      </w:r>
      <w:r>
        <w:rPr>
          <w:lang w:val="pt-PT"/>
        </w:rPr>
        <w:t xml:space="preserve"> </w:t>
      </w:r>
      <w:r>
        <w:t>изключително</w:t>
      </w:r>
      <w:r>
        <w:rPr>
          <w:lang w:val="pt-PT"/>
        </w:rPr>
        <w:t xml:space="preserve"> </w:t>
      </w:r>
      <w:r>
        <w:t>високия</w:t>
      </w:r>
      <w:r>
        <w:rPr>
          <w:lang w:val="pt-PT"/>
        </w:rPr>
        <w:t xml:space="preserve"> </w:t>
      </w:r>
      <w:r>
        <w:t>ръст</w:t>
      </w:r>
      <w:r>
        <w:rPr>
          <w:lang w:val="pt-PT"/>
        </w:rPr>
        <w:t xml:space="preserve"> </w:t>
      </w:r>
      <w:r>
        <w:t>на</w:t>
      </w:r>
      <w:r>
        <w:rPr>
          <w:lang w:val="pt-PT"/>
        </w:rPr>
        <w:t xml:space="preserve"> </w:t>
      </w:r>
      <w:r>
        <w:t>растежа</w:t>
      </w:r>
      <w:r>
        <w:rPr>
          <w:lang w:val="pt-PT"/>
        </w:rPr>
        <w:t xml:space="preserve"> </w:t>
      </w:r>
      <w:r>
        <w:t>на</w:t>
      </w:r>
      <w:r>
        <w:rPr>
          <w:lang w:val="pt-PT"/>
        </w:rPr>
        <w:t xml:space="preserve"> </w:t>
      </w:r>
      <w:r>
        <w:t>реалния</w:t>
      </w:r>
      <w:r>
        <w:rPr>
          <w:lang w:val="pt-PT"/>
        </w:rPr>
        <w:t xml:space="preserve"> </w:t>
      </w:r>
      <w:r>
        <w:t>БВП</w:t>
      </w:r>
      <w:r>
        <w:rPr>
          <w:lang w:val="pt-PT"/>
        </w:rPr>
        <w:t xml:space="preserve"> </w:t>
      </w:r>
      <w:r>
        <w:t>през</w:t>
      </w:r>
      <w:r>
        <w:rPr>
          <w:lang w:val="pt-PT"/>
        </w:rPr>
        <w:t xml:space="preserve"> 2015 </w:t>
      </w:r>
      <w:r>
        <w:t>г</w:t>
      </w:r>
      <w:r>
        <w:rPr>
          <w:lang w:val="pt-PT"/>
        </w:rPr>
        <w:t xml:space="preserve">. </w:t>
      </w:r>
      <w:r>
        <w:t>Следвайки</w:t>
      </w:r>
      <w:r>
        <w:rPr>
          <w:lang w:val="pt-PT"/>
        </w:rPr>
        <w:t xml:space="preserve"> </w:t>
      </w:r>
      <w:r>
        <w:t>подхода</w:t>
      </w:r>
      <w:r>
        <w:rPr>
          <w:lang w:val="pt-PT"/>
        </w:rPr>
        <w:t xml:space="preserve">, </w:t>
      </w:r>
      <w:r>
        <w:t>възприет</w:t>
      </w:r>
      <w:r>
        <w:rPr>
          <w:lang w:val="pt-PT"/>
        </w:rPr>
        <w:t xml:space="preserve"> </w:t>
      </w:r>
      <w:r>
        <w:t>от</w:t>
      </w:r>
      <w:r>
        <w:rPr>
          <w:lang w:val="pt-PT"/>
        </w:rPr>
        <w:t xml:space="preserve"> </w:t>
      </w:r>
      <w:r>
        <w:t>ирландските</w:t>
      </w:r>
      <w:r>
        <w:rPr>
          <w:lang w:val="pt-PT"/>
        </w:rPr>
        <w:t xml:space="preserve"> </w:t>
      </w:r>
      <w:r>
        <w:t>органи</w:t>
      </w:r>
      <w:r>
        <w:rPr>
          <w:lang w:val="pt-PT"/>
        </w:rPr>
        <w:t xml:space="preserve"> </w:t>
      </w:r>
      <w:r>
        <w:t>в</w:t>
      </w:r>
      <w:r>
        <w:rPr>
          <w:lang w:val="pt-PT"/>
        </w:rPr>
        <w:t xml:space="preserve"> </w:t>
      </w:r>
      <w:r>
        <w:t>техните</w:t>
      </w:r>
      <w:r>
        <w:rPr>
          <w:lang w:val="pt-PT"/>
        </w:rPr>
        <w:t xml:space="preserve"> </w:t>
      </w:r>
      <w:r>
        <w:t>изчисления</w:t>
      </w:r>
      <w:r>
        <w:rPr>
          <w:lang w:val="pt-PT"/>
        </w:rPr>
        <w:t xml:space="preserve"> </w:t>
      </w:r>
      <w:r>
        <w:t>за</w:t>
      </w:r>
      <w:r>
        <w:rPr>
          <w:lang w:val="pt-PT"/>
        </w:rPr>
        <w:t xml:space="preserve"> </w:t>
      </w:r>
      <w:r>
        <w:t>бюджета</w:t>
      </w:r>
      <w:r>
        <w:rPr>
          <w:lang w:val="pt-PT"/>
        </w:rPr>
        <w:t xml:space="preserve"> </w:t>
      </w:r>
      <w:r>
        <w:t>за</w:t>
      </w:r>
      <w:r>
        <w:rPr>
          <w:lang w:val="pt-PT"/>
        </w:rPr>
        <w:t xml:space="preserve"> 2017 </w:t>
      </w:r>
      <w:r>
        <w:t>г</w:t>
      </w:r>
      <w:r>
        <w:rPr>
          <w:lang w:val="pt-PT"/>
        </w:rPr>
        <w:t xml:space="preserve">., </w:t>
      </w:r>
      <w:r>
        <w:t>Комисията</w:t>
      </w:r>
      <w:r>
        <w:rPr>
          <w:lang w:val="pt-PT"/>
        </w:rPr>
        <w:t xml:space="preserve"> </w:t>
      </w:r>
      <w:r>
        <w:t>използва</w:t>
      </w:r>
      <w:r>
        <w:rPr>
          <w:lang w:val="pt-PT"/>
        </w:rPr>
        <w:t xml:space="preserve"> </w:t>
      </w:r>
      <w:r>
        <w:t>средната</w:t>
      </w:r>
      <w:r>
        <w:rPr>
          <w:lang w:val="pt-PT"/>
        </w:rPr>
        <w:t xml:space="preserve"> </w:t>
      </w:r>
      <w:r>
        <w:t>стойност</w:t>
      </w:r>
      <w:r>
        <w:rPr>
          <w:lang w:val="pt-PT"/>
        </w:rPr>
        <w:t xml:space="preserve"> </w:t>
      </w:r>
      <w:r>
        <w:t>на</w:t>
      </w:r>
      <w:r>
        <w:rPr>
          <w:lang w:val="pt-PT"/>
        </w:rPr>
        <w:t xml:space="preserve"> </w:t>
      </w:r>
      <w:r>
        <w:t>потенциалния</w:t>
      </w:r>
      <w:r>
        <w:rPr>
          <w:lang w:val="pt-PT"/>
        </w:rPr>
        <w:t xml:space="preserve"> </w:t>
      </w:r>
      <w:r>
        <w:t>растеж</w:t>
      </w:r>
      <w:r>
        <w:rPr>
          <w:lang w:val="pt-PT"/>
        </w:rPr>
        <w:t xml:space="preserve"> </w:t>
      </w:r>
      <w:r>
        <w:t>през</w:t>
      </w:r>
      <w:r>
        <w:rPr>
          <w:lang w:val="pt-PT"/>
        </w:rPr>
        <w:t xml:space="preserve"> 2014 </w:t>
      </w:r>
      <w:r>
        <w:t>г</w:t>
      </w:r>
      <w:r>
        <w:rPr>
          <w:lang w:val="pt-PT"/>
        </w:rPr>
        <w:t xml:space="preserve">. </w:t>
      </w:r>
      <w:r>
        <w:t>и</w:t>
      </w:r>
      <w:r>
        <w:rPr>
          <w:lang w:val="pt-PT"/>
        </w:rPr>
        <w:t xml:space="preserve"> 2016 </w:t>
      </w:r>
      <w:r>
        <w:t>г</w:t>
      </w:r>
      <w:r>
        <w:rPr>
          <w:lang w:val="pt-PT"/>
        </w:rPr>
        <w:t>.</w:t>
      </w:r>
    </w:p>
  </w:footnote>
  <w:footnote w:id="11">
    <w:p w:rsidR="0020655D" w:rsidRDefault="004167D2">
      <w:pPr>
        <w:pStyle w:val="FootnoteText"/>
        <w:rPr>
          <w:lang w:val="pt-PT"/>
        </w:rPr>
      </w:pPr>
      <w:r>
        <w:rPr>
          <w:rStyle w:val="FootnoteReference"/>
        </w:rPr>
        <w:footnoteRef/>
      </w:r>
      <w:r>
        <w:rPr>
          <w:lang w:val="pt-PT"/>
        </w:rPr>
        <w:tab/>
      </w:r>
      <w:r>
        <w:t>От</w:t>
      </w:r>
      <w:r>
        <w:rPr>
          <w:lang w:val="pt-PT"/>
        </w:rPr>
        <w:t xml:space="preserve"> 2018 </w:t>
      </w:r>
      <w:r>
        <w:t>г</w:t>
      </w:r>
      <w:r>
        <w:rPr>
          <w:lang w:val="pt-PT"/>
        </w:rPr>
        <w:t xml:space="preserve">. </w:t>
      </w:r>
      <w:r>
        <w:t>нататък</w:t>
      </w:r>
      <w:r>
        <w:rPr>
          <w:lang w:val="pt-PT"/>
        </w:rPr>
        <w:t xml:space="preserve"> </w:t>
      </w:r>
      <w:r>
        <w:t>целевият</w:t>
      </w:r>
      <w:r>
        <w:rPr>
          <w:lang w:val="pt-PT"/>
        </w:rPr>
        <w:t xml:space="preserve"> </w:t>
      </w:r>
      <w:r>
        <w:t>показател</w:t>
      </w:r>
      <w:r>
        <w:rPr>
          <w:lang w:val="pt-PT"/>
        </w:rPr>
        <w:t xml:space="preserve"> </w:t>
      </w:r>
      <w:r>
        <w:t>за</w:t>
      </w:r>
      <w:r>
        <w:rPr>
          <w:lang w:val="pt-PT"/>
        </w:rPr>
        <w:t xml:space="preserve"> </w:t>
      </w:r>
      <w:r>
        <w:t>разходите</w:t>
      </w:r>
      <w:r>
        <w:rPr>
          <w:lang w:val="pt-PT"/>
        </w:rPr>
        <w:t xml:space="preserve"> </w:t>
      </w:r>
      <w:r>
        <w:t>отразява</w:t>
      </w:r>
      <w:r>
        <w:rPr>
          <w:lang w:val="pt-PT"/>
        </w:rPr>
        <w:t xml:space="preserve"> </w:t>
      </w:r>
      <w:r>
        <w:t>корекция</w:t>
      </w:r>
      <w:r>
        <w:rPr>
          <w:lang w:val="pt-PT"/>
        </w:rPr>
        <w:t xml:space="preserve"> </w:t>
      </w:r>
      <w:r>
        <w:t>с</w:t>
      </w:r>
      <w:r>
        <w:rPr>
          <w:lang w:val="pt-PT"/>
        </w:rPr>
        <w:t xml:space="preserve"> </w:t>
      </w:r>
      <w:r>
        <w:t>цел</w:t>
      </w:r>
      <w:r>
        <w:rPr>
          <w:lang w:val="pt-PT"/>
        </w:rPr>
        <w:t xml:space="preserve"> </w:t>
      </w:r>
      <w:r>
        <w:t>да</w:t>
      </w:r>
      <w:r>
        <w:rPr>
          <w:lang w:val="pt-PT"/>
        </w:rPr>
        <w:t xml:space="preserve"> </w:t>
      </w:r>
      <w:r>
        <w:t>се</w:t>
      </w:r>
      <w:r>
        <w:rPr>
          <w:lang w:val="pt-PT"/>
        </w:rPr>
        <w:t xml:space="preserve"> </w:t>
      </w:r>
      <w:r>
        <w:t>коригира</w:t>
      </w:r>
      <w:r>
        <w:rPr>
          <w:lang w:val="pt-PT"/>
        </w:rPr>
        <w:t xml:space="preserve"> </w:t>
      </w:r>
      <w:r>
        <w:t>изкривяване</w:t>
      </w:r>
      <w:r>
        <w:rPr>
          <w:lang w:val="pt-PT"/>
        </w:rPr>
        <w:t xml:space="preserve"> </w:t>
      </w:r>
      <w:r>
        <w:t>в</w:t>
      </w:r>
      <w:r>
        <w:rPr>
          <w:lang w:val="pt-PT"/>
        </w:rPr>
        <w:t xml:space="preserve"> 10-</w:t>
      </w:r>
      <w:r>
        <w:t>годишния</w:t>
      </w:r>
      <w:r>
        <w:rPr>
          <w:lang w:val="pt-PT"/>
        </w:rPr>
        <w:t xml:space="preserve"> </w:t>
      </w:r>
      <w:r>
        <w:t>референтен</w:t>
      </w:r>
      <w:r>
        <w:rPr>
          <w:lang w:val="pt-PT"/>
        </w:rPr>
        <w:t xml:space="preserve"> </w:t>
      </w:r>
      <w:r>
        <w:t>темп</w:t>
      </w:r>
      <w:r>
        <w:rPr>
          <w:lang w:val="pt-PT"/>
        </w:rPr>
        <w:t xml:space="preserve"> </w:t>
      </w:r>
      <w:r>
        <w:t>на</w:t>
      </w:r>
      <w:r>
        <w:rPr>
          <w:lang w:val="pt-PT"/>
        </w:rPr>
        <w:t xml:space="preserve"> </w:t>
      </w:r>
      <w:r>
        <w:t>потенциалния</w:t>
      </w:r>
      <w:r>
        <w:rPr>
          <w:lang w:val="pt-PT"/>
        </w:rPr>
        <w:t xml:space="preserve"> </w:t>
      </w:r>
      <w:r>
        <w:t>растеж</w:t>
      </w:r>
      <w:r>
        <w:rPr>
          <w:lang w:val="pt-PT"/>
        </w:rPr>
        <w:t xml:space="preserve">, </w:t>
      </w:r>
      <w:r>
        <w:t>породено</w:t>
      </w:r>
      <w:r>
        <w:rPr>
          <w:lang w:val="pt-PT"/>
        </w:rPr>
        <w:t xml:space="preserve"> </w:t>
      </w:r>
      <w:r>
        <w:t>от</w:t>
      </w:r>
      <w:r>
        <w:rPr>
          <w:lang w:val="pt-PT"/>
        </w:rPr>
        <w:t xml:space="preserve"> </w:t>
      </w:r>
      <w:r>
        <w:t>изключително</w:t>
      </w:r>
      <w:r>
        <w:rPr>
          <w:lang w:val="pt-PT"/>
        </w:rPr>
        <w:t xml:space="preserve"> </w:t>
      </w:r>
      <w:r>
        <w:t>високия</w:t>
      </w:r>
      <w:r>
        <w:rPr>
          <w:lang w:val="pt-PT"/>
        </w:rPr>
        <w:t xml:space="preserve"> </w:t>
      </w:r>
      <w:r>
        <w:t>ръст</w:t>
      </w:r>
      <w:r>
        <w:rPr>
          <w:lang w:val="pt-PT"/>
        </w:rPr>
        <w:t xml:space="preserve"> </w:t>
      </w:r>
      <w:r>
        <w:t>на</w:t>
      </w:r>
      <w:r>
        <w:rPr>
          <w:lang w:val="pt-PT"/>
        </w:rPr>
        <w:t xml:space="preserve"> </w:t>
      </w:r>
      <w:r>
        <w:t>растежа</w:t>
      </w:r>
      <w:r>
        <w:rPr>
          <w:lang w:val="pt-PT"/>
        </w:rPr>
        <w:t xml:space="preserve"> </w:t>
      </w:r>
      <w:r>
        <w:t>на</w:t>
      </w:r>
      <w:r>
        <w:rPr>
          <w:lang w:val="pt-PT"/>
        </w:rPr>
        <w:t xml:space="preserve"> </w:t>
      </w:r>
      <w:r>
        <w:t>реалния</w:t>
      </w:r>
      <w:r>
        <w:rPr>
          <w:lang w:val="pt-PT"/>
        </w:rPr>
        <w:t xml:space="preserve"> </w:t>
      </w:r>
      <w:r>
        <w:t>БВП</w:t>
      </w:r>
      <w:r>
        <w:rPr>
          <w:lang w:val="pt-PT"/>
        </w:rPr>
        <w:t xml:space="preserve"> </w:t>
      </w:r>
      <w:r>
        <w:t>през</w:t>
      </w:r>
      <w:r>
        <w:rPr>
          <w:lang w:val="pt-PT"/>
        </w:rPr>
        <w:t xml:space="preserve"> 2015 </w:t>
      </w:r>
      <w:r>
        <w:t>г</w:t>
      </w:r>
      <w:r>
        <w:rPr>
          <w:lang w:val="pt-PT"/>
        </w:rPr>
        <w:t>.</w:t>
      </w:r>
    </w:p>
  </w:footnote>
  <w:footnote w:id="12">
    <w:p w:rsidR="0020655D" w:rsidRDefault="004167D2">
      <w:pPr>
        <w:pStyle w:val="FootnoteText"/>
        <w:rPr>
          <w:lang w:val="pt-PT"/>
        </w:rPr>
      </w:pPr>
      <w:r>
        <w:rPr>
          <w:rStyle w:val="FootnoteReference"/>
        </w:rPr>
        <w:footnoteRef/>
      </w:r>
      <w:r>
        <w:rPr>
          <w:lang w:val="pt-PT"/>
        </w:rPr>
        <w:tab/>
      </w:r>
      <w:r>
        <w:t>Съгласно</w:t>
      </w:r>
      <w:r>
        <w:rPr>
          <w:lang w:val="pt-PT"/>
        </w:rPr>
        <w:t xml:space="preserve"> </w:t>
      </w:r>
      <w:r>
        <w:t>член</w:t>
      </w:r>
      <w:r>
        <w:rPr>
          <w:lang w:val="pt-PT"/>
        </w:rPr>
        <w:t xml:space="preserve"> 5, </w:t>
      </w:r>
      <w:r>
        <w:t>параграф</w:t>
      </w:r>
      <w:r>
        <w:rPr>
          <w:lang w:val="pt-PT"/>
        </w:rPr>
        <w:t xml:space="preserve"> 2 </w:t>
      </w:r>
      <w:r>
        <w:t>от</w:t>
      </w:r>
      <w:r>
        <w:rPr>
          <w:lang w:val="pt-PT"/>
        </w:rPr>
        <w:t xml:space="preserve"> </w:t>
      </w:r>
      <w:r>
        <w:t>Регламент</w:t>
      </w:r>
      <w:r>
        <w:rPr>
          <w:lang w:val="pt-PT"/>
        </w:rPr>
        <w:t xml:space="preserve"> (</w:t>
      </w:r>
      <w:r>
        <w:t>ЕО</w:t>
      </w:r>
      <w:r>
        <w:rPr>
          <w:lang w:val="pt-PT"/>
        </w:rPr>
        <w:t xml:space="preserve">) № 1466/97 </w:t>
      </w:r>
      <w:r>
        <w:t>на</w:t>
      </w:r>
      <w:r>
        <w:rPr>
          <w:lang w:val="pt-PT"/>
        </w:rPr>
        <w:t xml:space="preserve"> </w:t>
      </w:r>
      <w:r>
        <w:t>Съвета</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D2" w:rsidRPr="004167D2" w:rsidRDefault="004167D2" w:rsidP="00416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D2" w:rsidRPr="004167D2" w:rsidRDefault="004167D2" w:rsidP="004167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D2" w:rsidRPr="004167D2" w:rsidRDefault="004167D2" w:rsidP="004167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A64B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D46C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A038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C9CA3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F439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878F7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C25DC8"/>
    <w:lvl w:ilvl="0">
      <w:start w:val="1"/>
      <w:numFmt w:val="decimal"/>
      <w:pStyle w:val="ListNumber"/>
      <w:lvlText w:val="%1."/>
      <w:lvlJc w:val="left"/>
      <w:pPr>
        <w:tabs>
          <w:tab w:val="num" w:pos="360"/>
        </w:tabs>
        <w:ind w:left="360" w:hanging="360"/>
      </w:pPr>
    </w:lvl>
  </w:abstractNum>
  <w:abstractNum w:abstractNumId="7">
    <w:nsid w:val="FFFFFF89"/>
    <w:multiLevelType w:val="singleLevel"/>
    <w:tmpl w:val="7ADCC4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5:44: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36DBB96-200D-4FB5-8E7F-08333D2D10B0"/>
    <w:docVar w:name="LW_COVERPAGE_TYPE" w:val="1"/>
    <w:docVar w:name="LW_CROSSREFERENCE" w:val="&lt;UNUSED&gt;"/>
    <w:docVar w:name="LW_DocType" w:val="COM"/>
    <w:docVar w:name="LW_EMISSION" w:val="23.5.2018"/>
    <w:docVar w:name="LW_EMISSION_ISODATE" w:val="2018-05-23"/>
    <w:docVar w:name="LW_EMISSION_LOCATION" w:val="BRX"/>
    <w:docVar w:name="LW_EMISSION_PREFIX" w:val="\u1041?\u1088?\u1102?\u1082?\u1089?\u1077?\u1083?,"/>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48?\u1088?\u1083?\u1072?\u1085?\u1076?\u1080?\u1103? \u1079?\u1072? 2018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88?\u1083?\u1072?\u1085?\u1076?\u1080?\u1103? \u1079?\u1072? 2018 \u1075?."/>
    <w:docVar w:name="LW_TYPE.DOC.CP" w:val="\u1055?\u1056?\u1045?\u1055?\u1054?\u1056?\u1066?\u1050?\u1040? \u1053?\u1040? \u1057?\u1066?\u1042?\u1045?\u1058?\u1040?"/>
  </w:docVars>
  <w:rsids>
    <w:rsidRoot w:val="0020655D"/>
    <w:rsid w:val="0020655D"/>
    <w:rsid w:val="0041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4167D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167D2"/>
    <w:rPr>
      <w:rFonts w:ascii="Times New Roman" w:hAnsi="Times New Roman" w:cs="Times New Roman"/>
      <w:sz w:val="24"/>
      <w:lang w:eastAsia="en-US" w:bidi="ar-SA"/>
    </w:rPr>
  </w:style>
  <w:style w:type="paragraph" w:styleId="Footer">
    <w:name w:val="footer"/>
    <w:basedOn w:val="Normal"/>
    <w:link w:val="FooterChar"/>
    <w:uiPriority w:val="99"/>
    <w:unhideWhenUsed/>
    <w:rsid w:val="004167D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167D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167D2"/>
    <w:pPr>
      <w:tabs>
        <w:tab w:val="center" w:pos="7285"/>
        <w:tab w:val="right" w:pos="14003"/>
      </w:tabs>
      <w:spacing w:before="0"/>
    </w:pPr>
    <w:rPr>
      <w:lang w:eastAsia="en-US" w:bidi="ar-SA"/>
    </w:rPr>
  </w:style>
  <w:style w:type="paragraph" w:customStyle="1" w:styleId="FooterLandscape">
    <w:name w:val="FooterLandscape"/>
    <w:basedOn w:val="Normal"/>
    <w:rsid w:val="004167D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167D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167D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4167D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167D2"/>
    <w:rPr>
      <w:rFonts w:ascii="Times New Roman" w:hAnsi="Times New Roman" w:cs="Times New Roman"/>
      <w:sz w:val="24"/>
      <w:lang w:eastAsia="en-US" w:bidi="ar-SA"/>
    </w:rPr>
  </w:style>
  <w:style w:type="paragraph" w:styleId="Footer">
    <w:name w:val="footer"/>
    <w:basedOn w:val="Normal"/>
    <w:link w:val="FooterChar"/>
    <w:uiPriority w:val="99"/>
    <w:unhideWhenUsed/>
    <w:rsid w:val="004167D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167D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167D2"/>
    <w:pPr>
      <w:tabs>
        <w:tab w:val="center" w:pos="7285"/>
        <w:tab w:val="right" w:pos="14003"/>
      </w:tabs>
      <w:spacing w:before="0"/>
    </w:pPr>
    <w:rPr>
      <w:lang w:eastAsia="en-US" w:bidi="ar-SA"/>
    </w:rPr>
  </w:style>
  <w:style w:type="paragraph" w:customStyle="1" w:styleId="FooterLandscape">
    <w:name w:val="FooterLandscape"/>
    <w:basedOn w:val="Normal"/>
    <w:rsid w:val="004167D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167D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167D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4D6E6-2B3F-40B1-A421-C29BAEE9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Pages>
  <Words>3680</Words>
  <Characters>21764</Characters>
  <Application>Microsoft Office Word</Application>
  <DocSecurity>0</DocSecurity>
  <Lines>373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18</cp:revision>
  <dcterms:created xsi:type="dcterms:W3CDTF">2018-05-25T10:53:00Z</dcterms:created>
  <dcterms:modified xsi:type="dcterms:W3CDTF">2018-05-29T15:06:00Z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