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7A062B20-9CE0-4386-A35C-88AE7489363D" style="width:450.7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ind w:right="-309"/>
        <w:jc w:val="center"/>
        <w:rPr>
          <w:b/>
          <w:bCs/>
          <w:noProof/>
          <w:szCs w:val="24"/>
          <w:vertAlign w:val="superscript"/>
        </w:rPr>
      </w:pPr>
      <w:bookmarkStart w:id="1" w:name="_GoBack"/>
      <w:bookmarkEnd w:id="1"/>
      <w:r>
        <w:rPr>
          <w:b/>
          <w:bCs/>
          <w:noProof/>
          <w:szCs w:val="24"/>
          <w:u w:val="single"/>
        </w:rPr>
        <w:lastRenderedPageBreak/>
        <w:t>ANNEX I</w:t>
      </w:r>
      <w:r>
        <w:rPr>
          <w:b/>
          <w:bCs/>
          <w:noProof/>
          <w:szCs w:val="24"/>
        </w:rPr>
        <w:br/>
      </w:r>
      <w:r>
        <w:rPr>
          <w:b/>
          <w:bCs/>
          <w:noProof/>
          <w:szCs w:val="24"/>
        </w:rPr>
        <w:br/>
        <w:t>Common output and result indicators for the ERDF and the Cohesion Fund - Article 7(1)</w:t>
      </w:r>
      <w:r>
        <w:rPr>
          <w:rStyle w:val="FootnoteReference"/>
          <w:b/>
          <w:bCs/>
          <w:noProof/>
          <w:szCs w:val="24"/>
        </w:rPr>
        <w:footnoteReference w:id="1"/>
      </w:r>
      <w:r>
        <w:rPr>
          <w:b/>
          <w:bCs/>
          <w:noProof/>
          <w:szCs w:val="24"/>
        </w:rPr>
        <w:t xml:space="preserve">  </w:t>
      </w:r>
    </w:p>
    <w:p>
      <w:pPr>
        <w:pStyle w:val="NoSpacing"/>
        <w:rPr>
          <w:rFonts w:ascii="Times New Roman" w:hAnsi="Times New Roman" w:cs="Times New Roman"/>
          <w:b/>
          <w:bCs/>
          <w:noProof/>
          <w:szCs w:val="24"/>
        </w:rPr>
      </w:pPr>
    </w:p>
    <w:p>
      <w:pPr>
        <w:pStyle w:val="NoSpacing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bCs/>
          <w:noProof/>
          <w:szCs w:val="24"/>
        </w:rPr>
        <w:t>Table 1: Common output and result indicators for ERDF (Investment for jobs and growth and Interreg) and the Cohesion Fund**</w:t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760"/>
        <w:gridCol w:w="5733"/>
        <w:gridCol w:w="7162"/>
      </w:tblGrid>
      <w:tr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Policy objective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Outputs</w:t>
            </w: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Results</w:t>
            </w:r>
          </w:p>
        </w:tc>
      </w:tr>
      <w:tr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(3)</w:t>
            </w:r>
          </w:p>
        </w:tc>
      </w:tr>
      <w:tr>
        <w:trPr>
          <w:trHeight w:val="3001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1. A smarter Europe by promoting innovative and smart economic transformation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</w:t>
            </w:r>
            <w:r>
              <w:rPr>
                <w:rStyle w:val="FootnoteReference"/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footnoteReference w:id="2"/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01 - Enterprises supported (of which: micro, small, medium, large)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02 - Enterprises supported by grants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03 - Enterprises supported by financial instruments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04 - Enterprises with non-financial support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05 - Start-ups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06 - Researchers working in supported research facilities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07 - Research institutions participating in joint research projects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08 - Nominal value of research and innovation equipment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10 - Enterprises cooperating with research institutions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96 – Interregional investments in EU projects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</w:t>
            </w:r>
            <w:r>
              <w:rPr>
                <w:rStyle w:val="FootnoteReference"/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01 - Jobs created in supported entities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02 - Private investments matching public support (of which: grants, financial instruments)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03 – SMEs introducing product or process innovation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04 - SMEs introducing marketing or organisational innovation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05 - SMEs innovating in-house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06 - Patent applications submitted to European Patent Office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07 - Trademark and design applications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08 - Public-private co-publications</w:t>
            </w:r>
          </w:p>
        </w:tc>
      </w:tr>
      <w:tr>
        <w:trPr>
          <w:trHeight w:val="153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12 - Enterprises supported to digitise their products and services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13 - Digital services and products developed for enterprises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14 - Public institutions supported to develop digital services and applications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11 - Users of new public digital services and applications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12 - Users of new digital products, services and applications developed by enterprises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13 - Enterprises reaching high digital intensity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14 - Enterprises using public digital services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</w:tr>
      <w:tr>
        <w:trPr>
          <w:trHeight w:val="416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15 - Capacity of incubation created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16 - High growth enterprises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17 - 3-year-old enterprises surviving in the market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18 - SMEs using incubator services one year after the incubator creation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19 - Enterprises with higher turnover</w:t>
            </w:r>
          </w:p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lastRenderedPageBreak/>
              <w:t>RCR 25 - Value added per employee in supported SMEs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16 - Stakeholders participating in entrepreneurial discovery process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17 - Investments in regional/ local ecosystems for skills development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101 – SMEs investing in skills development</w:t>
            </w:r>
          </w:p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102 - SMEs investing in training management systems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24 - SMEs benefiting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from activities for skills development delivered by a local/ regional ecosystem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97 – Apprenticeships supported in SMEs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98 – SMEs staff completing Continuing Vocational Education and Training (CVET) (by type of skill: technical, management, entrepreneurship, green, other)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99 – SMEs staff completing alternative training for knowledge intensive service activities (KISA) (by type of  skills: technical, management, entrepreneurship, green, other)</w:t>
            </w:r>
          </w:p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100 – SMEs staff completing formal training for skills development (KISA) (by type of skills: technical, management, entrepreneurship, green, other)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</w:tr>
      <w:tr>
        <w:trPr>
          <w:trHeight w:val="280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2. A greener, low-carbon Europe by promoting clean and fair energy transition, green and blue investment, the circular economy, climate adaptation and risk prevention and management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18 - Households supported to improve energy performance of their dwelling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19 - Public buildings supported to improve energy performance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20 - District heating network lines newly constructed or improved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26 - Annual final energy consumption (of which: residential, private non-residential, public non-residential)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27 - Households with improved energy performance of their dwellings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28 - Buildings with improved energy classification  (of which: residential, private non-residential, public non-residential)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29 - Estimated greenhouse gas emissions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30 - Enterprises with improved energy performance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22 - Additional production capacity for renewable energy  (of which: electricity, thermal)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97 – Number of energy communities and renewable energy communities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31 - Total renewable energy produced (of which: electricity, thermal)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32 – Renewable energy: Capacity connected to the grid (operational)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23 - Digital management systems for smart grids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98 – Households supported to use smart energy grids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33 - Users connected to smart grids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34 - Roll-out of projects for smart grids</w:t>
            </w:r>
          </w:p>
        </w:tc>
      </w:tr>
      <w:tr>
        <w:trPr>
          <w:trHeight w:val="280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24 - New or upgraded disaster monitoring, preparedness, warning and response systems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25 - Coastal strip, river banks and lakeshores, and landslide protection newly built or consolidated to protect people, assets and the natural environment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26 - Green infrastructure built for adaptation to climate change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27 - National/ regional/ local strategies addressing climate change adaptation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28 - Areas covered by protection measures against forest fires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35 - Population benefiting from flood protection measures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36 - Population benefiting from forest fires protection measures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37 - Population benefiting from protection measures against climate related natural disasters (other than floods and forest fires)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96 – Population benefiting from protection measures against non-climate related natural risks and risks related to human activities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38 - Estimated average response time to disaster situations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</w:tr>
      <w:tr>
        <w:trPr>
          <w:trHeight w:val="153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30 - Length of new or consolidated pipes for  household water connections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31 - Length of sewage collection networks newly constructed or consolidated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32 - New or upgraded capacity for waste water treatment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41 - Population connected to improved water supply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42 - Population connected to at least secondary waste water treatment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43 - Water losses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RCR 44 - Waste water properly treated </w:t>
            </w:r>
          </w:p>
        </w:tc>
      </w:tr>
      <w:tr>
        <w:trPr>
          <w:trHeight w:val="1464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RCO 34 - Additional capacity for waste recycling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46 - Population served by waste recycling facilities and small waste management systems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47 - Waste recycled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RCR 48 - Recycled waste used as raw materials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49 - Waste recovered</w:t>
            </w:r>
          </w:p>
        </w:tc>
      </w:tr>
      <w:tr>
        <w:trPr>
          <w:trHeight w:val="153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36 - Surface area of green infrastructure supported in urban areas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37 - Surface of Natura 2000 sites covered by protection and restoration measures in accordance with the prioritised action framework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99 - Surface area outside Natura 2000 sites covered by protection and restoration measures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38 - Surface area of rehabilitated land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39 - Systems for monitoring air pollution installed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50 - Population benefiting from measures for air quality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95 -Population having access to new or upgraded green infrastructure in urban areas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51 - Population benefiting from measures for noise reduction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52 - Rehabilitated land used for green areas, social housing, economic or community activities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760"/>
        <w:gridCol w:w="5733"/>
        <w:gridCol w:w="7162"/>
      </w:tblGrid>
      <w:tr>
        <w:trPr>
          <w:trHeight w:val="102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3. A more connected Europe by enhancing mobility and regional ICT connectivity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41 - Additional households with broadband access of very high capacity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42 - Additional enterprises with broadband access of very high capacity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53 - Households with broadband subscriptions to a very high capacity network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54 - Enterprises with broadband subscriptions to a very high capacity network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43 - Length of new roads supported - TEN-T</w:t>
            </w:r>
            <w:r>
              <w:rPr>
                <w:rStyle w:val="FootnoteReference"/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footnoteReference w:id="4"/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44 - Length of new roads supported - other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45 - Length of roads reconstructed or upgraded - TEN-T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46 - Length of roads reconstructed or upgraded - other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55 - Users of newly built, reconstructed or upgraded roads 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56 - Time savings due to improved road infrastructure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101 – Time savings due to improved rail infrastructure </w:t>
            </w:r>
          </w:p>
        </w:tc>
      </w:tr>
      <w:tr>
        <w:trPr>
          <w:trHeight w:val="255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47 - Length of new rail supported - TEN-T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48 - Length of new rail supported - other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49 - Length of rail reconstructed or upgraded - TEN-T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50 - Length of rail reconstructed or upgraded - other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51 - Length of new or upgraded inland waterways - TEN-T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52 - Length of new or upgraded inland waterways - other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53 - Railways stations and facilities - new or upgraded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54 - Intermodal connections - new or upgraded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100 – Number of ports supported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57 - Length of European Rail Traffic Management System equipped railways in operation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58 - Annual number of passengers on supported railways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59 - Freight transport on rail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RCR 60 - Freight transport on inland waterways </w:t>
            </w:r>
          </w:p>
        </w:tc>
      </w:tr>
      <w:tr>
        <w:trPr>
          <w:trHeight w:val="255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55 - Length of tram and metro lines- new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56 - Length of tram and metro lines- reconstructed/ upgraded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57 - Environmentally friendly rolling stock for public transport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58 - Dedicated cycling infrastructure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59 - Alternative fuels infrastructure (refuelling/ recharging points)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60 - Cities and towns with new or upgraded digitised urban transport systems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62 - Annual passengers of public transport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63 - Annual users of new/ upgraded tram and metro lines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64 - Annual users of dedicated cycling infrastructure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760"/>
        <w:gridCol w:w="5733"/>
        <w:gridCol w:w="7162"/>
      </w:tblGrid>
      <w:tr>
        <w:trPr>
          <w:trHeight w:val="76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4. A more social Europe implementing the European Pillar of Social Rights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61 - Annual unemployed persons served by enhanced facilities for employment services (capacity)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65 - Job seekers using annually the services of the employment services supported</w:t>
            </w:r>
          </w:p>
        </w:tc>
      </w:tr>
      <w:tr>
        <w:trPr>
          <w:trHeight w:val="127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63 - Capacity of temporary reception infrastructure created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64 - Capacity of rehabilitated housing – migrants, refugees and persons under or applying for international protection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RCO 65 - Capacity of rehabilitated housing - other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66 - Occupancy of temporary reception infrastructure built or renovated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67 - Occupancy of rehabilitated housing – migrants, refugees and persons under or applying for international protection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68 - Occupancy of rehabilitated housing - other 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66 - Classroom capacity of supported childcare infrastructure (new or upgraded)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67 - Classroom capacity of supported education infrastructure (new or upgraded)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70 - Annual number of children using childcare infrastructure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71 - Annual number of students using education infrastructure supported</w:t>
            </w:r>
          </w:p>
        </w:tc>
      </w:tr>
      <w:tr>
        <w:trPr>
          <w:trHeight w:val="204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69 - Capacity of supported health care infrastructure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70 - Capacity of supported social infrastructure (other than housing)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72 - People with access to improved health care services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73 - Annual number of persons using the health care facilities supported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RCR 74 - Annual number of persons using the social care facilities supported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RCR 75 - Average response time for medical emergencies in the area supported </w:t>
            </w:r>
          </w:p>
        </w:tc>
      </w:tr>
      <w:tr>
        <w:trPr>
          <w:trHeight w:val="127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5. A Europe closer to citizens by fostering the sustainable and integrated development of urban, rural and coastal areas and local initiatives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74 - Population covered by strategies for integrated urban development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75 - Integrated strategies for urban development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76 - Collaborative projects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77 - Capacity of cultural and tourism infrastructure supported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RCR 76 - Stakeholders involved in the preparation and implementation of strategies of urban development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77 - Tourists/ visits to supported sites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78 - Users benefiting from cultural infrastructure supported</w:t>
            </w:r>
          </w:p>
        </w:tc>
      </w:tr>
      <w:tr>
        <w:trPr>
          <w:trHeight w:val="127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80 – Community-led local development strategies for local development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760"/>
        <w:gridCol w:w="5733"/>
        <w:gridCol w:w="7162"/>
      </w:tblGrid>
      <w:tr>
        <w:trPr>
          <w:trHeight w:val="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en-GB"/>
              </w:rPr>
              <w:t>Horizontal - Implementation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95 - Staff financed by ERDF and Cohesion Fund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91 - Average time for launch of calls, selection of projects and signature of contracts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92 - Average time for tendering (from launch of procurement until signature of contract)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 xml:space="preserve"> 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RCR 93 - Average time for project implementation (from signature of contract to last payment)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94 - Single bidding for ERDF and Cohesion Fund interventions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</w:tr>
    </w:tbl>
    <w:p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** For presentational reasons, indicators are grouped under, but not limited to, a policy objective. In particular, under policy objective 5, specific objectives from policy objectives 1-4 may be used with the relevant indicators. In addition, in order to develop a full picture of the expected and actual performance of the programmes, the indicators marked with (*) may be used by specific objectives under more than one of the policy objectives 1 to 4, when relevant.</w:t>
      </w:r>
    </w:p>
    <w:p>
      <w:pPr>
        <w:rPr>
          <w:b/>
          <w:noProof/>
          <w:sz w:val="22"/>
        </w:rPr>
      </w:pPr>
    </w:p>
    <w:p>
      <w:pPr>
        <w:rPr>
          <w:b/>
          <w:noProof/>
          <w:sz w:val="22"/>
        </w:rPr>
      </w:pPr>
    </w:p>
    <w:p>
      <w:pPr>
        <w:pStyle w:val="NoSpacing"/>
        <w:rPr>
          <w:rFonts w:ascii="Times New Roman" w:hAnsi="Times New Roman" w:cs="Times New Roman"/>
          <w:b/>
          <w:bCs/>
          <w:noProof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t>Table 2: Additional common output and result indicators for the ERDF for Interreg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235"/>
        <w:gridCol w:w="6095"/>
        <w:gridCol w:w="5890"/>
      </w:tblGrid>
      <w:tr>
        <w:tc>
          <w:tcPr>
            <w:tcW w:w="2235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Interreg-specific indicators</w:t>
            </w:r>
          </w:p>
        </w:tc>
        <w:tc>
          <w:tcPr>
            <w:tcW w:w="6095" w:type="dxa"/>
            <w:vAlign w:val="center"/>
          </w:tcPr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81 - Participants in cross-border mobility initiatives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82 - Participants in joint actions promoting gender equality, equal opportunities and social inclusion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83 - Joint strategies/ action plans developed or implemented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84 - Joint pilot activities implemented in projects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85 - Participants in joint training schemes</w:t>
            </w:r>
          </w:p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RCO 96 – Legal or administrative obstacles identified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86 - Joint administrative or legal agreements signed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87 - Organisations cooperating across borders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88 - Projects across national borders for peer-learning to enhance cooperation activities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RCO 89 - Projects across borders to improve multilevel governance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RCO 90 - Projects across national borders leading to networks/clusters</w:t>
            </w:r>
          </w:p>
        </w:tc>
        <w:tc>
          <w:tcPr>
            <w:tcW w:w="5890" w:type="dxa"/>
            <w:vAlign w:val="center"/>
          </w:tcPr>
          <w:p>
            <w:pPr>
              <w:spacing w:after="0" w:line="276" w:lineRule="auto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t>RCR 79 - Joint strategies/ action plans taken up by organisations at/ after project completion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80 - Joint pilot activities taken up or up-scaled by organisations at/ after project completion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81 - Participants completing joint training schemes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82 - Legal or administrative obstacles addressed or alleviated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83 - Persons covered by signed joint agreements signed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84 - Organisations cooperating across borders 6-12 months after project completion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 xml:space="preserve">RCR 85 - Participants in joint actions 6-12 months after project completion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  <w:br/>
              <w:t>RCR 86 - Stakeholders/ institutions with enhanced cooperation capacity beyond national borders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42575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480" w:hanging="480"/>
        <w:rPr>
          <w:rStyle w:val="FootnoteReference"/>
          <w:sz w:val="18"/>
          <w:szCs w:val="18"/>
        </w:rPr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ab/>
      </w:r>
      <w:r>
        <w:rPr>
          <w:sz w:val="18"/>
          <w:szCs w:val="18"/>
        </w:rPr>
        <w:t>To be used, for the Investment for jobs and growth and Interreg in accordance with point (a) of the second subparagraph of Article [12(1)], and point (b) of Article [36(2) [data transmission] of Regulation (EU) [new CPR] and, for Investment for jobs and growth in accordance with point (d)(ii) of Article [17 (3)] of the Regulation (EU) [new CPR] and, for Interreg, in accordance with point (e)(ii) of Article 17 (4) of the of the Regulation (EU) [new ETC regulation]</w:t>
      </w:r>
    </w:p>
  </w:footnote>
  <w:footnote w:id="2">
    <w:p>
      <w:pPr>
        <w:pStyle w:val="FootnoteText"/>
        <w:ind w:left="480" w:hanging="48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ab/>
        <w:t>RCO: Regional Policy Common Output Indicator.</w:t>
      </w:r>
    </w:p>
  </w:footnote>
  <w:footnote w:id="3">
    <w:p>
      <w:pPr>
        <w:pStyle w:val="FootnoteText"/>
        <w:ind w:left="480" w:hanging="48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ab/>
        <w:t>RCR: Regional Policy Common Result Indicator.</w:t>
      </w:r>
    </w:p>
  </w:footnote>
  <w:footnote w:id="4">
    <w:p>
      <w:pPr>
        <w:pStyle w:val="FootnoteText"/>
        <w:ind w:left="480" w:hanging="480"/>
      </w:pPr>
      <w:r>
        <w:rPr>
          <w:rStyle w:val="FootnoteReference"/>
        </w:rPr>
        <w:footnoteRef/>
      </w:r>
      <w:r>
        <w:tab/>
        <w:t>Regulation (EU) No 1315/2013 of the European Parliament and of the Council of 11 December 2013 on Union guidelines for the development of the trans-European transport network and repealing Decision No 661/2010/EU (OJ L 348, 20.12.2013, p.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A062B20-9CE0-4386-A35C-88AE7489363D"/>
    <w:docVar w:name="LW_COVERPAGE_TYPE" w:val="1"/>
    <w:docVar w:name="LW_CROSSREFERENCE" w:val="{SEC(2018) 268 final}_x000b_{SWD(2018) 282 final}_x000b_{SWD(2018) 283 final}"/>
    <w:docVar w:name="LW_DocType" w:val="NORMAL"/>
    <w:docVar w:name="LW_EMISSION" w:val="29.5.2018"/>
    <w:docVar w:name="LW_EMISSION_ISODATE" w:val="2018-05-29"/>
    <w:docVar w:name="LW_EMISSION_LOCATION" w:val="STR"/>
    <w:docVar w:name="LW_EMISSION_PREFIX" w:val="Strasbourg, "/>
    <w:docVar w:name="LW_EMISSION_SUFFIX" w:val="&lt;EMPTY&gt;"/>
    <w:docVar w:name="LW_ID_DOCTYPE_NONLW" w:val="CP-03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European Regional Development Fund and on the Cohesion Fund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Proposal for a_x000b__x000b_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2070</Words>
  <Characters>11265</Characters>
  <Application>Microsoft Office Word</Application>
  <DocSecurity>0</DocSecurity>
  <Lines>321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 Martine (ECFIN)</dc:creator>
  <cp:lastModifiedBy>DIGIT/A3</cp:lastModifiedBy>
  <cp:revision>9</cp:revision>
  <dcterms:created xsi:type="dcterms:W3CDTF">2018-05-29T11:22:00Z</dcterms:created>
  <dcterms:modified xsi:type="dcterms:W3CDTF">2018-05-29T14:55:00Z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