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alt="62DF0CE8-3923-4CA4-B4E2-AE9CB66586CC" style="width:450.7pt;height:406.1pt">
            <v:imagedata r:id="rId7" o:title=""/>
          </v:shape>
        </w:pict>
      </w:r>
    </w:p>
    <w:bookmarkEnd w:id="0"/>
    <w:p>
      <w:pPr>
        <w:pStyle w:val="Pagedecouverture"/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spacing w:after="0"/>
        <w:ind w:right="-309"/>
        <w:jc w:val="center"/>
        <w:rPr>
          <w:b/>
          <w:bCs/>
          <w:noProof/>
          <w:szCs w:val="24"/>
        </w:rPr>
      </w:pPr>
      <w:bookmarkStart w:id="1" w:name="_GoBack"/>
      <w:bookmarkEnd w:id="1"/>
      <w:r>
        <w:rPr>
          <w:b/>
          <w:bCs/>
          <w:noProof/>
          <w:szCs w:val="24"/>
        </w:rPr>
        <w:lastRenderedPageBreak/>
        <w:t>ANNEX II</w:t>
      </w:r>
      <w:r>
        <w:rPr>
          <w:b/>
          <w:bCs/>
          <w:noProof/>
          <w:szCs w:val="24"/>
        </w:rPr>
        <w:br/>
      </w:r>
      <w:r>
        <w:rPr>
          <w:b/>
          <w:bCs/>
          <w:noProof/>
          <w:szCs w:val="24"/>
        </w:rPr>
        <w:br/>
        <w:t>Core set of performance indicators for the ERDF and the Cohesion Fund referred to in Article 7(3)</w:t>
      </w:r>
      <w:r>
        <w:rPr>
          <w:rStyle w:val="FootnoteReference"/>
          <w:b/>
          <w:bCs/>
          <w:noProof/>
          <w:szCs w:val="24"/>
        </w:rPr>
        <w:footnoteReference w:id="1"/>
      </w:r>
      <w:r>
        <w:rPr>
          <w:b/>
          <w:bCs/>
          <w:noProof/>
          <w:szCs w:val="24"/>
        </w:rPr>
        <w:t xml:space="preserve"> </w:t>
      </w:r>
    </w:p>
    <w:p>
      <w:pPr>
        <w:spacing w:after="0"/>
        <w:ind w:right="-309"/>
        <w:jc w:val="center"/>
        <w:rPr>
          <w:b/>
          <w:bCs/>
          <w:noProof/>
          <w:szCs w:val="24"/>
          <w:vertAlign w:val="superscript"/>
        </w:r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3276"/>
        <w:gridCol w:w="3402"/>
        <w:gridCol w:w="4110"/>
        <w:gridCol w:w="3828"/>
      </w:tblGrid>
      <w:tr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 w:val="22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22"/>
                <w:lang w:eastAsia="en-GB"/>
              </w:rPr>
              <w:t>Policy objective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 w:val="22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22"/>
                <w:lang w:eastAsia="en-GB"/>
              </w:rPr>
              <w:t>Specific objective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 w:val="22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22"/>
                <w:lang w:eastAsia="en-GB"/>
              </w:rPr>
              <w:t>Outputs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 w:val="22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22"/>
                <w:lang w:eastAsia="en-GB"/>
              </w:rPr>
              <w:t>Results</w:t>
            </w:r>
          </w:p>
        </w:tc>
      </w:tr>
      <w:tr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 w:val="22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22"/>
                <w:lang w:eastAsia="en-GB"/>
              </w:rPr>
              <w:t>(1)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 w:val="22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22"/>
                <w:lang w:eastAsia="en-GB"/>
              </w:rPr>
              <w:t>(2)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 w:val="22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22"/>
                <w:lang w:eastAsia="en-GB"/>
              </w:rPr>
              <w:t>(3)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 w:val="22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22"/>
                <w:lang w:eastAsia="en-GB"/>
              </w:rPr>
              <w:t>(4)</w:t>
            </w:r>
          </w:p>
        </w:tc>
      </w:tr>
      <w:tr>
        <w:trPr>
          <w:trHeight w:val="900"/>
        </w:trPr>
        <w:tc>
          <w:tcPr>
            <w:tcW w:w="3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color w:val="000000"/>
                <w:sz w:val="22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color w:val="000000"/>
                <w:sz w:val="22"/>
                <w:lang w:eastAsia="en-GB"/>
              </w:rPr>
              <w:t>1. A smarter Europe by promoting innovative and smart economic transformation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22"/>
                <w:lang w:eastAsia="en-GB"/>
              </w:rPr>
              <w:t xml:space="preserve">(i) Enhancing research and innovation capacities </w:t>
            </w:r>
            <w:r>
              <w:rPr>
                <w:noProof/>
                <w:sz w:val="22"/>
                <w:lang w:val="en-US"/>
              </w:rPr>
              <w:t>and the uptake of advanced technologies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22"/>
                <w:lang w:eastAsia="en-GB"/>
              </w:rPr>
              <w:t>CCO 01 - Enterprises supported to innovate</w:t>
            </w:r>
            <w:r>
              <w:rPr>
                <w:rFonts w:eastAsia="Times New Roman"/>
                <w:noProof/>
                <w:color w:val="000000"/>
                <w:sz w:val="22"/>
                <w:lang w:eastAsia="en-GB"/>
              </w:rPr>
              <w:br/>
              <w:t>CCO 02 - Researchers working in supported research facilities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22"/>
                <w:lang w:eastAsia="en-GB"/>
              </w:rPr>
              <w:t xml:space="preserve">CCR 01 – (SMEs introducing product, process, marketing or organisational  innovation </w:t>
            </w:r>
          </w:p>
        </w:tc>
      </w:tr>
      <w:tr>
        <w:trPr>
          <w:trHeight w:val="1200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color w:val="000000"/>
                <w:sz w:val="22"/>
                <w:lang w:eastAsia="en-GB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22"/>
                <w:lang w:eastAsia="en-GB"/>
              </w:rPr>
              <w:t>(ii) Reaping the benefits of digitisation for citizens, companies and governments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22"/>
                <w:lang w:eastAsia="en-GB"/>
              </w:rPr>
              <w:t>CCO 03 - Enterprises and public institutions supported to develop digital products, services and applications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22"/>
                <w:lang w:eastAsia="en-GB"/>
              </w:rPr>
              <w:t>CCR 02 - Additional users of new digital products, services and applications developed by enterprises and public institutions</w:t>
            </w:r>
          </w:p>
        </w:tc>
      </w:tr>
      <w:tr>
        <w:trPr>
          <w:trHeight w:val="600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color w:val="000000"/>
                <w:sz w:val="22"/>
                <w:lang w:eastAsia="en-GB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22"/>
                <w:lang w:eastAsia="en-GB"/>
              </w:rPr>
              <w:t>(iii) Enhancing growth and competitiveness of SMEs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22"/>
                <w:lang w:eastAsia="en-GB"/>
              </w:rPr>
              <w:t>CCO 04 - SMEs supported to create jobs and growth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22"/>
                <w:lang w:eastAsia="en-GB"/>
              </w:rPr>
              <w:t>CCR 03 - Jobs created in SMEs supported</w:t>
            </w:r>
          </w:p>
        </w:tc>
      </w:tr>
      <w:tr>
        <w:trPr>
          <w:trHeight w:val="900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color w:val="000000"/>
                <w:sz w:val="22"/>
                <w:lang w:eastAsia="en-GB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22"/>
                <w:lang w:eastAsia="en-GB"/>
              </w:rPr>
              <w:t>(iv) Developing skills for smart specialisation, industrial transition and entrepreneurship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22"/>
                <w:lang w:eastAsia="en-GB"/>
              </w:rPr>
              <w:t>CCO 05 - SMEs investing in skills development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22"/>
                <w:lang w:eastAsia="en-GB"/>
              </w:rPr>
              <w:t>CCR 04 - SMEs staff benefiting from training for skills development</w:t>
            </w:r>
          </w:p>
        </w:tc>
      </w:tr>
    </w:tbl>
    <w:p>
      <w:pPr>
        <w:rPr>
          <w:noProof/>
        </w:rPr>
      </w:pPr>
      <w:r>
        <w:rPr>
          <w:noProof/>
        </w:rPr>
        <w:br w:type="page"/>
      </w: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3276"/>
        <w:gridCol w:w="3402"/>
        <w:gridCol w:w="4110"/>
        <w:gridCol w:w="3828"/>
      </w:tblGrid>
      <w:tr>
        <w:trPr>
          <w:trHeight w:val="900"/>
        </w:trPr>
        <w:tc>
          <w:tcPr>
            <w:tcW w:w="3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color w:val="000000"/>
                <w:sz w:val="22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color w:val="000000"/>
                <w:sz w:val="22"/>
                <w:lang w:eastAsia="en-GB"/>
              </w:rPr>
              <w:lastRenderedPageBreak/>
              <w:t xml:space="preserve">2. A greener, low-carbon Europe by promoting clean and fair energy transition, green and blue investment, the circular economy, climate adaptation and risk prevention and management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22"/>
                <w:lang w:eastAsia="en-GB"/>
              </w:rPr>
              <w:t>(i) Promoting energy efficiency measures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22"/>
                <w:lang w:eastAsia="en-GB"/>
              </w:rPr>
              <w:t xml:space="preserve">CCO 06 – Investments in measures to improve energy efficiency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22"/>
                <w:lang w:eastAsia="en-GB"/>
              </w:rPr>
              <w:t>CCR 05 – Beneficiaries with improved energy classification</w:t>
            </w:r>
          </w:p>
        </w:tc>
      </w:tr>
      <w:tr>
        <w:trPr>
          <w:trHeight w:val="600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color w:val="000000"/>
                <w:sz w:val="22"/>
                <w:lang w:eastAsia="en-GB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22"/>
                <w:lang w:eastAsia="en-GB"/>
              </w:rPr>
              <w:t>(ii) Promoting renewable energy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22"/>
                <w:lang w:eastAsia="en-GB"/>
              </w:rPr>
              <w:t>CCO 07 - Additional renewable energy production capacity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22"/>
                <w:lang w:eastAsia="en-GB"/>
              </w:rPr>
              <w:t>CCR 06 – Volume of additional renewable energy produced</w:t>
            </w:r>
          </w:p>
        </w:tc>
      </w:tr>
      <w:tr>
        <w:trPr>
          <w:trHeight w:val="600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color w:val="000000"/>
                <w:sz w:val="22"/>
                <w:lang w:eastAsia="en-GB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22"/>
                <w:lang w:eastAsia="en-GB"/>
              </w:rPr>
              <w:t>(iii) Developing smart energy systems, grids and storage at local level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22"/>
                <w:lang w:eastAsia="en-GB"/>
              </w:rPr>
              <w:t>CCO 08 - Digital management systems developed for smart grids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22"/>
                <w:lang w:eastAsia="en-GB"/>
              </w:rPr>
              <w:t>CCR 07 - Additional users connected to smart grids</w:t>
            </w:r>
          </w:p>
        </w:tc>
      </w:tr>
      <w:tr>
        <w:trPr>
          <w:trHeight w:val="1200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color w:val="000000"/>
                <w:sz w:val="22"/>
                <w:lang w:eastAsia="en-GB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22"/>
                <w:lang w:eastAsia="en-GB"/>
              </w:rPr>
              <w:t>(iv) Promoting climate change adaptation, risk prevention and disaster resilience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22"/>
                <w:lang w:eastAsia="en-GB"/>
              </w:rPr>
              <w:t>CCO 09 - New or upgraded disaster monitoring, warning and response systems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22"/>
                <w:lang w:eastAsia="en-GB"/>
              </w:rPr>
              <w:t>CCR 08 - Additional population benefiting from protection measures against floods, forest fires, and other climate related natural disasters</w:t>
            </w:r>
          </w:p>
        </w:tc>
      </w:tr>
      <w:tr>
        <w:trPr>
          <w:trHeight w:val="600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color w:val="000000"/>
                <w:sz w:val="22"/>
                <w:lang w:eastAsia="en-GB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22"/>
                <w:lang w:eastAsia="en-GB"/>
              </w:rPr>
              <w:t>(v) Promoting sustainable water management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22"/>
                <w:lang w:eastAsia="en-GB"/>
              </w:rPr>
              <w:t>CCO 10 - New or upgraded capacity for waste water treatment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22"/>
                <w:lang w:eastAsia="en-GB"/>
              </w:rPr>
              <w:t>CCR 09 - Additional population connected to at least secondary waste water treatment</w:t>
            </w:r>
          </w:p>
        </w:tc>
      </w:tr>
      <w:tr>
        <w:trPr>
          <w:trHeight w:val="600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color w:val="000000"/>
                <w:sz w:val="22"/>
                <w:lang w:eastAsia="en-GB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22"/>
                <w:lang w:val="en-US" w:eastAsia="en-GB"/>
              </w:rPr>
              <w:t>(vi) Promoting the transition to a circular economy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22"/>
                <w:lang w:eastAsia="en-GB"/>
              </w:rPr>
              <w:t xml:space="preserve">CCO 11 – New or upgraded capacity for waste recycling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22"/>
                <w:lang w:eastAsia="en-GB"/>
              </w:rPr>
              <w:t>CCR 10 - Additional waste recycled</w:t>
            </w:r>
          </w:p>
        </w:tc>
      </w:tr>
      <w:tr>
        <w:trPr>
          <w:trHeight w:val="900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color w:val="000000"/>
                <w:sz w:val="22"/>
                <w:lang w:eastAsia="en-GB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22"/>
                <w:lang w:eastAsia="en-GB"/>
              </w:rPr>
              <w:t>(vii) Enhancing biodiversity, green infrastructure in the urban environment, and reducing pollution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22"/>
                <w:lang w:eastAsia="en-GB"/>
              </w:rPr>
              <w:t>CCO 12 - Surface area of green infrastructure in urban areas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22"/>
                <w:lang w:eastAsia="en-GB"/>
              </w:rPr>
              <w:t>CCR 11 - Population benefiting from measures for air quality</w:t>
            </w:r>
          </w:p>
        </w:tc>
      </w:tr>
    </w:tbl>
    <w:p>
      <w:pPr>
        <w:rPr>
          <w:noProof/>
        </w:rPr>
      </w:pPr>
      <w:r>
        <w:rPr>
          <w:noProof/>
        </w:rPr>
        <w:br w:type="page"/>
      </w: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3276"/>
        <w:gridCol w:w="3402"/>
        <w:gridCol w:w="4110"/>
        <w:gridCol w:w="3828"/>
      </w:tblGrid>
      <w:tr>
        <w:trPr>
          <w:trHeight w:val="900"/>
        </w:trPr>
        <w:tc>
          <w:tcPr>
            <w:tcW w:w="3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color w:val="000000"/>
                <w:sz w:val="22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color w:val="000000"/>
                <w:sz w:val="22"/>
                <w:lang w:eastAsia="en-GB"/>
              </w:rPr>
              <w:t>3. A more connected Europe by enhancing mobility and regional ICT connectivity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22"/>
                <w:lang w:val="en-US" w:eastAsia="en-GB"/>
              </w:rPr>
              <w:t>(i) Enhancing digital connectivity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22"/>
                <w:lang w:eastAsia="en-GB"/>
              </w:rPr>
              <w:t>CCO 13 - Additional households and enterprises with coverage by very high capacity broadband networks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22"/>
                <w:lang w:eastAsia="en-GB"/>
              </w:rPr>
              <w:t>CCR 12 - Additional households and enterprises with broadband subscriptions to a very high capacity networks</w:t>
            </w:r>
          </w:p>
        </w:tc>
      </w:tr>
      <w:tr>
        <w:trPr>
          <w:trHeight w:val="900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color w:val="000000"/>
                <w:sz w:val="22"/>
                <w:lang w:eastAsia="en-GB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22"/>
                <w:lang w:val="en-US" w:eastAsia="en-GB"/>
              </w:rPr>
              <w:t>(ii) Developing a sustainable, climate resilient, intelligent, secure and intermodal TEN-T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22"/>
                <w:lang w:eastAsia="en-GB"/>
              </w:rPr>
              <w:t xml:space="preserve">CCO 14 – Road TEN-T: New and upgraded roads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22"/>
                <w:lang w:eastAsia="en-GB"/>
              </w:rPr>
              <w:t>CCR 13 - Time savings due to improved road infrastructure</w:t>
            </w:r>
          </w:p>
        </w:tc>
      </w:tr>
      <w:tr>
        <w:trPr>
          <w:trHeight w:val="1500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color w:val="000000"/>
                <w:sz w:val="22"/>
                <w:lang w:eastAsia="en-GB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22"/>
                <w:lang w:eastAsia="en-GB"/>
              </w:rPr>
              <w:t>(iii) Developing sustainable, climate resilient, intelligent and intermodal national, regional and local mobility, including improved access to TEN-T and cross-border mobility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22"/>
                <w:lang w:eastAsia="en-GB"/>
              </w:rPr>
              <w:t>CCO 15 – Rail TEN-T: New and upgraded railways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22"/>
                <w:lang w:eastAsia="en-GB"/>
              </w:rPr>
              <w:t xml:space="preserve">CCR 14 - Annual number of passengers served by improved rail transport </w:t>
            </w:r>
          </w:p>
        </w:tc>
      </w:tr>
      <w:tr>
        <w:trPr>
          <w:trHeight w:val="600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color w:val="000000"/>
                <w:sz w:val="22"/>
                <w:lang w:eastAsia="en-GB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22"/>
                <w:lang w:eastAsia="en-GB"/>
              </w:rPr>
              <w:t>(iv) Promoting sustainable multimodal urban mobility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22"/>
                <w:lang w:eastAsia="en-GB"/>
              </w:rPr>
              <w:t>CCO 16 - Extension and modernisation of tram and metro lines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22"/>
                <w:lang w:eastAsia="en-GB"/>
              </w:rPr>
              <w:t>CCR 15 - Annual users served by new and modernised tram and metro lines</w:t>
            </w:r>
          </w:p>
        </w:tc>
      </w:tr>
      <w:tr>
        <w:trPr>
          <w:trHeight w:val="1200"/>
        </w:trPr>
        <w:tc>
          <w:tcPr>
            <w:tcW w:w="3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color w:val="000000"/>
                <w:sz w:val="22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color w:val="000000"/>
                <w:sz w:val="22"/>
                <w:lang w:eastAsia="en-GB"/>
              </w:rPr>
              <w:t>4. A more social Europe implementing the European Pillar of Social Rights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22"/>
                <w:lang w:val="en-US" w:eastAsia="en-GB"/>
              </w:rPr>
              <w:t>(i) Enhancing the effectiveness of labour markets and access to quality employment through developing social innovation and infrastructure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22"/>
                <w:lang w:eastAsia="en-GB"/>
              </w:rPr>
              <w:t>CCO 17 - Annual unemployed persons served by enhanced facilities for employment services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22"/>
                <w:lang w:eastAsia="en-GB"/>
              </w:rPr>
              <w:t>CCR 16 - Job seekers using annually enhanced facilities for employment services</w:t>
            </w:r>
          </w:p>
        </w:tc>
      </w:tr>
      <w:tr>
        <w:trPr>
          <w:trHeight w:val="1200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color w:val="000000"/>
                <w:sz w:val="22"/>
                <w:lang w:eastAsia="en-GB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22"/>
                <w:lang w:val="en-US" w:eastAsia="en-GB"/>
              </w:rPr>
              <w:t>(ii) Improving access to inclusive and quality services in education, training and lifelong learning through developing infrastructure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22"/>
                <w:lang w:eastAsia="en-GB"/>
              </w:rPr>
              <w:t>CCO 18 - New or upgraded capacity for childcare and education infrastructure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22"/>
                <w:lang w:eastAsia="en-GB"/>
              </w:rPr>
              <w:t>CCR 17 - Annual users served by new or upgraded childcare and education infrastructure</w:t>
            </w:r>
          </w:p>
        </w:tc>
      </w:tr>
      <w:tr>
        <w:trPr>
          <w:trHeight w:val="1800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color w:val="000000"/>
                <w:sz w:val="22"/>
                <w:lang w:eastAsia="en-GB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22"/>
                <w:lang w:val="en-US" w:eastAsia="en-GB"/>
              </w:rPr>
              <w:t>(iii) Increasing the socio-economic integration of marginalised communities, migrants and disadvantaged groups, through integrated measures including housing and social services;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22"/>
                <w:lang w:eastAsia="en-GB"/>
              </w:rPr>
              <w:t>CCO 19 - Additional capacity of reception infrastructures created or upgraded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22"/>
                <w:lang w:eastAsia="en-GB"/>
              </w:rPr>
              <w:t>CCR 18 - Annual users served by new and improved reception and housing facilities</w:t>
            </w:r>
          </w:p>
        </w:tc>
      </w:tr>
      <w:tr>
        <w:trPr>
          <w:trHeight w:val="600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color w:val="000000"/>
                <w:sz w:val="22"/>
                <w:lang w:eastAsia="en-GB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20"/>
                <w:lang w:val="en-US" w:eastAsia="en-GB"/>
              </w:rPr>
              <w:t xml:space="preserve">(iv) Ensuring equal access to health care through developing infrastructure, including primary </w:t>
            </w:r>
            <w:r>
              <w:rPr>
                <w:rFonts w:eastAsia="Times New Roman"/>
                <w:noProof/>
                <w:color w:val="000000"/>
                <w:sz w:val="22"/>
                <w:lang w:val="en-US" w:eastAsia="en-GB"/>
              </w:rPr>
              <w:t>care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22"/>
                <w:lang w:eastAsia="en-GB"/>
              </w:rPr>
              <w:t xml:space="preserve">CCO 20 - New or upgraded capacity for health care infrastructure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22"/>
                <w:lang w:eastAsia="en-GB"/>
              </w:rPr>
              <w:t>CCR 19 - Population with access to improved health care services</w:t>
            </w:r>
          </w:p>
        </w:tc>
      </w:tr>
      <w:tr>
        <w:trPr>
          <w:trHeight w:val="12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color w:val="000000"/>
                <w:sz w:val="22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color w:val="000000"/>
                <w:sz w:val="22"/>
                <w:lang w:eastAsia="en-GB"/>
              </w:rPr>
              <w:t>5. A Europe closer to citizens by fostering the sustainable and integrated development of urban, rural and coastal areas and local initiatives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22"/>
                <w:lang w:eastAsia="en-GB"/>
              </w:rPr>
              <w:t>(i) Fostering the integrated social, economic and environmental development, cultural heritage and security in urban areas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22"/>
                <w:lang w:eastAsia="en-GB"/>
              </w:rPr>
              <w:t>CCO 21 - Population covered by strategies for integrated urban development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22"/>
                <w:lang w:eastAsia="en-GB"/>
              </w:rPr>
              <w:t> </w:t>
            </w:r>
          </w:p>
        </w:tc>
      </w:tr>
    </w:tbl>
    <w:p>
      <w:pPr>
        <w:rPr>
          <w:noProof/>
        </w:rPr>
      </w:pPr>
    </w:p>
    <w:sectPr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9" w:h="11907" w:orient="landscape" w:code="9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1556050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spacing w:after="0"/>
        <w:ind w:right="-309"/>
        <w:jc w:val="left"/>
        <w:rPr>
          <w:bCs/>
          <w:sz w:val="18"/>
          <w:szCs w:val="18"/>
        </w:rPr>
      </w:pPr>
      <w:r>
        <w:rPr>
          <w:rStyle w:val="FootnoteReference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These indicators will be used by the Commission </w:t>
      </w:r>
      <w:r>
        <w:rPr>
          <w:bCs/>
          <w:iCs/>
          <w:sz w:val="18"/>
          <w:szCs w:val="18"/>
        </w:rPr>
        <w:t>in compliance with its reporting requirement pursuant to Article 38(3)(e)(i) of the [applicable] Financial Regulation.</w:t>
      </w:r>
    </w:p>
    <w:p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2"/>
  <w:hideSpellingErrors/>
  <w:hideGrammaticalErrors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to the "/>
    <w:docVar w:name="LW_ANNEX_NBR_FIRST" w:val="2"/>
    <w:docVar w:name="LW_ANNEX_NBR_LAST" w:val="2"/>
    <w:docVar w:name="LW_ANNEX_UNIQUE" w:val="0"/>
    <w:docVar w:name="LW_CORRIGENDUM" w:val="&lt;UNUSED&gt;"/>
    <w:docVar w:name="LW_COVERPAGE_EXISTS" w:val="True"/>
    <w:docVar w:name="LW_COVERPAGE_GUID" w:val="62DF0CE8-3923-4CA4-B4E2-AE9CB66586CC"/>
    <w:docVar w:name="LW_COVERPAGE_TYPE" w:val="1"/>
    <w:docVar w:name="LW_CROSSREFERENCE" w:val="{SEC(2018) 268 final}_x000b_{SWD(2018) 282 final}_x000b_{SWD(2018) 283 final}"/>
    <w:docVar w:name="LW_DATE.ADOPT.CP_ISODATE" w:val="&lt;EMPTY&gt;"/>
    <w:docVar w:name="LW_DocType" w:val="NORMAL"/>
    <w:docVar w:name="LW_EMISSION" w:val="29.5.2018"/>
    <w:docVar w:name="LW_EMISSION_ISODATE" w:val="2018-05-29"/>
    <w:docVar w:name="LW_EMISSION_LOCATION" w:val="STR"/>
    <w:docVar w:name="LW_EMISSION_PREFIX" w:val="Strasbourg, "/>
    <w:docVar w:name="LW_EMISSION_SUFFIX" w:val="&lt;EMPTY&gt;"/>
    <w:docVar w:name="LW_ID_DOCTYPE_NONLW" w:val="CP-036"/>
    <w:docVar w:name="LW_INTERETEEE.CP" w:val="&lt;UNUSED&gt;"/>
    <w:docVar w:name="LW_LANGUE" w:val="EN"/>
    <w:docVar w:name="LW_LANGUESFAISANTFOI.CP" w:val="&lt;UNUSED&gt;"/>
    <w:docVar w:name="LW_LEVEL_OF_SENSITIVITY" w:val="Standard treatment"/>
    <w:docVar w:name="LW_NOM.INST" w:val="EUROPEAN COMMISSION"/>
    <w:docVar w:name="LW_NOM.INST_JOINTDOC" w:val="&lt;EMPTY&gt;"/>
    <w:docVar w:name="LW_OBJETACTEPRINCIPAL.CP" w:val="on the European Regional Development Fund and on the Cohesion Fund"/>
    <w:docVar w:name="LW_PART_NBR" w:val="1"/>
    <w:docVar w:name="LW_PART_NBR_TOTAL" w:val="1"/>
    <w:docVar w:name="LW_REF.II.NEW.CP" w:val="&lt;UNUSED&gt;"/>
    <w:docVar w:name="LW_REF.II.NEW.CP_NUMBER" w:val="&lt;UNUSED&gt;"/>
    <w:docVar w:name="LW_REF.II.NEW.CP_YEAR" w:val="2018"/>
    <w:docVar w:name="LW_REF.INST.NEW" w:val="COM"/>
    <w:docVar w:name="LW_REF.INST.NEW_ADOPTED" w:val="final"/>
    <w:docVar w:name="LW_REF.INST.NEW_TEXT" w:val="(2018) 372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ITRE.OBJ.CP" w:val="&lt;UNUSED&gt;"/>
    <w:docVar w:name="LW_TYPE.DOC.CP" w:val="ANNEX_x000b_"/>
    <w:docVar w:name="LW_TYPEACTEPRINCIPAL.CP" w:val="Proposal for a_x000b__x000b_REGULATION OF THE EUROPEAN PARLIAMENT AND OF THE COUNC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Typedudocument">
    <w:name w:val="Type du document"/>
    <w:basedOn w:val="Normal"/>
    <w:next w:val="Normal"/>
    <w:link w:val="TypedudocumentChar"/>
    <w:pPr>
      <w:spacing w:before="360" w:after="0"/>
      <w:jc w:val="center"/>
    </w:pPr>
    <w:rPr>
      <w:b/>
    </w:rPr>
  </w:style>
  <w:style w:type="paragraph" w:customStyle="1" w:styleId="Accompagnant">
    <w:name w:val="Accompagnant"/>
    <w:basedOn w:val="Normal"/>
    <w:next w:val="Norm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Norm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Normal"/>
    <w:pPr>
      <w:spacing w:before="0" w:after="360"/>
      <w:jc w:val="center"/>
    </w:pPr>
    <w:rPr>
      <w:b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TypedudocumentChar">
    <w:name w:val="Type du document Char"/>
    <w:basedOn w:val="DefaultParagraphFont"/>
    <w:link w:val="Typedudocument"/>
    <w:rPr>
      <w:rFonts w:ascii="Times New Roman" w:hAnsi="Times New Roman" w:cs="Times New Roman"/>
      <w:b/>
      <w:sz w:val="24"/>
    </w:rPr>
  </w:style>
  <w:style w:type="character" w:customStyle="1" w:styleId="FooterCoverPageChar">
    <w:name w:val="Footer Cover Page Char"/>
    <w:basedOn w:val="TypedudocumentChar"/>
    <w:link w:val="FooterCoverPage"/>
    <w:rPr>
      <w:rFonts w:ascii="Times New Roman" w:hAnsi="Times New Roman" w:cs="Times New Roman"/>
      <w:b w:val="0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character" w:customStyle="1" w:styleId="FooterSensitivityChar">
    <w:name w:val="Footer Sensitivity Char"/>
    <w:basedOn w:val="TypedudocumentChar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before="0"/>
    </w:pPr>
  </w:style>
  <w:style w:type="character" w:customStyle="1" w:styleId="HeaderCoverPageChar">
    <w:name w:val="Header Cover Page Char"/>
    <w:basedOn w:val="TypedudocumentChar"/>
    <w:link w:val="HeaderCoverPage"/>
    <w:rPr>
      <w:rFonts w:ascii="Times New Roman" w:hAnsi="Times New Roman" w:cs="Times New Roman"/>
      <w:b w:val="0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character" w:customStyle="1" w:styleId="HeaderSensitivityChar">
    <w:name w:val="Header Sensitivity Char"/>
    <w:basedOn w:val="TypedudocumentChar"/>
    <w:link w:val="HeaderSensitivity"/>
    <w:rPr>
      <w:rFonts w:ascii="Times New Roman" w:hAnsi="Times New Roman" w:cs="Times New Roman"/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Typedudocument">
    <w:name w:val="Type du document"/>
    <w:basedOn w:val="Normal"/>
    <w:next w:val="Normal"/>
    <w:link w:val="TypedudocumentChar"/>
    <w:pPr>
      <w:spacing w:before="360" w:after="0"/>
      <w:jc w:val="center"/>
    </w:pPr>
    <w:rPr>
      <w:b/>
    </w:rPr>
  </w:style>
  <w:style w:type="paragraph" w:customStyle="1" w:styleId="Accompagnant">
    <w:name w:val="Accompagnant"/>
    <w:basedOn w:val="Normal"/>
    <w:next w:val="Norm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Norm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Normal"/>
    <w:pPr>
      <w:spacing w:before="0" w:after="360"/>
      <w:jc w:val="center"/>
    </w:pPr>
    <w:rPr>
      <w:b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TypedudocumentChar">
    <w:name w:val="Type du document Char"/>
    <w:basedOn w:val="DefaultParagraphFont"/>
    <w:link w:val="Typedudocument"/>
    <w:rPr>
      <w:rFonts w:ascii="Times New Roman" w:hAnsi="Times New Roman" w:cs="Times New Roman"/>
      <w:b/>
      <w:sz w:val="24"/>
    </w:rPr>
  </w:style>
  <w:style w:type="character" w:customStyle="1" w:styleId="FooterCoverPageChar">
    <w:name w:val="Footer Cover Page Char"/>
    <w:basedOn w:val="TypedudocumentChar"/>
    <w:link w:val="FooterCoverPage"/>
    <w:rPr>
      <w:rFonts w:ascii="Times New Roman" w:hAnsi="Times New Roman" w:cs="Times New Roman"/>
      <w:b w:val="0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character" w:customStyle="1" w:styleId="FooterSensitivityChar">
    <w:name w:val="Footer Sensitivity Char"/>
    <w:basedOn w:val="TypedudocumentChar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before="0"/>
    </w:pPr>
  </w:style>
  <w:style w:type="character" w:customStyle="1" w:styleId="HeaderCoverPageChar">
    <w:name w:val="Header Cover Page Char"/>
    <w:basedOn w:val="TypedudocumentChar"/>
    <w:link w:val="HeaderCoverPage"/>
    <w:rPr>
      <w:rFonts w:ascii="Times New Roman" w:hAnsi="Times New Roman" w:cs="Times New Roman"/>
      <w:b w:val="0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character" w:customStyle="1" w:styleId="HeaderSensitivityChar">
    <w:name w:val="Header Sensitivity Char"/>
    <w:basedOn w:val="TypedudocumentChar"/>
    <w:link w:val="HeaderSensitivity"/>
    <w:rPr>
      <w:rFonts w:ascii="Times New Roman" w:hAnsi="Times New Roman" w:cs="Times New Roman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microsoft.com/office/2007/relationships/stylesWithEffects" Target="stylesWithEffect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783</Words>
  <Characters>4584</Characters>
  <Application>Microsoft Office Word</Application>
  <DocSecurity>0</DocSecurity>
  <Lines>218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MEIJER Martine (ECFIN)</dc:creator>
  <cp:lastModifiedBy>DIGIT/A3</cp:lastModifiedBy>
  <cp:revision>9</cp:revision>
  <dcterms:created xsi:type="dcterms:W3CDTF">2018-05-29T11:25:00Z</dcterms:created>
  <dcterms:modified xsi:type="dcterms:W3CDTF">2018-05-29T14:55:00Z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2</vt:lpwstr>
  </property>
  <property fmtid="{D5CDD505-2E9C-101B-9397-08002B2CF9AE}" pid="4" name="Last annex">
    <vt:lpwstr>2</vt:lpwstr>
  </property>
  <property fmtid="{D5CDD505-2E9C-101B-9397-08002B2CF9AE}" pid="5" name="Unique annex">
    <vt:lpwstr>0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DocStatus">
    <vt:lpwstr>Green</vt:lpwstr>
  </property>
</Properties>
</file>