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1955A7A6-5528-49B0-96C7-4B10465917B9" style="width:450.45pt;height:351.85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widowControl w:val="0"/>
        <w:shd w:val="clear" w:color="auto" w:fill="FFFFFF"/>
        <w:autoSpaceDE w:val="0"/>
        <w:autoSpaceDN w:val="0"/>
        <w:adjustRightInd w:val="0"/>
        <w:spacing w:before="230" w:after="0" w:line="269" w:lineRule="exact"/>
        <w:rPr>
          <w:noProof/>
          <w:color w:val="008000"/>
        </w:rPr>
      </w:pPr>
    </w:p>
    <w:p>
      <w:pPr>
        <w:pStyle w:val="Statut"/>
        <w:rPr>
          <w:noProof/>
        </w:rPr>
      </w:pPr>
      <w:r>
        <w:rPr>
          <w:noProof/>
        </w:rPr>
        <w:t>Препоръка за</w:t>
      </w:r>
    </w:p>
    <w:p>
      <w:pPr>
        <w:pStyle w:val="Typedudocument"/>
        <w:rPr>
          <w:noProof/>
        </w:rPr>
      </w:pPr>
      <w:r>
        <w:rPr>
          <w:noProof/>
        </w:rPr>
        <w:t>РЕШЕНИЕ НА СЪВЕТА</w:t>
      </w:r>
    </w:p>
    <w:p>
      <w:pPr>
        <w:pStyle w:val="Titreobjet"/>
        <w:rPr>
          <w:noProof/>
        </w:rPr>
      </w:pPr>
      <w:r>
        <w:rPr>
          <w:noProof/>
        </w:rPr>
        <w:t>с което се констатира, че Румъния не е предприела ефективни действия в отговор на препоръката на Съвета от 5 декември 2017 г.</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w:t>
      </w:r>
    </w:p>
    <w:p>
      <w:pPr>
        <w:rPr>
          <w:noProof/>
        </w:rPr>
      </w:pPr>
      <w:r>
        <w:rPr>
          <w:noProof/>
        </w:rPr>
        <w:t>като взе предвид Регламент (ЕО) № 1466/97 на Съвета</w:t>
      </w:r>
      <w:r>
        <w:rPr>
          <w:rStyle w:val="FootnoteReference"/>
          <w:noProof/>
        </w:rPr>
        <w:footnoteReference w:id="1"/>
      </w:r>
      <w:r>
        <w:rPr>
          <w:noProof/>
        </w:rPr>
        <w:t>, и по-специално член 10, параграф 2, алинея 4 от него,</w:t>
      </w:r>
    </w:p>
    <w:p>
      <w:pPr>
        <w:rPr>
          <w:noProof/>
        </w:rPr>
      </w:pPr>
      <w:r>
        <w:rPr>
          <w:noProof/>
        </w:rPr>
        <w:t>като взе предвид препоръката на Европейската комисия,</w:t>
      </w:r>
    </w:p>
    <w:p>
      <w:pPr>
        <w:rPr>
          <w:noProof/>
        </w:rPr>
      </w:pPr>
      <w:r>
        <w:rPr>
          <w:noProof/>
        </w:rPr>
        <w:t xml:space="preserve">като има предвид, че: </w:t>
      </w:r>
    </w:p>
    <w:p>
      <w:pPr>
        <w:pStyle w:val="Point0number"/>
        <w:numPr>
          <w:ilvl w:val="0"/>
          <w:numId w:val="9"/>
        </w:numPr>
        <w:rPr>
          <w:noProof/>
        </w:rPr>
      </w:pPr>
      <w:r>
        <w:rPr>
          <w:noProof/>
        </w:rPr>
        <w:t>На 16 юни 2017 г. Съветът реши, в съответствие с член 121, параграф 4 от Договора за функционирането на Европейския съюз („ДФЕС“), че съществува значително отклонение от плана за корекции за постигане на средносрочната бюджетна цел в Румъния. С оглед на установено значително отклонение на 16 юни 2017 г. Съветът отправи препоръка</w:t>
      </w:r>
      <w:r>
        <w:rPr>
          <w:rStyle w:val="FootnoteReference"/>
          <w:noProof/>
        </w:rPr>
        <w:footnoteReference w:id="2"/>
      </w:r>
      <w:r>
        <w:rPr>
          <w:noProof/>
        </w:rPr>
        <w:t xml:space="preserve"> за това Румъния да предприеме необходимите мерки, за да гарантира, че номиналният темп на растеж на нетните първични държавни разходи</w:t>
      </w:r>
      <w:r>
        <w:rPr>
          <w:rStyle w:val="FootnoteReference"/>
          <w:noProof/>
        </w:rPr>
        <w:footnoteReference w:id="3"/>
      </w:r>
      <w:r>
        <w:rPr>
          <w:noProof/>
        </w:rPr>
        <w:t xml:space="preserve"> не надвишава 3,3 % през 2017 г., което съответства на годишна корекция на структурното салдо в размер на 0,5 % от БВП. </w:t>
      </w:r>
    </w:p>
    <w:p>
      <w:pPr>
        <w:pStyle w:val="Point0number"/>
        <w:numPr>
          <w:ilvl w:val="0"/>
          <w:numId w:val="9"/>
        </w:numPr>
        <w:rPr>
          <w:noProof/>
        </w:rPr>
      </w:pPr>
      <w:r>
        <w:rPr>
          <w:noProof/>
        </w:rPr>
        <w:t>На 5 декември 2017 г. Съветът заключи</w:t>
      </w:r>
      <w:r>
        <w:rPr>
          <w:rStyle w:val="FootnoteReference"/>
          <w:noProof/>
        </w:rPr>
        <w:footnoteReference w:id="4"/>
      </w:r>
      <w:r>
        <w:rPr>
          <w:noProof/>
        </w:rPr>
        <w:t>, че Румъния не е предприела ефективни действия в отговор на препоръката на Съвета на 16 юни 2017 г. Въз основа на това на 5 декември 2017 г. Съветът издаде преразгледана препоръка</w:t>
      </w:r>
      <w:r>
        <w:rPr>
          <w:rStyle w:val="FootnoteReference"/>
          <w:noProof/>
        </w:rPr>
        <w:footnoteReference w:id="5"/>
      </w:r>
      <w:r>
        <w:rPr>
          <w:noProof/>
        </w:rPr>
        <w:t xml:space="preserve"> за това Румъния да предприеме необходимите мерки, за да гарантира, че номиналният темп на растеж на нетните първични държавни разходи не надвишава 3,3 % през 2018 г., което съответства на годишна корекция на структурното салдо в размер на 0,8 % от БВП. Той също така препоръча на Румъния да използва всички извънредни приходи за намаляване на своя дефицит, а мерките за бюджетна консолидация следва да гарантират трайно подобрение на структурното салдо по консолидирания държавен бюджет по начин, който благоприятства икономическия растеж. Съветът определи краен срок до 15 април 2018 г., в който Румъния да докладва относно действията, предприети в отговор на тази препоръка.</w:t>
      </w:r>
    </w:p>
    <w:p>
      <w:pPr>
        <w:pStyle w:val="Point0number"/>
        <w:rPr>
          <w:noProof/>
        </w:rPr>
      </w:pPr>
      <w:r>
        <w:rPr>
          <w:noProof/>
        </w:rPr>
        <w:t>На 10 и 11 април 2018 г. Комисията проведе мисия за засилено наблюдение в Румъния с цел да извърши мониторинг на място съгласно член 11, параграф 2 от Регламент (ЕО) № 1466/97 на Съвета. След като изпрати предварителните си заключения на румънските органи за коментар, Комисията докладва констатациите си на Съвета на [23] май 2018 г. Впоследствие тези заключения бяха оповестени публично. В доклада на Комисията се установява, че румънските органи не възнамеряват да предприемат действия по препоръката на Съвета от 5 декември 2017 г. Органите потвърдиха по време на мисията, че тяхната цел за 2018 г. остава цел за номиналния дефицит малко по-нисък от 3 % от БВП. Като се има предвид положителната и нарастваща разлика между фактическия и потенциалния БВП, това означава допълнително влошаване на съответния структурен дефицит, в разрез с препоръката на Съвета, и отразява ясна експанзивна фискална политика.</w:t>
      </w:r>
    </w:p>
    <w:p>
      <w:pPr>
        <w:pStyle w:val="Point0number"/>
        <w:rPr>
          <w:noProof/>
        </w:rPr>
      </w:pPr>
      <w:r>
        <w:rPr>
          <w:noProof/>
        </w:rPr>
        <w:t>На 20 април 2018 г., след крайния срок, определен от Съвета, румънските органи предоставиха доклад за предприетите действия в отговор на препоръката на Съвета от 5 декември 2017 г. В доклада органите потвърдиха, че тяхната цел за 2018 г. остава цел за номиналния дефицит малко по-нисък от 3 % от БВП. Фискалното въздействие от докладваните мерки далеч не съответства на изискването в препоръката на Съвета.</w:t>
      </w:r>
    </w:p>
    <w:p>
      <w:pPr>
        <w:pStyle w:val="Point0number"/>
        <w:rPr>
          <w:noProof/>
        </w:rPr>
      </w:pPr>
      <w:r>
        <w:rPr>
          <w:noProof/>
        </w:rPr>
        <w:t>Въз основа на прогнозата на Комисията от пролетта на 2018 г. ръстът на нетните първични държавни разходи ще възлиза на 10,8 %, което е значително над целевия показател за разходите от 3,3 %. Структурното салдо се очаква да се влоши с 0,5 % от БВП през 2018 г., достигайки дефицит от 3,8 % от БВП. Това е в противоречие с препоръчаното подобрение на структурното салдо от 0,8 % от БВП за 2017 г. Следователно, и двата стълба сочат отклонение от препоръчаната корекция с голяма разлика. Целевият показател за разходите сочи, че е налице отклонение от 2,4 % от БВП. Структурното салдо потвърждава това тълкуване, като показва леко по-ниско отклонение от 1,8 % от БВП. Размерът на отклонението на структурното салдо е отрицателно повлиян от по-високата прогноза за потенциалния ръст на БВП в сравнение със средносрочната средна стойност, залегнала в целевия показател за разходите. Като се има предвид това, общата оценка потвърждава отклонението от препоръчаната корекция с голяма разлика.</w:t>
      </w:r>
    </w:p>
    <w:p>
      <w:pPr>
        <w:pStyle w:val="Point0number"/>
        <w:rPr>
          <w:noProof/>
        </w:rPr>
      </w:pPr>
      <w:r>
        <w:rPr>
          <w:noProof/>
        </w:rPr>
        <w:t>Влошаването в сравнение с 2017 г. се дължи до голяма степен на увеличението на разходите за възнагражденията на държавните служители, въведено през лятото на 2017 г. и влязло в сила през януари 2018 г. След прогнозата на Комисията от есента на 2017 г., която бе в основата на препоръката на Съвета от 5 декември 2017 г., органите частично върнаха проведената в миналото цялостната реформа на пенсионната система, като намалиха дела на социалноосигурителните вноски, прехвърляни към втория пенсионен стълб от 2018 г. Това намаление се очаква да има и краткосрочен положителен ефект върху държавните приходи и следователно върху салдото на консолидирания държавен бюджет. Тази печалба за бюджета ще изчезне обаче в дългосрочен план, тъй като социалноосигурителните вноски, отклонени от втория стълб, ще бъдат придружени от задължение за плащане на пенсии за старост в бъдеще.</w:t>
      </w:r>
    </w:p>
    <w:p>
      <w:pPr>
        <w:pStyle w:val="Point0number"/>
        <w:rPr>
          <w:noProof/>
        </w:rPr>
      </w:pPr>
      <w:r>
        <w:rPr>
          <w:noProof/>
        </w:rPr>
        <w:t>Това води до заключението, че действията, предприети от Румъния в отговор на препоръката на Съвета от 5 декември 2017 г., са недостатъчни. Фискалната корекция е по-малка от годишната структурна корекция от 0,8 % от БВП за 2018 г., което съответства на номинален темп на растеж на нетните първични държавни разходи, който не надвишава 3,3 % през 2018 г.,</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bookmarkStart w:id="1" w:name="_CopyToNewDocument_"/>
      <w:bookmarkEnd w:id="1"/>
      <w:r>
        <w:rPr>
          <w:noProof/>
        </w:rPr>
        <w:t>Румъния не е предприела ефективни действия в отговор на препоръката на Съвета на 5 декември 2017 г.</w:t>
      </w:r>
    </w:p>
    <w:p>
      <w:pPr>
        <w:pStyle w:val="Titrearticle"/>
        <w:rPr>
          <w:noProof/>
        </w:rPr>
      </w:pPr>
      <w:r>
        <w:rPr>
          <w:noProof/>
        </w:rPr>
        <w:t>Член 2</w:t>
      </w:r>
    </w:p>
    <w:p>
      <w:pPr>
        <w:rPr>
          <w:noProof/>
        </w:rPr>
      </w:pPr>
      <w:r>
        <w:rPr>
          <w:noProof/>
        </w:rPr>
        <w:t>Адресат на настоящото решение е Румъния.</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209, 2.8.1997 г., стр. 1.</w:t>
      </w:r>
    </w:p>
  </w:footnote>
  <w:footnote w:id="2">
    <w:p>
      <w:pPr>
        <w:pStyle w:val="FootnoteText"/>
      </w:pPr>
      <w:r>
        <w:rPr>
          <w:rStyle w:val="FootnoteReference"/>
        </w:rPr>
        <w:footnoteRef/>
      </w:r>
      <w:r>
        <w:tab/>
        <w:t>ОВ C 216, 6.7.2017 г., стр. 1.</w:t>
      </w:r>
    </w:p>
  </w:footnote>
  <w:footnote w:id="3">
    <w:p>
      <w:pPr>
        <w:pStyle w:val="FootnoteText"/>
      </w:pPr>
      <w:r>
        <w:rPr>
          <w:rStyle w:val="FootnoteReference"/>
        </w:rPr>
        <w:footnoteRef/>
      </w:r>
      <w:r>
        <w:tab/>
        <w:t>Нетните първични държавни разходи включват общите държавни разходи без разходите за лихви, разходите по програми на Съюза, които изцяло се покриват от приходи от средства на Съюза, и недискреционни промени в разходите за обезщетения при безработица. Бруто образуването на основен капитал, финансирано от държавата, се изглажда за 4-годишен период. Дискреционните мерки по отношение на приходите и предвиденото по закон увеличаване на приходите са взети предвид. Еднократните мерки по отношение както на приходите, така и на разходите, са нетирани.</w:t>
      </w:r>
    </w:p>
  </w:footnote>
  <w:footnote w:id="4">
    <w:p>
      <w:pPr>
        <w:pStyle w:val="FootnoteText"/>
      </w:pPr>
      <w:r>
        <w:rPr>
          <w:rStyle w:val="FootnoteReference"/>
        </w:rPr>
        <w:footnoteRef/>
      </w:r>
      <w:r>
        <w:tab/>
        <w:t>ОВ L 340, 20.12.2017 г., стр. 49.</w:t>
      </w:r>
    </w:p>
  </w:footnote>
  <w:footnote w:id="5">
    <w:p>
      <w:pPr>
        <w:pStyle w:val="FootnoteText"/>
      </w:pPr>
      <w:r>
        <w:rPr>
          <w:rStyle w:val="FootnoteReference"/>
        </w:rPr>
        <w:footnoteRef/>
      </w:r>
      <w:r>
        <w:tab/>
        <w:t>ОВ C 439, 20.12.2017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9608FC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588223A"/>
    <w:lvl w:ilvl="0">
      <w:start w:val="1"/>
      <w:numFmt w:val="decimal"/>
      <w:pStyle w:val="ListNumber3"/>
      <w:lvlText w:val="%1."/>
      <w:lvlJc w:val="left"/>
      <w:pPr>
        <w:tabs>
          <w:tab w:val="num" w:pos="926"/>
        </w:tabs>
        <w:ind w:left="926" w:hanging="360"/>
      </w:pPr>
    </w:lvl>
  </w:abstractNum>
  <w:abstractNum w:abstractNumId="2">
    <w:nsid w:val="FFFFFF7F"/>
    <w:multiLevelType w:val="singleLevel"/>
    <w:tmpl w:val="941A586E"/>
    <w:lvl w:ilvl="0">
      <w:start w:val="1"/>
      <w:numFmt w:val="decimal"/>
      <w:pStyle w:val="ListNumber2"/>
      <w:lvlText w:val="%1."/>
      <w:lvlJc w:val="left"/>
      <w:pPr>
        <w:tabs>
          <w:tab w:val="num" w:pos="643"/>
        </w:tabs>
        <w:ind w:left="643" w:hanging="360"/>
      </w:pPr>
    </w:lvl>
  </w:abstractNum>
  <w:abstractNum w:abstractNumId="3">
    <w:nsid w:val="FFFFFF81"/>
    <w:multiLevelType w:val="singleLevel"/>
    <w:tmpl w:val="B7E2FC2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CF6699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6001A4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FFC4D16"/>
    <w:lvl w:ilvl="0">
      <w:start w:val="1"/>
      <w:numFmt w:val="decimal"/>
      <w:pStyle w:val="ListNumber"/>
      <w:lvlText w:val="%1."/>
      <w:lvlJc w:val="left"/>
      <w:pPr>
        <w:tabs>
          <w:tab w:val="num" w:pos="360"/>
        </w:tabs>
        <w:ind w:left="360" w:hanging="360"/>
      </w:pPr>
    </w:lvl>
  </w:abstractNum>
  <w:abstractNum w:abstractNumId="7">
    <w:nsid w:val="FFFFFF89"/>
    <w:multiLevelType w:val="singleLevel"/>
    <w:tmpl w:val="F4B8DA4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CHMITT-NILSON Ralph (ECFIN)">
    <w15:presenceInfo w15:providerId="None" w15:userId="SCHMITT-NILSON Ralph (ECF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30 10:09:0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955A7A6-5528-49B0-96C7-4B10465917B9"/>
    <w:docVar w:name="LW_COVERPAGE_TYPE" w:val="1"/>
    <w:docVar w:name="LW_CROSSREFERENCE" w:val="{SWD(2018) 366 final}"/>
    <w:docVar w:name="LW_DocType" w:val="COM"/>
    <w:docVar w:name="LW_EMISSION" w:val="23.5.2018"/>
    <w:docVar w:name="LW_EMISSION_ISODATE" w:val="2018-05-23"/>
    <w:docVar w:name="LW_EMISSION_LOCATION" w:val="BRX"/>
    <w:docVar w:name="LW_EMISSION_PREFIX" w:val="Брюксел, "/>
    <w:docVar w:name="LW_EMISSION_SUFFIX" w:val="&lt;EMPTY&gt;"/>
    <w:docVar w:name="LW_ID_DOCMODEL" w:val="SG-001"/>
    <w:docVar w:name="LW_ID_DOCSIGNATURE" w:val="SG-001"/>
    <w:docVar w:name="LW_ID_DOCSTRUCTURE" w:val="COM/PL/ORG"/>
    <w:docVar w:name="LW_ID_DOCTYPE" w:val="SG-001"/>
    <w:docVar w:name="LW_ID_EXP.MOTIFS.NEW" w:val="EM_PL_"/>
    <w:docVar w:name="LW_ID_STATUT" w:val="SG-001"/>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4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87?\u1086?\u1088?\u1098?\u1082?\u1072? \u1079?\u1072?"/>
    <w:docVar w:name="LW_SUPERTITRE" w:val="&lt;UNUSED&gt;"/>
    <w:docVar w:name="LW_TITRE.OBJ.CP" w:val="\u1089? \u1082?\u1086?\u1077?\u1090?\u1086? \u1089?\u1077? \u1082?\u1086?\u1085?\u1089?\u1090?\u1072?\u1090?\u1080?\u1088?\u1072?, \u1095?\u1077? \u1056?\u1091?\u1084?\u1098?\u1085?\u1080?\u1103? \u1085?\u1077? \u1077? \u1087?\u1088?\u1077?\u1076?\u1087?\u1088?\u1080?\u1077?\u1083?\u1072? \u1077?\u1092?\u1077?\u1082?\u1090?\u1080?\u1074?\u1085?\u1080? \u1076?\u1077?\u1081?\u1089?\u1090?\u1074?\u1080?\u1103? \u1074? \u1086?\u1090?\u1075?\u1086?\u1074?\u1086?\u1088? \u1085?\u1072? \u1087?\u1088?\u1077?\u1087?\u1086?\u1088?\u1098?\u1082?\u1072?\u1090?\u1072? \u1085?\u1072? \u1057?\u1098?\u1074?\u1077?\u1090?\u1072? \u1086?\u1090? 5 \u1076?\u1077?\u1082?\u1077?\u1084?\u1074?\u1088?\u1080? 2017 \u1075?."/>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2C1FB-F90A-4064-AAEC-4C2D95048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4</Pages>
  <Words>906</Words>
  <Characters>4794</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dcterms:created xsi:type="dcterms:W3CDTF">2018-05-24T11:14:00Z</dcterms:created>
  <dcterms:modified xsi:type="dcterms:W3CDTF">2018-05-30T08:09:00Z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Green (DQC version 03)</vt:lpwstr>
  </property>
</Properties>
</file>