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27" w:rsidRDefault="00742A12" w:rsidP="00742A1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D88E2F1-8137-4FC5-B918-1E9196D040FA" style="width:450.45pt;height:418.2pt">
            <v:imagedata r:id="rId12" o:title=""/>
          </v:shape>
        </w:pict>
      </w:r>
    </w:p>
    <w:bookmarkEnd w:id="0"/>
    <w:p w:rsidR="003A1527" w:rsidRDefault="003A1527">
      <w:pPr>
        <w:rPr>
          <w:noProof/>
        </w:rPr>
        <w:sectPr w:rsidR="003A1527" w:rsidSect="00742A12">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3A1527" w:rsidRDefault="003A1527">
      <w:pPr>
        <w:spacing w:line="240" w:lineRule="auto"/>
        <w:jc w:val="both"/>
        <w:rPr>
          <w:rFonts w:ascii="Times New Roman" w:hAnsi="Times New Roman" w:cs="Times New Roman"/>
          <w:noProof/>
          <w:sz w:val="24"/>
          <w:szCs w:val="24"/>
        </w:rPr>
      </w:pPr>
    </w:p>
    <w:p w:rsidR="003A1527" w:rsidRDefault="003A1527">
      <w:pPr>
        <w:spacing w:line="240" w:lineRule="auto"/>
        <w:jc w:val="both"/>
        <w:rPr>
          <w:rFonts w:ascii="Times New Roman" w:hAnsi="Times New Roman" w:cs="Times New Roman"/>
          <w:noProof/>
          <w:sz w:val="24"/>
          <w:szCs w:val="24"/>
        </w:rPr>
      </w:pPr>
    </w:p>
    <w:p w:rsidR="003A1527" w:rsidRDefault="00742A12">
      <w:pPr>
        <w:pStyle w:val="TOCHeading"/>
        <w:jc w:val="both"/>
        <w:rPr>
          <w:rFonts w:ascii="Times New Roman" w:eastAsia="Times New Roman" w:hAnsi="Times New Roman" w:cs="Times New Roman"/>
          <w:b/>
          <w:smallCaps/>
          <w:noProof/>
          <w:color w:val="auto"/>
          <w:sz w:val="24"/>
          <w:szCs w:val="24"/>
        </w:rPr>
      </w:pPr>
      <w:r>
        <w:rPr>
          <w:rFonts w:ascii="Times New Roman" w:eastAsia="Times New Roman" w:hAnsi="Times New Roman" w:cs="Times New Roman"/>
          <w:b/>
          <w:smallCaps/>
          <w:noProof/>
          <w:color w:val="auto"/>
          <w:sz w:val="24"/>
          <w:szCs w:val="24"/>
        </w:rPr>
        <w:t>Table of contents</w:t>
      </w:r>
    </w:p>
    <w:p w:rsidR="003A1527" w:rsidRDefault="003A1527">
      <w:pPr>
        <w:spacing w:line="240" w:lineRule="auto"/>
        <w:jc w:val="both"/>
        <w:rPr>
          <w:noProof/>
          <w:sz w:val="24"/>
          <w:szCs w:val="24"/>
        </w:rPr>
      </w:pPr>
    </w:p>
    <w:p w:rsidR="003A1527" w:rsidRDefault="003A1527">
      <w:pPr>
        <w:spacing w:line="240" w:lineRule="auto"/>
        <w:jc w:val="both"/>
        <w:rPr>
          <w:noProof/>
          <w:sz w:val="24"/>
          <w:szCs w:val="24"/>
        </w:rPr>
      </w:pPr>
    </w:p>
    <w:p w:rsidR="003A1527" w:rsidRDefault="00742A12">
      <w:pPr>
        <w:pStyle w:val="TOC1"/>
        <w:rPr>
          <w:rFonts w:asciiTheme="minorHAnsi" w:eastAsiaTheme="minorEastAsia" w:hAnsiTheme="minorHAnsi" w:cstheme="minorBidi"/>
          <w:caps w:val="0"/>
          <w:noProof/>
          <w:sz w:val="24"/>
          <w:szCs w:val="24"/>
          <w:lang w:eastAsia="en-GB"/>
        </w:rPr>
      </w:pPr>
      <w:r>
        <w:rPr>
          <w:noProof/>
          <w:sz w:val="24"/>
          <w:szCs w:val="24"/>
        </w:rPr>
        <w:fldChar w:fldCharType="begin"/>
      </w:r>
      <w:r>
        <w:rPr>
          <w:noProof/>
          <w:sz w:val="24"/>
          <w:szCs w:val="24"/>
        </w:rPr>
        <w:instrText xml:space="preserve"> TOC \o "1-1" \h \z \t "Heading 2;2;Heading 3;3;Annex Title;1" </w:instrText>
      </w:r>
      <w:r>
        <w:rPr>
          <w:noProof/>
          <w:sz w:val="24"/>
          <w:szCs w:val="24"/>
        </w:rPr>
        <w:fldChar w:fldCharType="separate"/>
      </w:r>
      <w:hyperlink w:anchor="_Toc514401930" w:history="1">
        <w:r>
          <w:rPr>
            <w:rStyle w:val="Hyperlink"/>
            <w:b/>
            <w:smallCaps/>
            <w:noProof/>
            <w:sz w:val="24"/>
            <w:szCs w:val="24"/>
          </w:rPr>
          <w:t xml:space="preserve">1. Introduction: political and </w:t>
        </w:r>
        <w:r>
          <w:rPr>
            <w:rStyle w:val="Hyperlink"/>
            <w:b/>
            <w:smallCaps/>
            <w:noProof/>
            <w:sz w:val="24"/>
            <w:szCs w:val="24"/>
          </w:rPr>
          <w:t>legal context</w:t>
        </w:r>
        <w:r>
          <w:rPr>
            <w:noProof/>
            <w:webHidden/>
            <w:sz w:val="24"/>
            <w:szCs w:val="24"/>
          </w:rPr>
          <w:tab/>
        </w:r>
        <w:r>
          <w:rPr>
            <w:noProof/>
            <w:webHidden/>
            <w:sz w:val="24"/>
            <w:szCs w:val="24"/>
          </w:rPr>
          <w:fldChar w:fldCharType="begin"/>
        </w:r>
        <w:r>
          <w:rPr>
            <w:noProof/>
            <w:webHidden/>
            <w:sz w:val="24"/>
            <w:szCs w:val="24"/>
          </w:rPr>
          <w:instrText xml:space="preserve"> PAGEREF _Toc514401930 \h </w:instrText>
        </w:r>
        <w:r>
          <w:rPr>
            <w:noProof/>
            <w:webHidden/>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rsidR="003A1527" w:rsidRDefault="00742A12">
      <w:pPr>
        <w:pStyle w:val="TOC2"/>
        <w:rPr>
          <w:rFonts w:asciiTheme="minorHAnsi" w:eastAsiaTheme="minorEastAsia" w:hAnsiTheme="minorHAnsi" w:cstheme="minorBidi"/>
          <w:noProof/>
          <w:szCs w:val="24"/>
          <w:lang w:eastAsia="en-GB"/>
        </w:rPr>
      </w:pPr>
      <w:hyperlink w:anchor="_Toc514401931" w:history="1">
        <w:r>
          <w:rPr>
            <w:rStyle w:val="Hyperlink"/>
            <w:b/>
            <w:noProof/>
            <w:szCs w:val="24"/>
          </w:rPr>
          <w:t>1.1 Scope and context</w:t>
        </w:r>
        <w:r>
          <w:rPr>
            <w:noProof/>
            <w:webHidden/>
            <w:szCs w:val="24"/>
          </w:rPr>
          <w:tab/>
        </w:r>
        <w:r>
          <w:rPr>
            <w:noProof/>
            <w:webHidden/>
            <w:szCs w:val="24"/>
          </w:rPr>
          <w:fldChar w:fldCharType="begin"/>
        </w:r>
        <w:r>
          <w:rPr>
            <w:noProof/>
            <w:webHidden/>
            <w:szCs w:val="24"/>
          </w:rPr>
          <w:instrText xml:space="preserve"> PAGEREF _Toc514401931 \h </w:instrText>
        </w:r>
        <w:r>
          <w:rPr>
            <w:noProof/>
            <w:webHidden/>
            <w:szCs w:val="24"/>
          </w:rPr>
        </w:r>
        <w:r>
          <w:rPr>
            <w:noProof/>
            <w:webHidden/>
            <w:szCs w:val="24"/>
          </w:rPr>
          <w:fldChar w:fldCharType="separate"/>
        </w:r>
        <w:r>
          <w:rPr>
            <w:noProof/>
            <w:webHidden/>
            <w:szCs w:val="24"/>
          </w:rPr>
          <w:t>3</w:t>
        </w:r>
        <w:r>
          <w:rPr>
            <w:noProof/>
            <w:webHidden/>
            <w:szCs w:val="24"/>
          </w:rPr>
          <w:fldChar w:fldCharType="end"/>
        </w:r>
      </w:hyperlink>
    </w:p>
    <w:p w:rsidR="003A1527" w:rsidRDefault="00742A12">
      <w:pPr>
        <w:pStyle w:val="TOC2"/>
        <w:rPr>
          <w:rFonts w:asciiTheme="minorHAnsi" w:eastAsiaTheme="minorEastAsia" w:hAnsiTheme="minorHAnsi" w:cstheme="minorBidi"/>
          <w:noProof/>
          <w:szCs w:val="24"/>
          <w:lang w:eastAsia="en-GB"/>
        </w:rPr>
      </w:pPr>
      <w:hyperlink w:anchor="_Toc514401932" w:history="1">
        <w:r>
          <w:rPr>
            <w:rStyle w:val="Hyperlink"/>
            <w:b/>
            <w:noProof/>
            <w:szCs w:val="24"/>
          </w:rPr>
          <w:t>1.2 Lessons learned from previous programmes and related mid-term evaluations</w:t>
        </w:r>
        <w:r>
          <w:rPr>
            <w:noProof/>
            <w:webHidden/>
            <w:szCs w:val="24"/>
          </w:rPr>
          <w:tab/>
        </w:r>
        <w:r>
          <w:rPr>
            <w:noProof/>
            <w:webHidden/>
            <w:szCs w:val="24"/>
          </w:rPr>
          <w:fldChar w:fldCharType="begin"/>
        </w:r>
        <w:r>
          <w:rPr>
            <w:noProof/>
            <w:webHidden/>
            <w:szCs w:val="24"/>
          </w:rPr>
          <w:instrText xml:space="preserve"> PAGEREF _Toc514401932 \h </w:instrText>
        </w:r>
        <w:r>
          <w:rPr>
            <w:noProof/>
            <w:webHidden/>
            <w:szCs w:val="24"/>
          </w:rPr>
        </w:r>
        <w:r>
          <w:rPr>
            <w:noProof/>
            <w:webHidden/>
            <w:szCs w:val="24"/>
          </w:rPr>
          <w:fldChar w:fldCharType="separate"/>
        </w:r>
        <w:r>
          <w:rPr>
            <w:noProof/>
            <w:webHidden/>
            <w:szCs w:val="24"/>
          </w:rPr>
          <w:t>5</w:t>
        </w:r>
        <w:r>
          <w:rPr>
            <w:noProof/>
            <w:webHidden/>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33" w:history="1">
        <w:r>
          <w:rPr>
            <w:rStyle w:val="Hyperlink"/>
            <w:b/>
            <w:smallCaps/>
            <w:noProof/>
            <w:sz w:val="24"/>
            <w:szCs w:val="24"/>
          </w:rPr>
          <w:t xml:space="preserve">2. </w:t>
        </w:r>
        <w:r>
          <w:rPr>
            <w:rFonts w:asciiTheme="minorHAnsi" w:eastAsiaTheme="minorEastAsia" w:hAnsiTheme="minorHAnsi" w:cstheme="minorBidi"/>
            <w:caps w:val="0"/>
            <w:noProof/>
            <w:sz w:val="24"/>
            <w:szCs w:val="24"/>
            <w:lang w:eastAsia="en-GB"/>
          </w:rPr>
          <w:tab/>
        </w:r>
        <w:r>
          <w:rPr>
            <w:rStyle w:val="Hyperlink"/>
            <w:b/>
            <w:smallCaps/>
            <w:noProof/>
            <w:sz w:val="24"/>
            <w:szCs w:val="24"/>
          </w:rPr>
          <w:t>THE OBJECTIVES</w:t>
        </w:r>
        <w:r>
          <w:rPr>
            <w:noProof/>
            <w:webHidden/>
            <w:sz w:val="24"/>
            <w:szCs w:val="24"/>
          </w:rPr>
          <w:tab/>
        </w:r>
        <w:r>
          <w:rPr>
            <w:noProof/>
            <w:webHidden/>
            <w:sz w:val="24"/>
            <w:szCs w:val="24"/>
          </w:rPr>
          <w:fldChar w:fldCharType="begin"/>
        </w:r>
        <w:r>
          <w:rPr>
            <w:noProof/>
            <w:webHidden/>
            <w:sz w:val="24"/>
            <w:szCs w:val="24"/>
          </w:rPr>
          <w:instrText xml:space="preserve"> PAGEREF _Toc514401933 \h </w:instrText>
        </w:r>
        <w:r>
          <w:rPr>
            <w:noProof/>
            <w:webHidden/>
            <w:sz w:val="24"/>
            <w:szCs w:val="24"/>
          </w:rPr>
        </w:r>
        <w:r>
          <w:rPr>
            <w:noProof/>
            <w:webHidden/>
            <w:sz w:val="24"/>
            <w:szCs w:val="24"/>
          </w:rPr>
          <w:fldChar w:fldCharType="separate"/>
        </w:r>
        <w:r>
          <w:rPr>
            <w:noProof/>
            <w:webHidden/>
            <w:sz w:val="24"/>
            <w:szCs w:val="24"/>
          </w:rPr>
          <w:t>8</w:t>
        </w:r>
        <w:r>
          <w:rPr>
            <w:noProof/>
            <w:webHidden/>
            <w:sz w:val="24"/>
            <w:szCs w:val="24"/>
          </w:rPr>
          <w:fldChar w:fldCharType="end"/>
        </w:r>
      </w:hyperlink>
    </w:p>
    <w:p w:rsidR="003A1527" w:rsidRDefault="00742A12">
      <w:pPr>
        <w:pStyle w:val="TOC2"/>
        <w:rPr>
          <w:rFonts w:asciiTheme="minorHAnsi" w:eastAsiaTheme="minorEastAsia" w:hAnsiTheme="minorHAnsi" w:cstheme="minorBidi"/>
          <w:noProof/>
          <w:szCs w:val="24"/>
          <w:lang w:eastAsia="en-GB"/>
        </w:rPr>
      </w:pPr>
      <w:hyperlink w:anchor="_Toc514401934" w:history="1">
        <w:r>
          <w:rPr>
            <w:rStyle w:val="Hyperlink"/>
            <w:b/>
            <w:noProof/>
            <w:szCs w:val="24"/>
          </w:rPr>
          <w:t>2.1 Challenges for the programmes of the next MFF</w:t>
        </w:r>
        <w:r>
          <w:rPr>
            <w:noProof/>
            <w:webHidden/>
            <w:szCs w:val="24"/>
          </w:rPr>
          <w:tab/>
        </w:r>
        <w:r>
          <w:rPr>
            <w:noProof/>
            <w:webHidden/>
            <w:szCs w:val="24"/>
          </w:rPr>
          <w:fldChar w:fldCharType="begin"/>
        </w:r>
        <w:r>
          <w:rPr>
            <w:noProof/>
            <w:webHidden/>
            <w:szCs w:val="24"/>
          </w:rPr>
          <w:instrText xml:space="preserve"> PAGEREF _Toc514401934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rsidR="003A1527" w:rsidRDefault="00742A12">
      <w:pPr>
        <w:pStyle w:val="TOC2"/>
        <w:rPr>
          <w:rFonts w:asciiTheme="minorHAnsi" w:eastAsiaTheme="minorEastAsia" w:hAnsiTheme="minorHAnsi" w:cstheme="minorBidi"/>
          <w:noProof/>
          <w:szCs w:val="24"/>
          <w:lang w:eastAsia="en-GB"/>
        </w:rPr>
      </w:pPr>
      <w:hyperlink w:anchor="_Toc514401935" w:history="1">
        <w:r>
          <w:rPr>
            <w:rStyle w:val="Hyperlink"/>
            <w:b/>
            <w:noProof/>
            <w:szCs w:val="24"/>
          </w:rPr>
          <w:t>2.2 Objectives of the programmes under the next MFF</w:t>
        </w:r>
        <w:r>
          <w:rPr>
            <w:noProof/>
            <w:webHidden/>
            <w:szCs w:val="24"/>
          </w:rPr>
          <w:tab/>
        </w:r>
        <w:r>
          <w:rPr>
            <w:noProof/>
            <w:webHidden/>
            <w:szCs w:val="24"/>
          </w:rPr>
          <w:fldChar w:fldCharType="begin"/>
        </w:r>
        <w:r>
          <w:rPr>
            <w:noProof/>
            <w:webHidden/>
            <w:szCs w:val="24"/>
          </w:rPr>
          <w:instrText xml:space="preserve"> PAGEREF _Toc514401935 \h </w:instrText>
        </w:r>
        <w:r>
          <w:rPr>
            <w:noProof/>
            <w:webHidden/>
            <w:szCs w:val="24"/>
          </w:rPr>
        </w:r>
        <w:r>
          <w:rPr>
            <w:noProof/>
            <w:webHidden/>
            <w:szCs w:val="24"/>
          </w:rPr>
          <w:fldChar w:fldCharType="separate"/>
        </w:r>
        <w:r>
          <w:rPr>
            <w:noProof/>
            <w:webHidden/>
            <w:szCs w:val="24"/>
          </w:rPr>
          <w:t>23</w:t>
        </w:r>
        <w:r>
          <w:rPr>
            <w:noProof/>
            <w:webHidden/>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36" w:history="1">
        <w:r>
          <w:rPr>
            <w:rStyle w:val="Hyperlink"/>
            <w:b/>
            <w:smallCaps/>
            <w:noProof/>
            <w:sz w:val="24"/>
            <w:szCs w:val="24"/>
          </w:rPr>
          <w:t>3.</w:t>
        </w:r>
        <w:r>
          <w:rPr>
            <w:rFonts w:asciiTheme="minorHAnsi" w:eastAsiaTheme="minorEastAsia" w:hAnsiTheme="minorHAnsi" w:cstheme="minorBidi"/>
            <w:caps w:val="0"/>
            <w:noProof/>
            <w:sz w:val="24"/>
            <w:szCs w:val="24"/>
            <w:lang w:eastAsia="en-GB"/>
          </w:rPr>
          <w:tab/>
        </w:r>
        <w:r>
          <w:rPr>
            <w:rStyle w:val="Hyperlink"/>
            <w:b/>
            <w:smallCaps/>
            <w:noProof/>
            <w:sz w:val="24"/>
            <w:szCs w:val="24"/>
          </w:rPr>
          <w:t xml:space="preserve"> Programme structure and priorities</w:t>
        </w:r>
        <w:r>
          <w:rPr>
            <w:noProof/>
            <w:webHidden/>
            <w:sz w:val="24"/>
            <w:szCs w:val="24"/>
          </w:rPr>
          <w:tab/>
        </w:r>
        <w:r>
          <w:rPr>
            <w:noProof/>
            <w:webHidden/>
            <w:sz w:val="24"/>
            <w:szCs w:val="24"/>
          </w:rPr>
          <w:fldChar w:fldCharType="begin"/>
        </w:r>
        <w:r>
          <w:rPr>
            <w:noProof/>
            <w:webHidden/>
            <w:sz w:val="24"/>
            <w:szCs w:val="24"/>
          </w:rPr>
          <w:instrText xml:space="preserve"> PAGEREF _Toc514401936 \h </w:instrText>
        </w:r>
        <w:r>
          <w:rPr>
            <w:noProof/>
            <w:webHidden/>
            <w:sz w:val="24"/>
            <w:szCs w:val="24"/>
          </w:rPr>
        </w:r>
        <w:r>
          <w:rPr>
            <w:noProof/>
            <w:webHidden/>
            <w:sz w:val="24"/>
            <w:szCs w:val="24"/>
          </w:rPr>
          <w:fldChar w:fldCharType="separate"/>
        </w:r>
        <w:r>
          <w:rPr>
            <w:noProof/>
            <w:webHidden/>
            <w:sz w:val="24"/>
            <w:szCs w:val="24"/>
          </w:rPr>
          <w:t>25</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37" w:history="1">
        <w:r>
          <w:rPr>
            <w:rStyle w:val="Hyperlink"/>
            <w:b/>
            <w:smallCaps/>
            <w:noProof/>
            <w:sz w:val="24"/>
            <w:szCs w:val="24"/>
          </w:rPr>
          <w:t xml:space="preserve">4. </w:t>
        </w:r>
        <w:r>
          <w:rPr>
            <w:rFonts w:asciiTheme="minorHAnsi" w:eastAsiaTheme="minorEastAsia" w:hAnsiTheme="minorHAnsi" w:cstheme="minorBidi"/>
            <w:caps w:val="0"/>
            <w:noProof/>
            <w:sz w:val="24"/>
            <w:szCs w:val="24"/>
            <w:lang w:eastAsia="en-GB"/>
          </w:rPr>
          <w:tab/>
        </w:r>
        <w:r>
          <w:rPr>
            <w:rStyle w:val="Hyperlink"/>
            <w:b/>
            <w:smallCaps/>
            <w:noProof/>
            <w:sz w:val="24"/>
            <w:szCs w:val="24"/>
          </w:rPr>
          <w:t xml:space="preserve">Delivery mechanisms of the </w:t>
        </w:r>
        <w:r>
          <w:rPr>
            <w:rStyle w:val="Hyperlink"/>
            <w:b/>
            <w:smallCaps/>
            <w:noProof/>
            <w:sz w:val="24"/>
            <w:szCs w:val="24"/>
          </w:rPr>
          <w:t>intended funding</w:t>
        </w:r>
        <w:r>
          <w:rPr>
            <w:noProof/>
            <w:webHidden/>
            <w:sz w:val="24"/>
            <w:szCs w:val="24"/>
          </w:rPr>
          <w:tab/>
        </w:r>
        <w:r>
          <w:rPr>
            <w:noProof/>
            <w:webHidden/>
            <w:sz w:val="24"/>
            <w:szCs w:val="24"/>
          </w:rPr>
          <w:fldChar w:fldCharType="begin"/>
        </w:r>
        <w:r>
          <w:rPr>
            <w:noProof/>
            <w:webHidden/>
            <w:sz w:val="24"/>
            <w:szCs w:val="24"/>
          </w:rPr>
          <w:instrText xml:space="preserve"> PAGEREF _Toc514401937 \h </w:instrText>
        </w:r>
        <w:r>
          <w:rPr>
            <w:noProof/>
            <w:webHidden/>
            <w:sz w:val="24"/>
            <w:szCs w:val="24"/>
          </w:rPr>
        </w:r>
        <w:r>
          <w:rPr>
            <w:noProof/>
            <w:webHidden/>
            <w:sz w:val="24"/>
            <w:szCs w:val="24"/>
          </w:rPr>
          <w:fldChar w:fldCharType="separate"/>
        </w:r>
        <w:r>
          <w:rPr>
            <w:noProof/>
            <w:webHidden/>
            <w:sz w:val="24"/>
            <w:szCs w:val="24"/>
          </w:rPr>
          <w:t>31</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38" w:history="1">
        <w:r>
          <w:rPr>
            <w:rStyle w:val="Hyperlink"/>
            <w:b/>
            <w:smallCaps/>
            <w:noProof/>
            <w:sz w:val="24"/>
            <w:szCs w:val="24"/>
          </w:rPr>
          <w:t xml:space="preserve">5. </w:t>
        </w:r>
        <w:r>
          <w:rPr>
            <w:rFonts w:asciiTheme="minorHAnsi" w:eastAsiaTheme="minorEastAsia" w:hAnsiTheme="minorHAnsi" w:cstheme="minorBidi"/>
            <w:caps w:val="0"/>
            <w:noProof/>
            <w:sz w:val="24"/>
            <w:szCs w:val="24"/>
            <w:lang w:eastAsia="en-GB"/>
          </w:rPr>
          <w:tab/>
        </w:r>
        <w:r>
          <w:rPr>
            <w:rStyle w:val="Hyperlink"/>
            <w:b/>
            <w:smallCaps/>
            <w:noProof/>
            <w:sz w:val="24"/>
            <w:szCs w:val="24"/>
          </w:rPr>
          <w:t>How will performance be monitored and evaluated?</w:t>
        </w:r>
        <w:r>
          <w:rPr>
            <w:noProof/>
            <w:webHidden/>
            <w:sz w:val="24"/>
            <w:szCs w:val="24"/>
          </w:rPr>
          <w:tab/>
        </w:r>
        <w:r>
          <w:rPr>
            <w:noProof/>
            <w:webHidden/>
            <w:sz w:val="24"/>
            <w:szCs w:val="24"/>
          </w:rPr>
          <w:fldChar w:fldCharType="begin"/>
        </w:r>
        <w:r>
          <w:rPr>
            <w:noProof/>
            <w:webHidden/>
            <w:sz w:val="24"/>
            <w:szCs w:val="24"/>
          </w:rPr>
          <w:instrText xml:space="preserve"> PAGEREF _Toc514401938 \h </w:instrText>
        </w:r>
        <w:r>
          <w:rPr>
            <w:noProof/>
            <w:webHidden/>
            <w:sz w:val="24"/>
            <w:szCs w:val="24"/>
          </w:rPr>
        </w:r>
        <w:r>
          <w:rPr>
            <w:noProof/>
            <w:webHidden/>
            <w:sz w:val="24"/>
            <w:szCs w:val="24"/>
          </w:rPr>
          <w:fldChar w:fldCharType="separate"/>
        </w:r>
        <w:r>
          <w:rPr>
            <w:noProof/>
            <w:webHidden/>
            <w:sz w:val="24"/>
            <w:szCs w:val="24"/>
          </w:rPr>
          <w:t>42</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39" w:history="1">
        <w:r>
          <w:rPr>
            <w:rStyle w:val="Hyperlink"/>
            <w:noProof/>
            <w:sz w:val="24"/>
            <w:szCs w:val="24"/>
          </w:rPr>
          <w:t>Annex 1: Procedural information</w:t>
        </w:r>
        <w:r>
          <w:rPr>
            <w:noProof/>
            <w:webHidden/>
            <w:sz w:val="24"/>
            <w:szCs w:val="24"/>
          </w:rPr>
          <w:tab/>
        </w:r>
        <w:r>
          <w:rPr>
            <w:noProof/>
            <w:webHidden/>
            <w:sz w:val="24"/>
            <w:szCs w:val="24"/>
          </w:rPr>
          <w:fldChar w:fldCharType="begin"/>
        </w:r>
        <w:r>
          <w:rPr>
            <w:noProof/>
            <w:webHidden/>
            <w:sz w:val="24"/>
            <w:szCs w:val="24"/>
          </w:rPr>
          <w:instrText xml:space="preserve"> PAGEREF _Toc514401939 \h </w:instrText>
        </w:r>
        <w:r>
          <w:rPr>
            <w:noProof/>
            <w:webHidden/>
            <w:sz w:val="24"/>
            <w:szCs w:val="24"/>
          </w:rPr>
        </w:r>
        <w:r>
          <w:rPr>
            <w:noProof/>
            <w:webHidden/>
            <w:sz w:val="24"/>
            <w:szCs w:val="24"/>
          </w:rPr>
          <w:fldChar w:fldCharType="separate"/>
        </w:r>
        <w:r>
          <w:rPr>
            <w:noProof/>
            <w:webHidden/>
            <w:sz w:val="24"/>
            <w:szCs w:val="24"/>
          </w:rPr>
          <w:t>46</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0" w:history="1">
        <w:r>
          <w:rPr>
            <w:rStyle w:val="Hyperlink"/>
            <w:noProof/>
            <w:sz w:val="24"/>
            <w:szCs w:val="24"/>
          </w:rPr>
          <w:t>1.</w:t>
        </w:r>
        <w:r>
          <w:rPr>
            <w:rFonts w:asciiTheme="minorHAnsi" w:eastAsiaTheme="minorEastAsia" w:hAnsiTheme="minorHAnsi" w:cstheme="minorBidi"/>
            <w:caps w:val="0"/>
            <w:noProof/>
            <w:sz w:val="24"/>
            <w:szCs w:val="24"/>
            <w:lang w:eastAsia="en-GB"/>
          </w:rPr>
          <w:tab/>
        </w:r>
        <w:r>
          <w:rPr>
            <w:rStyle w:val="Hyperlink"/>
            <w:noProof/>
            <w:sz w:val="24"/>
            <w:szCs w:val="24"/>
          </w:rPr>
          <w:t>Lead DG(s), D</w:t>
        </w:r>
        <w:r>
          <w:rPr>
            <w:rStyle w:val="Hyperlink"/>
            <w:i/>
            <w:noProof/>
            <w:sz w:val="24"/>
            <w:szCs w:val="24"/>
          </w:rPr>
          <w:t>e</w:t>
        </w:r>
        <w:r>
          <w:rPr>
            <w:rStyle w:val="Hyperlink"/>
            <w:noProof/>
            <w:sz w:val="24"/>
            <w:szCs w:val="24"/>
          </w:rPr>
          <w:t xml:space="preserve">cide </w:t>
        </w:r>
        <w:r>
          <w:rPr>
            <w:rStyle w:val="Hyperlink"/>
            <w:noProof/>
            <w:sz w:val="24"/>
            <w:szCs w:val="24"/>
          </w:rPr>
          <w:t>Planning/CWP references</w:t>
        </w:r>
        <w:r>
          <w:rPr>
            <w:noProof/>
            <w:webHidden/>
            <w:sz w:val="24"/>
            <w:szCs w:val="24"/>
          </w:rPr>
          <w:tab/>
        </w:r>
        <w:r>
          <w:rPr>
            <w:noProof/>
            <w:webHidden/>
            <w:sz w:val="24"/>
            <w:szCs w:val="24"/>
          </w:rPr>
          <w:fldChar w:fldCharType="begin"/>
        </w:r>
        <w:r>
          <w:rPr>
            <w:noProof/>
            <w:webHidden/>
            <w:sz w:val="24"/>
            <w:szCs w:val="24"/>
          </w:rPr>
          <w:instrText xml:space="preserve"> PAGEREF _Toc514401940 \h </w:instrText>
        </w:r>
        <w:r>
          <w:rPr>
            <w:noProof/>
            <w:webHidden/>
            <w:sz w:val="24"/>
            <w:szCs w:val="24"/>
          </w:rPr>
        </w:r>
        <w:r>
          <w:rPr>
            <w:noProof/>
            <w:webHidden/>
            <w:sz w:val="24"/>
            <w:szCs w:val="24"/>
          </w:rPr>
          <w:fldChar w:fldCharType="separate"/>
        </w:r>
        <w:r>
          <w:rPr>
            <w:noProof/>
            <w:webHidden/>
            <w:sz w:val="24"/>
            <w:szCs w:val="24"/>
          </w:rPr>
          <w:t>46</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1" w:history="1">
        <w:r>
          <w:rPr>
            <w:rStyle w:val="Hyperlink"/>
            <w:noProof/>
            <w:sz w:val="24"/>
            <w:szCs w:val="24"/>
          </w:rPr>
          <w:t>2.</w:t>
        </w:r>
        <w:r>
          <w:rPr>
            <w:rFonts w:asciiTheme="minorHAnsi" w:eastAsiaTheme="minorEastAsia" w:hAnsiTheme="minorHAnsi" w:cstheme="minorBidi"/>
            <w:caps w:val="0"/>
            <w:noProof/>
            <w:sz w:val="24"/>
            <w:szCs w:val="24"/>
            <w:lang w:eastAsia="en-GB"/>
          </w:rPr>
          <w:tab/>
        </w:r>
        <w:r>
          <w:rPr>
            <w:rStyle w:val="Hyperlink"/>
            <w:noProof/>
            <w:sz w:val="24"/>
            <w:szCs w:val="24"/>
          </w:rPr>
          <w:t>Organisation and timing</w:t>
        </w:r>
        <w:bookmarkStart w:id="1" w:name="_GoBack"/>
        <w:bookmarkEnd w:id="1"/>
        <w:r>
          <w:rPr>
            <w:noProof/>
            <w:webHidden/>
            <w:sz w:val="24"/>
            <w:szCs w:val="24"/>
          </w:rPr>
          <w:tab/>
        </w:r>
        <w:r>
          <w:rPr>
            <w:noProof/>
            <w:webHidden/>
            <w:sz w:val="24"/>
            <w:szCs w:val="24"/>
          </w:rPr>
          <w:fldChar w:fldCharType="begin"/>
        </w:r>
        <w:r>
          <w:rPr>
            <w:noProof/>
            <w:webHidden/>
            <w:sz w:val="24"/>
            <w:szCs w:val="24"/>
          </w:rPr>
          <w:instrText xml:space="preserve"> PAGEREF _Toc514401941 \h </w:instrText>
        </w:r>
        <w:r>
          <w:rPr>
            <w:noProof/>
            <w:webHidden/>
            <w:sz w:val="24"/>
            <w:szCs w:val="24"/>
          </w:rPr>
        </w:r>
        <w:r>
          <w:rPr>
            <w:noProof/>
            <w:webHidden/>
            <w:sz w:val="24"/>
            <w:szCs w:val="24"/>
          </w:rPr>
          <w:fldChar w:fldCharType="separate"/>
        </w:r>
        <w:r>
          <w:rPr>
            <w:noProof/>
            <w:webHidden/>
            <w:sz w:val="24"/>
            <w:szCs w:val="24"/>
          </w:rPr>
          <w:t>46</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2" w:history="1">
        <w:r>
          <w:rPr>
            <w:rStyle w:val="Hyperlink"/>
            <w:noProof/>
            <w:sz w:val="24"/>
            <w:szCs w:val="24"/>
          </w:rPr>
          <w:t>3.</w:t>
        </w:r>
        <w:r>
          <w:rPr>
            <w:rFonts w:asciiTheme="minorHAnsi" w:eastAsiaTheme="minorEastAsia" w:hAnsiTheme="minorHAnsi" w:cstheme="minorBidi"/>
            <w:caps w:val="0"/>
            <w:noProof/>
            <w:sz w:val="24"/>
            <w:szCs w:val="24"/>
            <w:lang w:eastAsia="en-GB"/>
          </w:rPr>
          <w:tab/>
        </w:r>
        <w:r>
          <w:rPr>
            <w:rStyle w:val="Hyperlink"/>
            <w:noProof/>
            <w:sz w:val="24"/>
            <w:szCs w:val="24"/>
          </w:rPr>
          <w:t>Consultation of the RSB</w:t>
        </w:r>
        <w:r>
          <w:rPr>
            <w:noProof/>
            <w:webHidden/>
            <w:sz w:val="24"/>
            <w:szCs w:val="24"/>
          </w:rPr>
          <w:tab/>
        </w:r>
        <w:r>
          <w:rPr>
            <w:noProof/>
            <w:webHidden/>
            <w:sz w:val="24"/>
            <w:szCs w:val="24"/>
          </w:rPr>
          <w:fldChar w:fldCharType="begin"/>
        </w:r>
        <w:r>
          <w:rPr>
            <w:noProof/>
            <w:webHidden/>
            <w:sz w:val="24"/>
            <w:szCs w:val="24"/>
          </w:rPr>
          <w:instrText xml:space="preserve"> PAGEREF _Toc514401942 \h </w:instrText>
        </w:r>
        <w:r>
          <w:rPr>
            <w:noProof/>
            <w:webHidden/>
            <w:sz w:val="24"/>
            <w:szCs w:val="24"/>
          </w:rPr>
        </w:r>
        <w:r>
          <w:rPr>
            <w:noProof/>
            <w:webHidden/>
            <w:sz w:val="24"/>
            <w:szCs w:val="24"/>
          </w:rPr>
          <w:fldChar w:fldCharType="separate"/>
        </w:r>
        <w:r>
          <w:rPr>
            <w:noProof/>
            <w:webHidden/>
            <w:sz w:val="24"/>
            <w:szCs w:val="24"/>
          </w:rPr>
          <w:t>46</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3" w:history="1">
        <w:r>
          <w:rPr>
            <w:rStyle w:val="Hyperlink"/>
            <w:noProof/>
            <w:sz w:val="24"/>
            <w:szCs w:val="24"/>
          </w:rPr>
          <w:t>4.</w:t>
        </w:r>
        <w:r>
          <w:rPr>
            <w:rFonts w:asciiTheme="minorHAnsi" w:eastAsiaTheme="minorEastAsia" w:hAnsiTheme="minorHAnsi" w:cstheme="minorBidi"/>
            <w:caps w:val="0"/>
            <w:noProof/>
            <w:sz w:val="24"/>
            <w:szCs w:val="24"/>
            <w:lang w:eastAsia="en-GB"/>
          </w:rPr>
          <w:tab/>
        </w:r>
        <w:r>
          <w:rPr>
            <w:rStyle w:val="Hyperlink"/>
            <w:noProof/>
            <w:sz w:val="24"/>
            <w:szCs w:val="24"/>
          </w:rPr>
          <w:t>Evidence, sources and quality</w:t>
        </w:r>
        <w:r>
          <w:rPr>
            <w:noProof/>
            <w:webHidden/>
            <w:sz w:val="24"/>
            <w:szCs w:val="24"/>
          </w:rPr>
          <w:tab/>
        </w:r>
        <w:r>
          <w:rPr>
            <w:noProof/>
            <w:webHidden/>
            <w:sz w:val="24"/>
            <w:szCs w:val="24"/>
          </w:rPr>
          <w:fldChar w:fldCharType="begin"/>
        </w:r>
        <w:r>
          <w:rPr>
            <w:noProof/>
            <w:webHidden/>
            <w:sz w:val="24"/>
            <w:szCs w:val="24"/>
          </w:rPr>
          <w:instrText xml:space="preserve"> PAGEREF _Toc</w:instrText>
        </w:r>
        <w:r>
          <w:rPr>
            <w:noProof/>
            <w:webHidden/>
            <w:sz w:val="24"/>
            <w:szCs w:val="24"/>
          </w:rPr>
          <w:instrText xml:space="preserve">514401943 \h </w:instrText>
        </w:r>
        <w:r>
          <w:rPr>
            <w:noProof/>
            <w:webHidden/>
            <w:sz w:val="24"/>
            <w:szCs w:val="24"/>
          </w:rPr>
        </w:r>
        <w:r>
          <w:rPr>
            <w:noProof/>
            <w:webHidden/>
            <w:sz w:val="24"/>
            <w:szCs w:val="24"/>
          </w:rPr>
          <w:fldChar w:fldCharType="separate"/>
        </w:r>
        <w:r>
          <w:rPr>
            <w:noProof/>
            <w:webHidden/>
            <w:sz w:val="24"/>
            <w:szCs w:val="24"/>
          </w:rPr>
          <w:t>49</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4" w:history="1">
        <w:r>
          <w:rPr>
            <w:rStyle w:val="Hyperlink"/>
            <w:noProof/>
            <w:sz w:val="24"/>
            <w:szCs w:val="24"/>
          </w:rPr>
          <w:t>Annex 2: Stakeholder consultation</w:t>
        </w:r>
        <w:r>
          <w:rPr>
            <w:noProof/>
            <w:webHidden/>
            <w:sz w:val="24"/>
            <w:szCs w:val="24"/>
          </w:rPr>
          <w:tab/>
        </w:r>
        <w:r>
          <w:rPr>
            <w:noProof/>
            <w:webHidden/>
            <w:sz w:val="24"/>
            <w:szCs w:val="24"/>
          </w:rPr>
          <w:fldChar w:fldCharType="begin"/>
        </w:r>
        <w:r>
          <w:rPr>
            <w:noProof/>
            <w:webHidden/>
            <w:sz w:val="24"/>
            <w:szCs w:val="24"/>
          </w:rPr>
          <w:instrText xml:space="preserve"> PAGEREF _Toc514401944 \h </w:instrText>
        </w:r>
        <w:r>
          <w:rPr>
            <w:noProof/>
            <w:webHidden/>
            <w:sz w:val="24"/>
            <w:szCs w:val="24"/>
          </w:rPr>
        </w:r>
        <w:r>
          <w:rPr>
            <w:noProof/>
            <w:webHidden/>
            <w:sz w:val="24"/>
            <w:szCs w:val="24"/>
          </w:rPr>
          <w:fldChar w:fldCharType="separate"/>
        </w:r>
        <w:r>
          <w:rPr>
            <w:noProof/>
            <w:webHidden/>
            <w:sz w:val="24"/>
            <w:szCs w:val="24"/>
          </w:rPr>
          <w:t>58</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5" w:history="1">
        <w:r>
          <w:rPr>
            <w:rStyle w:val="Hyperlink"/>
            <w:noProof/>
            <w:sz w:val="24"/>
            <w:szCs w:val="24"/>
          </w:rPr>
          <w:t>Annex 3: Evaluation results</w:t>
        </w:r>
        <w:r>
          <w:rPr>
            <w:noProof/>
            <w:webHidden/>
            <w:sz w:val="24"/>
            <w:szCs w:val="24"/>
          </w:rPr>
          <w:tab/>
        </w:r>
        <w:r>
          <w:rPr>
            <w:noProof/>
            <w:webHidden/>
            <w:sz w:val="24"/>
            <w:szCs w:val="24"/>
          </w:rPr>
          <w:fldChar w:fldCharType="begin"/>
        </w:r>
        <w:r>
          <w:rPr>
            <w:noProof/>
            <w:webHidden/>
            <w:sz w:val="24"/>
            <w:szCs w:val="24"/>
          </w:rPr>
          <w:instrText xml:space="preserve"> PAGEREF _Toc514401945 \h </w:instrText>
        </w:r>
        <w:r>
          <w:rPr>
            <w:noProof/>
            <w:webHidden/>
            <w:sz w:val="24"/>
            <w:szCs w:val="24"/>
          </w:rPr>
        </w:r>
        <w:r>
          <w:rPr>
            <w:noProof/>
            <w:webHidden/>
            <w:sz w:val="24"/>
            <w:szCs w:val="24"/>
          </w:rPr>
          <w:fldChar w:fldCharType="separate"/>
        </w:r>
        <w:r>
          <w:rPr>
            <w:noProof/>
            <w:webHidden/>
            <w:sz w:val="24"/>
            <w:szCs w:val="24"/>
          </w:rPr>
          <w:t>70</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6" w:history="1">
        <w:r>
          <w:rPr>
            <w:rStyle w:val="Hyperlink"/>
            <w:noProof/>
            <w:sz w:val="24"/>
            <w:szCs w:val="24"/>
          </w:rPr>
          <w:t>Annex 4: Synergies and coherence between the ESF+ and other Funds investing in human capital development</w:t>
        </w:r>
        <w:r>
          <w:rPr>
            <w:noProof/>
            <w:webHidden/>
            <w:sz w:val="24"/>
            <w:szCs w:val="24"/>
          </w:rPr>
          <w:tab/>
        </w:r>
        <w:r>
          <w:rPr>
            <w:noProof/>
            <w:webHidden/>
            <w:sz w:val="24"/>
            <w:szCs w:val="24"/>
          </w:rPr>
          <w:fldChar w:fldCharType="begin"/>
        </w:r>
        <w:r>
          <w:rPr>
            <w:noProof/>
            <w:webHidden/>
            <w:sz w:val="24"/>
            <w:szCs w:val="24"/>
          </w:rPr>
          <w:instrText xml:space="preserve"> PAGEREF _Toc514401946 \h </w:instrText>
        </w:r>
        <w:r>
          <w:rPr>
            <w:noProof/>
            <w:webHidden/>
            <w:sz w:val="24"/>
            <w:szCs w:val="24"/>
          </w:rPr>
        </w:r>
        <w:r>
          <w:rPr>
            <w:noProof/>
            <w:webHidden/>
            <w:sz w:val="24"/>
            <w:szCs w:val="24"/>
          </w:rPr>
          <w:fldChar w:fldCharType="separate"/>
        </w:r>
        <w:r>
          <w:rPr>
            <w:noProof/>
            <w:webHidden/>
            <w:sz w:val="24"/>
            <w:szCs w:val="24"/>
          </w:rPr>
          <w:t>83</w:t>
        </w:r>
        <w:r>
          <w:rPr>
            <w:noProof/>
            <w:webHidden/>
            <w:sz w:val="24"/>
            <w:szCs w:val="24"/>
          </w:rPr>
          <w:fldChar w:fldCharType="end"/>
        </w:r>
      </w:hyperlink>
    </w:p>
    <w:p w:rsidR="003A1527" w:rsidRDefault="00742A12">
      <w:pPr>
        <w:pStyle w:val="TOC1"/>
        <w:rPr>
          <w:rFonts w:asciiTheme="minorHAnsi" w:eastAsiaTheme="minorEastAsia" w:hAnsiTheme="minorHAnsi" w:cstheme="minorBidi"/>
          <w:caps w:val="0"/>
          <w:noProof/>
          <w:sz w:val="24"/>
          <w:szCs w:val="24"/>
          <w:lang w:eastAsia="en-GB"/>
        </w:rPr>
      </w:pPr>
      <w:hyperlink w:anchor="_Toc514401947" w:history="1">
        <w:r>
          <w:rPr>
            <w:rStyle w:val="Hyperlink"/>
            <w:noProof/>
            <w:sz w:val="24"/>
            <w:szCs w:val="24"/>
          </w:rPr>
          <w:t>Annex 5 Programme spec</w:t>
        </w:r>
        <w:r>
          <w:rPr>
            <w:rStyle w:val="Hyperlink"/>
            <w:noProof/>
            <w:sz w:val="24"/>
            <w:szCs w:val="24"/>
          </w:rPr>
          <w:t>ific annex on the Health programme</w:t>
        </w:r>
        <w:r>
          <w:rPr>
            <w:noProof/>
            <w:webHidden/>
            <w:sz w:val="24"/>
            <w:szCs w:val="24"/>
          </w:rPr>
          <w:tab/>
        </w:r>
        <w:r>
          <w:rPr>
            <w:noProof/>
            <w:webHidden/>
            <w:sz w:val="24"/>
            <w:szCs w:val="24"/>
          </w:rPr>
          <w:fldChar w:fldCharType="begin"/>
        </w:r>
        <w:r>
          <w:rPr>
            <w:noProof/>
            <w:webHidden/>
            <w:sz w:val="24"/>
            <w:szCs w:val="24"/>
          </w:rPr>
          <w:instrText xml:space="preserve"> PAGEREF _Toc514401947 \h </w:instrText>
        </w:r>
        <w:r>
          <w:rPr>
            <w:noProof/>
            <w:webHidden/>
            <w:sz w:val="24"/>
            <w:szCs w:val="24"/>
          </w:rPr>
        </w:r>
        <w:r>
          <w:rPr>
            <w:noProof/>
            <w:webHidden/>
            <w:sz w:val="24"/>
            <w:szCs w:val="24"/>
          </w:rPr>
          <w:fldChar w:fldCharType="separate"/>
        </w:r>
        <w:r>
          <w:rPr>
            <w:noProof/>
            <w:webHidden/>
            <w:sz w:val="24"/>
            <w:szCs w:val="24"/>
          </w:rPr>
          <w:t>86</w:t>
        </w:r>
        <w:r>
          <w:rPr>
            <w:noProof/>
            <w:webHidden/>
            <w:sz w:val="24"/>
            <w:szCs w:val="24"/>
          </w:rPr>
          <w:fldChar w:fldCharType="end"/>
        </w:r>
      </w:hyperlink>
    </w:p>
    <w:p w:rsidR="003A1527" w:rsidRDefault="00742A12">
      <w:pPr>
        <w:spacing w:line="240" w:lineRule="auto"/>
        <w:jc w:val="both"/>
        <w:rPr>
          <w:rFonts w:ascii="Times New Roman" w:hAnsi="Times New Roman" w:cs="Times New Roman"/>
          <w:noProof/>
          <w:sz w:val="24"/>
          <w:szCs w:val="24"/>
        </w:rPr>
        <w:sectPr w:rsidR="003A1527" w:rsidSect="00742A12">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rPr>
          <w:rFonts w:ascii="Times New Roman" w:hAnsi="Times New Roman" w:cs="Times New Roman"/>
          <w:noProof/>
          <w:sz w:val="24"/>
          <w:szCs w:val="24"/>
        </w:rPr>
        <w:fldChar w:fldCharType="end"/>
      </w: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Glossary</w:t>
      </w:r>
    </w:p>
    <w:tbl>
      <w:tblPr>
        <w:tblStyle w:val="TableGrid"/>
        <w:tblW w:w="0" w:type="auto"/>
        <w:tblLook w:val="04A0" w:firstRow="1" w:lastRow="0" w:firstColumn="1" w:lastColumn="0" w:noHBand="0" w:noVBand="1"/>
      </w:tblPr>
      <w:tblGrid>
        <w:gridCol w:w="3227"/>
        <w:gridCol w:w="5607"/>
      </w:tblGrid>
      <w:tr w:rsidR="003A1527">
        <w:tc>
          <w:tcPr>
            <w:tcW w:w="3227" w:type="dxa"/>
            <w:tcBorders>
              <w:bottom w:val="double" w:sz="4" w:space="0" w:color="auto"/>
            </w:tcBorders>
            <w:shd w:val="clear" w:color="auto" w:fill="DFDCDD" w:themeFill="background1" w:themeFillShade="F2"/>
          </w:tcPr>
          <w:p w:rsidR="003A1527" w:rsidRDefault="00742A12">
            <w:pPr>
              <w:spacing w:before="120" w:line="240" w:lineRule="auto"/>
              <w:jc w:val="both"/>
              <w:rPr>
                <w:b/>
                <w:i/>
                <w:noProof/>
                <w:sz w:val="24"/>
                <w:szCs w:val="24"/>
              </w:rPr>
            </w:pPr>
            <w:r>
              <w:rPr>
                <w:b/>
                <w:i/>
                <w:noProof/>
                <w:sz w:val="24"/>
                <w:szCs w:val="24"/>
              </w:rPr>
              <w:t>Term or acronym</w:t>
            </w:r>
          </w:p>
        </w:tc>
        <w:tc>
          <w:tcPr>
            <w:tcW w:w="5607" w:type="dxa"/>
            <w:tcBorders>
              <w:bottom w:val="double" w:sz="4" w:space="0" w:color="auto"/>
            </w:tcBorders>
            <w:shd w:val="clear" w:color="auto" w:fill="DFDCDD" w:themeFill="background1" w:themeFillShade="F2"/>
          </w:tcPr>
          <w:p w:rsidR="003A1527" w:rsidRDefault="00742A12">
            <w:pPr>
              <w:spacing w:before="120" w:line="240" w:lineRule="auto"/>
              <w:jc w:val="both"/>
              <w:rPr>
                <w:b/>
                <w:i/>
                <w:noProof/>
                <w:sz w:val="24"/>
                <w:szCs w:val="24"/>
              </w:rPr>
            </w:pPr>
            <w:r>
              <w:rPr>
                <w:b/>
                <w:i/>
                <w:noProof/>
                <w:sz w:val="24"/>
                <w:szCs w:val="24"/>
              </w:rPr>
              <w:t>Meaning or definition</w:t>
            </w:r>
          </w:p>
        </w:tc>
      </w:tr>
      <w:tr w:rsidR="003A1527">
        <w:tc>
          <w:tcPr>
            <w:tcW w:w="3227" w:type="dxa"/>
            <w:tcBorders>
              <w:top w:val="double" w:sz="4" w:space="0" w:color="auto"/>
            </w:tcBorders>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ESF</w:t>
            </w:r>
          </w:p>
        </w:tc>
        <w:tc>
          <w:tcPr>
            <w:tcW w:w="5607" w:type="dxa"/>
            <w:tcBorders>
              <w:top w:val="double" w:sz="4" w:space="0" w:color="auto"/>
            </w:tcBorders>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European Social Fund</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YEI</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Youth Employment Initiative</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FEAD</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Fund for European Aid to the most Deprived</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 xml:space="preserve">EGF </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European Globalisation Adjustment Fund</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EaSI</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Employment and Social Innovation programme</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EIF</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European Investment Fund</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EIB</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European Investment Bank</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EURES</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European Employment Services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ESI Funds</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European structural and investment funds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CSR</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country specific recommendation</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OP</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operational programme</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SCO</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simplified cost options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FI</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financial instruments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ALMP</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active labour market policies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MA</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 xml:space="preserve">managing </w:t>
            </w:r>
            <w:r>
              <w:rPr>
                <w:noProof/>
                <w:sz w:val="24"/>
                <w:szCs w:val="24"/>
              </w:rPr>
              <w:t>authorities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Rhomolo</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 xml:space="preserve">regional holistic model (JRC dynamic </w:t>
            </w:r>
            <w:r>
              <w:rPr>
                <w:noProof/>
                <w:sz w:val="24"/>
                <w:szCs w:val="24"/>
                <w:lang w:val="en"/>
              </w:rPr>
              <w:t>spatial computable general equilibrium model for EU regions and sectors)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JAP</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joint action plans</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CLLD</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community-led local development</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QFR</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 xml:space="preserve">EU quality framework for anticipation of change and </w:t>
            </w:r>
            <w:r>
              <w:rPr>
                <w:noProof/>
                <w:sz w:val="24"/>
                <w:szCs w:val="24"/>
              </w:rPr>
              <w:t>restructuring</w:t>
            </w:r>
          </w:p>
        </w:tc>
      </w:tr>
      <w:tr w:rsidR="003A1527">
        <w:tc>
          <w:tcPr>
            <w:tcW w:w="322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OPC</w:t>
            </w:r>
          </w:p>
        </w:tc>
        <w:tc>
          <w:tcPr>
            <w:tcW w:w="5607" w:type="dxa"/>
            <w:tcMar>
              <w:top w:w="85" w:type="dxa"/>
              <w:left w:w="57" w:type="dxa"/>
              <w:bottom w:w="85" w:type="dxa"/>
              <w:right w:w="57" w:type="dxa"/>
            </w:tcMar>
          </w:tcPr>
          <w:p w:rsidR="003A1527" w:rsidRDefault="00742A12">
            <w:pPr>
              <w:spacing w:line="240" w:lineRule="auto"/>
              <w:jc w:val="both"/>
              <w:rPr>
                <w:noProof/>
                <w:sz w:val="24"/>
                <w:szCs w:val="24"/>
              </w:rPr>
            </w:pPr>
            <w:r>
              <w:rPr>
                <w:noProof/>
                <w:sz w:val="24"/>
                <w:szCs w:val="24"/>
              </w:rPr>
              <w:t>open public consultation</w:t>
            </w:r>
          </w:p>
        </w:tc>
      </w:tr>
    </w:tbl>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br w:type="page"/>
      </w:r>
    </w:p>
    <w:p w:rsidR="003A1527" w:rsidRDefault="00742A12">
      <w:pPr>
        <w:pStyle w:val="Heading1"/>
        <w:keepLines w:val="0"/>
        <w:tabs>
          <w:tab w:val="num" w:pos="0"/>
        </w:tabs>
        <w:spacing w:before="240" w:after="240"/>
        <w:ind w:left="120" w:hanging="120"/>
        <w:jc w:val="both"/>
        <w:rPr>
          <w:rFonts w:ascii="Times New Roman" w:eastAsia="Times New Roman" w:hAnsi="Times New Roman" w:cs="Times New Roman"/>
          <w:b/>
          <w:smallCaps/>
          <w:noProof/>
          <w:color w:val="auto"/>
          <w:sz w:val="24"/>
          <w:szCs w:val="24"/>
        </w:rPr>
      </w:pPr>
      <w:bookmarkStart w:id="2" w:name="_Toc509831763"/>
      <w:bookmarkStart w:id="3" w:name="_Toc509833355"/>
      <w:bookmarkStart w:id="4" w:name="_Toc509843326"/>
      <w:bookmarkStart w:id="5" w:name="_Toc509848043"/>
      <w:bookmarkStart w:id="6" w:name="_Toc514401930"/>
      <w:r>
        <w:rPr>
          <w:rFonts w:ascii="Times New Roman" w:eastAsia="Times New Roman" w:hAnsi="Times New Roman" w:cs="Times New Roman"/>
          <w:b/>
          <w:smallCaps/>
          <w:noProof/>
          <w:color w:val="auto"/>
          <w:sz w:val="24"/>
          <w:szCs w:val="24"/>
        </w:rPr>
        <w:lastRenderedPageBreak/>
        <w:t>1. Introduction: political and legal context</w:t>
      </w:r>
      <w:bookmarkEnd w:id="2"/>
      <w:bookmarkEnd w:id="3"/>
      <w:bookmarkEnd w:id="4"/>
      <w:bookmarkEnd w:id="5"/>
      <w:bookmarkEnd w:id="6"/>
    </w:p>
    <w:p w:rsidR="003A1527" w:rsidRDefault="00742A12">
      <w:pPr>
        <w:spacing w:after="0" w:line="240" w:lineRule="auto"/>
        <w:jc w:val="both"/>
        <w:rPr>
          <w:rFonts w:ascii="Times New Roman" w:hAnsi="Times New Roman" w:cs="Times New Roman"/>
          <w:iCs/>
          <w:noProof/>
          <w:sz w:val="24"/>
          <w:szCs w:val="24"/>
        </w:rPr>
      </w:pPr>
      <w:bookmarkStart w:id="7" w:name="_Toc509831764"/>
      <w:bookmarkStart w:id="8" w:name="_Toc509833356"/>
      <w:bookmarkStart w:id="9" w:name="_Toc509843327"/>
      <w:bookmarkStart w:id="10" w:name="_Toc509848044"/>
      <w:r>
        <w:rPr>
          <w:rFonts w:ascii="Times New Roman" w:hAnsi="Times New Roman" w:cs="Times New Roman"/>
          <w:iCs/>
          <w:noProof/>
          <w:sz w:val="24"/>
          <w:szCs w:val="24"/>
        </w:rPr>
        <w:t>On 2 May 2018, the European Commission adopted its proposals for a new Multiannual Financial Framework (MFF) for 2021-2027.</w:t>
      </w:r>
      <w:r>
        <w:rPr>
          <w:rStyle w:val="FootnoteReference"/>
          <w:rFonts w:ascii="Times New Roman" w:hAnsi="Times New Roman" w:cs="Times New Roman"/>
          <w:iCs/>
          <w:noProof/>
          <w:sz w:val="24"/>
          <w:szCs w:val="24"/>
        </w:rPr>
        <w:footnoteReference w:id="2"/>
      </w:r>
      <w:r>
        <w:rPr>
          <w:rFonts w:ascii="Times New Roman" w:hAnsi="Times New Roman" w:cs="Times New Roman"/>
          <w:iCs/>
          <w:noProof/>
          <w:sz w:val="24"/>
          <w:szCs w:val="24"/>
        </w:rPr>
        <w:t xml:space="preserve"> The Commission proposed that over this period, the European Social Fund Plus (ESF+) will have a budget of EUR 101.2 billion (in current prices), while the European Globalisation Adjustment Fund will remain outside of the MFF with a ceiling of EUR 1.578 bi</w:t>
      </w:r>
      <w:r>
        <w:rPr>
          <w:rFonts w:ascii="Times New Roman" w:hAnsi="Times New Roman" w:cs="Times New Roman"/>
          <w:iCs/>
          <w:noProof/>
          <w:sz w:val="24"/>
          <w:szCs w:val="24"/>
        </w:rPr>
        <w:t>llion (in current prices). This impact assessment report reflects the decisions of the MFF proposals and focuses on the changes and policy choices which are specific to the two funds.</w:t>
      </w:r>
    </w:p>
    <w:p w:rsidR="003A1527" w:rsidRDefault="003A1527">
      <w:pPr>
        <w:spacing w:after="0"/>
        <w:jc w:val="both"/>
        <w:rPr>
          <w:rFonts w:ascii="Times New Roman" w:hAnsi="Times New Roman" w:cs="Times New Roman"/>
          <w:noProof/>
          <w:sz w:val="24"/>
          <w:szCs w:val="24"/>
        </w:rPr>
      </w:pPr>
    </w:p>
    <w:p w:rsidR="003A1527" w:rsidRDefault="00742A12">
      <w:pPr>
        <w:pStyle w:val="Heading2"/>
        <w:keepLines w:val="0"/>
        <w:tabs>
          <w:tab w:val="num" w:pos="5824"/>
        </w:tabs>
        <w:spacing w:before="0" w:after="240"/>
        <w:jc w:val="both"/>
        <w:rPr>
          <w:noProof/>
          <w:color w:val="auto"/>
        </w:rPr>
      </w:pPr>
      <w:bookmarkStart w:id="11" w:name="_Toc514401931"/>
      <w:r>
        <w:rPr>
          <w:rFonts w:ascii="Times New Roman" w:eastAsia="Times New Roman" w:hAnsi="Times New Roman" w:cs="Times New Roman"/>
          <w:b/>
          <w:noProof/>
          <w:color w:val="auto"/>
          <w:sz w:val="24"/>
          <w:szCs w:val="24"/>
        </w:rPr>
        <w:t>1.1 Scope and context</w:t>
      </w:r>
      <w:bookmarkEnd w:id="7"/>
      <w:bookmarkEnd w:id="8"/>
      <w:bookmarkEnd w:id="9"/>
      <w:bookmarkEnd w:id="10"/>
      <w:bookmarkEnd w:id="11"/>
    </w:p>
    <w:p w:rsidR="003A1527" w:rsidRDefault="00742A12">
      <w:pPr>
        <w:spacing w:line="240" w:lineRule="auto"/>
        <w:jc w:val="both"/>
        <w:rPr>
          <w:rFonts w:ascii="Times New Roman" w:hAnsi="Times New Roman" w:cs="Times New Roman"/>
          <w:noProof/>
          <w:sz w:val="24"/>
          <w:szCs w:val="24"/>
        </w:rPr>
      </w:pPr>
      <w:bookmarkStart w:id="12" w:name="_Toc509753298"/>
      <w:bookmarkStart w:id="13" w:name="_Toc509831593"/>
      <w:bookmarkStart w:id="14" w:name="_Toc509831724"/>
      <w:bookmarkStart w:id="15" w:name="_Toc509831765"/>
      <w:bookmarkStart w:id="16" w:name="_Toc509833357"/>
      <w:bookmarkStart w:id="17" w:name="_Toc509833694"/>
      <w:bookmarkStart w:id="18" w:name="_Toc509834739"/>
      <w:bookmarkStart w:id="19" w:name="_Toc508878165"/>
      <w:bookmarkStart w:id="20" w:name="_Toc508878263"/>
      <w:bookmarkStart w:id="21" w:name="_Toc508889778"/>
      <w:r>
        <w:rPr>
          <w:rFonts w:ascii="Times New Roman" w:hAnsi="Times New Roman" w:cs="Times New Roman"/>
          <w:noProof/>
          <w:sz w:val="24"/>
          <w:szCs w:val="24"/>
        </w:rPr>
        <w:t>Europe's relevance and success in the next decade</w:t>
      </w:r>
      <w:r>
        <w:rPr>
          <w:rFonts w:ascii="Times New Roman" w:hAnsi="Times New Roman" w:cs="Times New Roman"/>
          <w:noProof/>
          <w:sz w:val="24"/>
          <w:szCs w:val="24"/>
        </w:rPr>
        <w:t xml:space="preserve">s will be determined by its ability to remain competitive in the global economy and ensure high levels of employment, education and training, health, social inclusion and active participation in society.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Making Europe competitive, cohesive and resilient </w:t>
      </w:r>
      <w:r>
        <w:rPr>
          <w:rFonts w:ascii="Times New Roman" w:hAnsi="Times New Roman" w:cs="Times New Roman"/>
          <w:noProof/>
          <w:sz w:val="24"/>
          <w:szCs w:val="24"/>
        </w:rPr>
        <w:t>in the future means investing in its people now: in their education and training, in their skills, in their creativity, their potential to create businesses and to innovate, and in their health. It means ensuring that everyone in the EU has opportunities t</w:t>
      </w:r>
      <w:r>
        <w:rPr>
          <w:rFonts w:ascii="Times New Roman" w:hAnsi="Times New Roman" w:cs="Times New Roman"/>
          <w:noProof/>
          <w:sz w:val="24"/>
          <w:szCs w:val="24"/>
        </w:rPr>
        <w:t>o prosper, play an active role in society and shape the future of a Europe of democracy, solidarity and inclusion. The EU’s capacity to respond to current and future challenges, including those stemming from technological development, will depend on the qu</w:t>
      </w:r>
      <w:r>
        <w:rPr>
          <w:rFonts w:ascii="Times New Roman" w:hAnsi="Times New Roman" w:cs="Times New Roman"/>
          <w:noProof/>
          <w:sz w:val="24"/>
          <w:szCs w:val="24"/>
        </w:rPr>
        <w:t>ality and the scale of intervention strategies that invest in people.</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eastAsia="Times New Roman" w:hAnsi="Times New Roman" w:cs="Times New Roman"/>
          <w:noProof/>
          <w:sz w:val="24"/>
          <w:szCs w:val="24"/>
          <w:lang w:eastAsia="en-GB"/>
        </w:rPr>
        <w:t xml:space="preserve">March 2017, leaders from 27 EU Member States and EU institutions signed up to the </w:t>
      </w:r>
      <w:r>
        <w:rPr>
          <w:rFonts w:ascii="Times New Roman" w:eastAsia="Times New Roman" w:hAnsi="Times New Roman" w:cs="Times New Roman"/>
          <w:b/>
          <w:i/>
          <w:noProof/>
          <w:sz w:val="24"/>
          <w:szCs w:val="24"/>
          <w:lang w:eastAsia="en-GB"/>
        </w:rPr>
        <w:t>Rome Agenda</w:t>
      </w:r>
      <w:r>
        <w:rPr>
          <w:rStyle w:val="FootnoteReference"/>
          <w:rFonts w:ascii="Times New Roman" w:hAnsi="Times New Roman" w:cs="Times New Roman"/>
          <w:noProof/>
          <w:sz w:val="24"/>
          <w:szCs w:val="24"/>
        </w:rPr>
        <w:footnoteReference w:id="3"/>
      </w:r>
      <w:r>
        <w:rPr>
          <w:rFonts w:ascii="Times New Roman" w:eastAsia="Times New Roman" w:hAnsi="Times New Roman" w:cs="Times New Roman"/>
          <w:noProof/>
          <w:sz w:val="24"/>
          <w:szCs w:val="24"/>
          <w:lang w:eastAsia="en-GB"/>
        </w:rPr>
        <w:t xml:space="preserve"> pledging to work towards</w:t>
      </w:r>
      <w:bookmarkEnd w:id="12"/>
      <w:bookmarkEnd w:id="13"/>
      <w:bookmarkEnd w:id="14"/>
      <w:bookmarkEnd w:id="15"/>
      <w:bookmarkEnd w:id="16"/>
      <w:bookmarkEnd w:id="17"/>
      <w:bookmarkEnd w:id="18"/>
      <w:r>
        <w:rPr>
          <w:rFonts w:ascii="Times New Roman" w:eastAsia="Times New Roman" w:hAnsi="Times New Roman" w:cs="Times New Roman"/>
          <w:noProof/>
          <w:sz w:val="24"/>
          <w:szCs w:val="24"/>
          <w:lang w:eastAsia="en-GB"/>
        </w:rPr>
        <w:t xml:space="preserve"> </w:t>
      </w:r>
      <w:bookmarkStart w:id="22" w:name="_Toc509831594"/>
      <w:bookmarkStart w:id="23" w:name="_Toc509831725"/>
      <w:bookmarkStart w:id="24" w:name="_Toc509833695"/>
      <w:bookmarkStart w:id="25" w:name="_Toc509753299"/>
      <w:bookmarkStart w:id="26" w:name="_Toc509831766"/>
      <w:bookmarkStart w:id="27" w:name="_Toc509833358"/>
      <w:bookmarkStart w:id="28" w:name="_Toc509834740"/>
      <w:r>
        <w:rPr>
          <w:rFonts w:ascii="Times New Roman" w:hAnsi="Times New Roman" w:cs="Times New Roman"/>
          <w:noProof/>
          <w:sz w:val="24"/>
          <w:szCs w:val="24"/>
        </w:rPr>
        <w:t xml:space="preserve">a social Europe: </w:t>
      </w:r>
    </w:p>
    <w:p w:rsidR="003A1527" w:rsidRDefault="00742A12">
      <w:pPr>
        <w:spacing w:line="240" w:lineRule="auto"/>
        <w:ind w:left="709"/>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‘a Union which, based on sustainable growth, </w:t>
      </w:r>
      <w:r>
        <w:rPr>
          <w:rFonts w:ascii="Times New Roman" w:hAnsi="Times New Roman" w:cs="Times New Roman"/>
          <w:noProof/>
          <w:sz w:val="24"/>
          <w:szCs w:val="24"/>
        </w:rPr>
        <w:t>promotes economic and social progress as well as cohesion and convergence […] a Union which fights unemployment, discrimination, social exclusion and poverty; a Union where young people receive the best education and training and can study and find jobs ac</w:t>
      </w:r>
      <w:r>
        <w:rPr>
          <w:rFonts w:ascii="Times New Roman" w:hAnsi="Times New Roman" w:cs="Times New Roman"/>
          <w:noProof/>
          <w:sz w:val="24"/>
          <w:szCs w:val="24"/>
        </w:rPr>
        <w:t>ross the continent.’</w:t>
      </w:r>
      <w:r>
        <w:rPr>
          <w:rStyle w:val="FootnoteReference"/>
          <w:rFonts w:ascii="Times New Roman" w:hAnsi="Times New Roman" w:cs="Times New Roman"/>
          <w:noProof/>
          <w:sz w:val="24"/>
          <w:szCs w:val="24"/>
        </w:rPr>
        <w:footnoteReference w:id="4"/>
      </w:r>
      <w:bookmarkEnd w:id="19"/>
      <w:bookmarkEnd w:id="20"/>
      <w:bookmarkEnd w:id="21"/>
      <w:bookmarkEnd w:id="22"/>
      <w:bookmarkEnd w:id="23"/>
      <w:bookmarkEnd w:id="24"/>
      <w:bookmarkEnd w:id="25"/>
      <w:bookmarkEnd w:id="26"/>
      <w:bookmarkEnd w:id="27"/>
      <w:bookmarkEnd w:id="28"/>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underlined in the white paper on </w:t>
      </w:r>
      <w:r>
        <w:rPr>
          <w:rFonts w:ascii="Times New Roman" w:hAnsi="Times New Roman" w:cs="Times New Roman"/>
          <w:i/>
          <w:noProof/>
          <w:sz w:val="24"/>
          <w:szCs w:val="24"/>
        </w:rPr>
        <w:t>The future of Europe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its five accompanying ‘reflection papers’, the EU’s ability to provide solutions to the challenges faced by European economies and societies has been called into question.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At the Gothenburg Social Summit (November 2017), EU Member States and institutions adopted the </w:t>
      </w:r>
      <w:r>
        <w:rPr>
          <w:rFonts w:ascii="Times New Roman" w:eastAsia="Times New Roman" w:hAnsi="Times New Roman"/>
          <w:b/>
          <w:noProof/>
          <w:sz w:val="24"/>
        </w:rPr>
        <w:t xml:space="preserve">European </w:t>
      </w:r>
      <w:r>
        <w:rPr>
          <w:rFonts w:ascii="Times New Roman" w:eastAsia="Times New Roman" w:hAnsi="Times New Roman" w:cs="Times New Roman"/>
          <w:b/>
          <w:noProof/>
          <w:sz w:val="24"/>
          <w:szCs w:val="24"/>
        </w:rPr>
        <w:t>Pillar</w:t>
      </w:r>
      <w:r>
        <w:rPr>
          <w:rFonts w:ascii="Times New Roman" w:eastAsia="Times New Roman" w:hAnsi="Times New Roman"/>
          <w:b/>
          <w:noProof/>
          <w:sz w:val="24"/>
        </w:rPr>
        <w:t xml:space="preserve"> of </w:t>
      </w:r>
      <w:r>
        <w:rPr>
          <w:rFonts w:ascii="Times New Roman" w:eastAsia="Times New Roman" w:hAnsi="Times New Roman" w:cs="Times New Roman"/>
          <w:b/>
          <w:noProof/>
          <w:sz w:val="24"/>
          <w:szCs w:val="24"/>
        </w:rPr>
        <w:t>Social Rights</w:t>
      </w:r>
      <w:r>
        <w:rPr>
          <w:rStyle w:val="FootnoteReference"/>
          <w:rFonts w:ascii="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as a key policy response to </w:t>
      </w:r>
      <w:r>
        <w:rPr>
          <w:rFonts w:ascii="Times New Roman" w:hAnsi="Times New Roman" w:cs="Times New Roman"/>
          <w:noProof/>
          <w:sz w:val="24"/>
          <w:szCs w:val="24"/>
        </w:rPr>
        <w:t>this concern. The Pillar strives to reaffirm and further strengthen relevant rights and principles</w:t>
      </w:r>
      <w:r>
        <w:rPr>
          <w:rFonts w:ascii="Times New Roman" w:hAnsi="Times New Roman" w:cs="Times New Roman"/>
          <w:noProof/>
          <w:sz w:val="24"/>
          <w:szCs w:val="24"/>
        </w:rPr>
        <w:t xml:space="preserve"> in support of equal opportunities and access to the labour market, fair working conditions, social protection and greater social inclusion. It underlines people’s right to quality and inclusive education, training and life-long learning so they can mainta</w:t>
      </w:r>
      <w:r>
        <w:rPr>
          <w:rFonts w:ascii="Times New Roman" w:hAnsi="Times New Roman" w:cs="Times New Roman"/>
          <w:noProof/>
          <w:sz w:val="24"/>
          <w:szCs w:val="24"/>
        </w:rPr>
        <w:t>in and acquire skills that enable them to participate fully in society and to successfully manage transitions in the labour market</w:t>
      </w:r>
      <w:r>
        <w:rPr>
          <w:rFonts w:ascii="Times New Roman" w:eastAsia="Times New Roman" w:hAnsi="Times New Roman" w:cs="Times New Roman"/>
          <w:noProof/>
          <w:sz w:val="24"/>
          <w:szCs w:val="24"/>
        </w:rPr>
        <w:t xml:space="preserve">, also in line with the United Nations </w:t>
      </w:r>
      <w:r>
        <w:rPr>
          <w:rFonts w:ascii="Times New Roman" w:eastAsia="Times New Roman" w:hAnsi="Times New Roman" w:cs="Times New Roman"/>
          <w:b/>
          <w:noProof/>
          <w:sz w:val="24"/>
          <w:szCs w:val="24"/>
        </w:rPr>
        <w:t>sustainable development goals.</w:t>
      </w:r>
      <w:r>
        <w:rPr>
          <w:rStyle w:val="FootnoteReference"/>
          <w:rFonts w:ascii="Times New Roman" w:eastAsia="Times New Roman" w:hAnsi="Times New Roman" w:cs="Times New Roman"/>
          <w:b/>
          <w:noProof/>
          <w:sz w:val="24"/>
          <w:szCs w:val="24"/>
        </w:rPr>
        <w:footnoteReference w:id="7"/>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Policy efforts of this magnitude require </w:t>
      </w:r>
      <w:r>
        <w:rPr>
          <w:rFonts w:ascii="Times New Roman" w:hAnsi="Times New Roman" w:cs="Times New Roman"/>
          <w:noProof/>
          <w:sz w:val="24"/>
          <w:szCs w:val="24"/>
        </w:rPr>
        <w:t xml:space="preserve">meaningful </w:t>
      </w:r>
      <w:r>
        <w:rPr>
          <w:rFonts w:ascii="Times New Roman" w:hAnsi="Times New Roman" w:cs="Times New Roman"/>
          <w:noProof/>
          <w:sz w:val="24"/>
          <w:szCs w:val="24"/>
        </w:rPr>
        <w:t>investment at EU level. The Commission’s April 2017 Communication on the Pillar underlined that it ‘</w:t>
      </w:r>
      <w:r>
        <w:rPr>
          <w:rFonts w:ascii="Times New Roman" w:hAnsi="Times New Roman"/>
          <w:noProof/>
          <w:sz w:val="24"/>
        </w:rPr>
        <w:t xml:space="preserve">will [...] be a reference for the design of the post-2020 EU financial programming </w:t>
      </w:r>
      <w:r>
        <w:rPr>
          <w:rFonts w:ascii="Times New Roman" w:hAnsi="Times New Roman" w:cs="Times New Roman"/>
          <w:noProof/>
          <w:sz w:val="24"/>
          <w:szCs w:val="24"/>
        </w:rPr>
        <w:t>period</w:t>
      </w:r>
      <w:r>
        <w:rPr>
          <w:rFonts w:ascii="Times New Roman" w:hAnsi="Times New Roman" w:cs="Times New Roman"/>
          <w:i/>
          <w:noProof/>
          <w:sz w:val="24"/>
          <w:szCs w:val="24"/>
        </w:rPr>
        <w:t>’.</w:t>
      </w:r>
      <w:r>
        <w:rPr>
          <w:rStyle w:val="FootnoteReference"/>
          <w:rFonts w:ascii="Times New Roman" w:hAnsi="Times New Roman" w:cs="Times New Roman"/>
          <w:noProof/>
          <w:sz w:val="24"/>
          <w:szCs w:val="24"/>
        </w:rPr>
        <w:footnoteReference w:id="8"/>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the</w:t>
      </w:r>
      <w:r>
        <w:rPr>
          <w:rFonts w:ascii="Times New Roman" w:eastAsia="Times New Roman" w:hAnsi="Times New Roman" w:cs="Times New Roman"/>
          <w:b/>
          <w:noProof/>
          <w:sz w:val="24"/>
          <w:szCs w:val="24"/>
          <w:lang w:eastAsia="en-GB"/>
        </w:rPr>
        <w:t xml:space="preserve"> Skills Agenda for Europe</w:t>
      </w:r>
      <w:r>
        <w:rPr>
          <w:rStyle w:val="FootnoteReference"/>
          <w:rFonts w:ascii="Times New Roman" w:eastAsia="Times New Roman" w:hAnsi="Times New Roman" w:cs="Times New Roman"/>
          <w:b/>
          <w:noProof/>
          <w:sz w:val="24"/>
          <w:szCs w:val="24"/>
          <w:lang w:eastAsia="en-GB"/>
        </w:rPr>
        <w:footnoteReference w:id="9"/>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highlights the impor</w:t>
      </w:r>
      <w:r>
        <w:rPr>
          <w:rFonts w:ascii="Times New Roman" w:eastAsia="Times New Roman" w:hAnsi="Times New Roman" w:cs="Times New Roman"/>
          <w:noProof/>
          <w:sz w:val="24"/>
          <w:szCs w:val="24"/>
          <w:lang w:eastAsia="en-GB"/>
        </w:rPr>
        <w:t>tance of investing in upskilling and re-skilling as, in a fast-changing global economy, skills are a key driver for competitiveness and innovation. The December 2017 European Council conclusions  further highlighted the importance of the social and educati</w:t>
      </w:r>
      <w:r>
        <w:rPr>
          <w:rFonts w:ascii="Times New Roman" w:eastAsia="Times New Roman" w:hAnsi="Times New Roman" w:cs="Times New Roman"/>
          <w:noProof/>
          <w:sz w:val="24"/>
          <w:szCs w:val="24"/>
          <w:lang w:eastAsia="en-GB"/>
        </w:rPr>
        <w:t>onal dimension of EU policies ‘</w:t>
      </w:r>
      <w:r>
        <w:rPr>
          <w:rFonts w:ascii="Times New Roman" w:eastAsia="Times New Roman" w:hAnsi="Times New Roman"/>
          <w:noProof/>
          <w:sz w:val="24"/>
          <w:lang w:eastAsia="en-GB"/>
        </w:rPr>
        <w:t xml:space="preserve">in bringing Europeans together and building a common </w:t>
      </w:r>
      <w:r>
        <w:rPr>
          <w:rFonts w:ascii="Times New Roman" w:eastAsia="Times New Roman" w:hAnsi="Times New Roman" w:cs="Times New Roman"/>
          <w:noProof/>
          <w:sz w:val="24"/>
          <w:szCs w:val="24"/>
          <w:lang w:eastAsia="en-GB"/>
        </w:rPr>
        <w:t>future</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its June 2017 Resolution</w:t>
      </w:r>
      <w:r>
        <w:rPr>
          <w:rStyle w:val="FootnoteReference"/>
          <w:rFonts w:ascii="Times New Roman" w:eastAsia="Times New Roman" w:hAnsi="Times New Roman" w:cs="Times New Roman"/>
          <w:noProof/>
          <w:sz w:val="24"/>
          <w:szCs w:val="24"/>
          <w:lang w:eastAsia="en-GB"/>
        </w:rPr>
        <w:footnoteReference w:id="10"/>
      </w:r>
      <w:r>
        <w:rPr>
          <w:rFonts w:ascii="Times New Roman" w:eastAsia="Times New Roman" w:hAnsi="Times New Roman" w:cs="Times New Roman"/>
          <w:noProof/>
          <w:sz w:val="24"/>
          <w:szCs w:val="24"/>
          <w:lang w:eastAsia="en-GB"/>
        </w:rPr>
        <w:t xml:space="preserve"> on </w:t>
      </w:r>
      <w:r>
        <w:rPr>
          <w:rFonts w:ascii="Times New Roman" w:eastAsia="Times New Roman" w:hAnsi="Times New Roman" w:cs="Times New Roman"/>
          <w:i/>
          <w:noProof/>
          <w:sz w:val="24"/>
          <w:szCs w:val="24"/>
          <w:lang w:eastAsia="en-GB"/>
        </w:rPr>
        <w:t>building blocks for the EU’s cohesion policy post-2020</w:t>
      </w:r>
      <w:r>
        <w:rPr>
          <w:rFonts w:ascii="Times New Roman" w:eastAsia="Times New Roman" w:hAnsi="Times New Roman" w:cs="Times New Roman"/>
          <w:noProof/>
          <w:sz w:val="24"/>
          <w:szCs w:val="24"/>
          <w:lang w:eastAsia="en-GB"/>
        </w:rPr>
        <w:t>, the European Parliament notes that cohesion policy is very effective and calls on the Commission to present a comprehensive legislative proposal for a strong and effective cohesion policy post-2020 with an adequate budget for combating unemployment, cari</w:t>
      </w:r>
      <w:r>
        <w:rPr>
          <w:rFonts w:ascii="Times New Roman" w:eastAsia="Times New Roman" w:hAnsi="Times New Roman" w:cs="Times New Roman"/>
          <w:noProof/>
          <w:sz w:val="24"/>
          <w:szCs w:val="24"/>
          <w:lang w:eastAsia="en-GB"/>
        </w:rPr>
        <w:t xml:space="preserve">ng for the vulnerable and marginalised, addressing growing inequalities and building solidarity through co-investments in education and training. In its Opinion </w:t>
      </w:r>
      <w:r>
        <w:rPr>
          <w:rFonts w:ascii="Times New Roman" w:eastAsia="Times New Roman" w:hAnsi="Times New Roman"/>
          <w:i/>
          <w:noProof/>
          <w:sz w:val="24"/>
          <w:lang w:eastAsia="en-GB"/>
        </w:rPr>
        <w:t>For a strong and effective European cohesion policy beyond 2020</w:t>
      </w:r>
      <w:r>
        <w:rPr>
          <w:rFonts w:ascii="Times New Roman" w:eastAsia="Times New Roman" w:hAnsi="Times New Roman" w:cs="Times New Roman"/>
          <w:noProof/>
          <w:sz w:val="24"/>
          <w:szCs w:val="24"/>
          <w:lang w:eastAsia="en-GB"/>
        </w:rPr>
        <w:t>,</w:t>
      </w:r>
      <w:r>
        <w:rPr>
          <w:rStyle w:val="FootnoteReference"/>
          <w:rFonts w:ascii="Times New Roman" w:eastAsia="Times New Roman" w:hAnsi="Times New Roman" w:cs="Times New Roman"/>
          <w:noProof/>
          <w:sz w:val="24"/>
          <w:szCs w:val="24"/>
          <w:lang w:eastAsia="en-GB"/>
        </w:rPr>
        <w:footnoteReference w:id="11"/>
      </w:r>
      <w:r>
        <w:rPr>
          <w:rFonts w:ascii="Times New Roman" w:eastAsia="Times New Roman" w:hAnsi="Times New Roman" w:cs="Times New Roman"/>
          <w:noProof/>
          <w:sz w:val="24"/>
          <w:szCs w:val="24"/>
          <w:lang w:eastAsia="en-GB"/>
        </w:rPr>
        <w:t xml:space="preserve"> the European Committee of the</w:t>
      </w:r>
      <w:r>
        <w:rPr>
          <w:rFonts w:ascii="Times New Roman" w:eastAsia="Times New Roman" w:hAnsi="Times New Roman" w:cs="Times New Roman"/>
          <w:noProof/>
          <w:sz w:val="24"/>
          <w:szCs w:val="24"/>
          <w:lang w:eastAsia="en-GB"/>
        </w:rPr>
        <w:t xml:space="preserve"> Regions points out that </w:t>
      </w:r>
      <w:r>
        <w:rPr>
          <w:rFonts w:ascii="Times New Roman" w:eastAsia="Times New Roman" w:hAnsi="Times New Roman" w:cs="Times New Roman"/>
          <w:i/>
          <w:noProof/>
          <w:sz w:val="24"/>
          <w:szCs w:val="24"/>
          <w:lang w:eastAsia="en-GB"/>
        </w:rPr>
        <w:t>‘</w:t>
      </w:r>
      <w:r>
        <w:rPr>
          <w:rFonts w:ascii="Times New Roman" w:eastAsia="Times New Roman" w:hAnsi="Times New Roman"/>
          <w:noProof/>
          <w:sz w:val="24"/>
          <w:lang w:eastAsia="en-GB"/>
        </w:rPr>
        <w:t>the policy for strengthening economic, social and territorial cohesion is one of the most important and comprehensive EU policies, making a significant contribution in terms of solidarity to strengthening the EU as a whole</w:t>
      </w:r>
      <w:r>
        <w:rPr>
          <w:rFonts w:ascii="Times New Roman" w:eastAsia="Times New Roman" w:hAnsi="Times New Roman" w:cs="Times New Roman"/>
          <w:noProof/>
          <w:sz w:val="24"/>
          <w:szCs w:val="24"/>
          <w:lang w:eastAsia="en-GB"/>
        </w:rPr>
        <w:t>,</w:t>
      </w:r>
      <w:r>
        <w:rPr>
          <w:rFonts w:ascii="Times New Roman" w:eastAsia="Times New Roman" w:hAnsi="Times New Roman"/>
          <w:noProof/>
          <w:sz w:val="24"/>
          <w:lang w:eastAsia="en-GB"/>
        </w:rPr>
        <w:t xml:space="preserve"> and co</w:t>
      </w:r>
      <w:r>
        <w:rPr>
          <w:rFonts w:ascii="Times New Roman" w:eastAsia="Times New Roman" w:hAnsi="Times New Roman"/>
          <w:noProof/>
          <w:sz w:val="24"/>
          <w:lang w:eastAsia="en-GB"/>
        </w:rPr>
        <w:t xml:space="preserve">nsiderably strengthens the European added value that is tangible for each EU </w:t>
      </w:r>
      <w:r>
        <w:rPr>
          <w:rFonts w:ascii="Times New Roman" w:eastAsia="Times New Roman" w:hAnsi="Times New Roman" w:cs="Times New Roman"/>
          <w:noProof/>
          <w:sz w:val="24"/>
          <w:szCs w:val="24"/>
          <w:lang w:eastAsia="en-GB"/>
        </w:rPr>
        <w:t xml:space="preserve">citizen’. It calls for cohesion policy to be made more flexible in the next funding period.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val="en"/>
        </w:rPr>
        <w:t xml:space="preserve">In its Opinion on </w:t>
      </w:r>
      <w:r>
        <w:rPr>
          <w:rFonts w:ascii="Times New Roman" w:hAnsi="Times New Roman"/>
          <w:i/>
          <w:noProof/>
          <w:sz w:val="24"/>
          <w:lang w:val="en"/>
        </w:rPr>
        <w:t>The effectiveness of ESF and FEAD funding as part of civil society e</w:t>
      </w:r>
      <w:r>
        <w:rPr>
          <w:rFonts w:ascii="Times New Roman" w:hAnsi="Times New Roman"/>
          <w:i/>
          <w:noProof/>
          <w:sz w:val="24"/>
          <w:lang w:val="en"/>
        </w:rPr>
        <w:t xml:space="preserve">fforts to tackle poverty and social exclusion under the Europe 2020 </w:t>
      </w:r>
      <w:r>
        <w:rPr>
          <w:rFonts w:ascii="Times New Roman" w:hAnsi="Times New Roman" w:cs="Times New Roman"/>
          <w:i/>
          <w:noProof/>
          <w:sz w:val="24"/>
          <w:szCs w:val="24"/>
          <w:lang w:val="en"/>
        </w:rPr>
        <w:t>strategy</w:t>
      </w:r>
      <w:r>
        <w:rPr>
          <w:rFonts w:ascii="Times New Roman" w:hAnsi="Times New Roman" w:cs="Times New Roman"/>
          <w:noProof/>
          <w:sz w:val="24"/>
          <w:szCs w:val="24"/>
          <w:lang w:val="en"/>
        </w:rPr>
        <w:t>,</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lang w:val="en"/>
        </w:rPr>
        <w:t xml:space="preserve"> the European Economic and Social Committee calls for ‘</w:t>
      </w:r>
      <w:r>
        <w:rPr>
          <w:rFonts w:ascii="Times New Roman" w:hAnsi="Times New Roman" w:cs="Times New Roman"/>
          <w:noProof/>
          <w:sz w:val="24"/>
          <w:szCs w:val="24"/>
        </w:rPr>
        <w:t>the creation in the next financial perspective of an integrated European fund to combat poverty and social exclusion, base</w:t>
      </w:r>
      <w:r>
        <w:rPr>
          <w:rFonts w:ascii="Times New Roman" w:hAnsi="Times New Roman" w:cs="Times New Roman"/>
          <w:noProof/>
          <w:sz w:val="24"/>
          <w:szCs w:val="24"/>
        </w:rPr>
        <w:t>d on experience to date of the implementation of the FEAD and the ESF'.</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impact assessment, which is part of the proposals for the next multi-annual financial framework (MFF) builds on the above policy framework. It covers the following funds</w:t>
      </w:r>
      <w:r>
        <w:rPr>
          <w:rStyle w:val="FootnoteReference"/>
          <w:rFonts w:ascii="Times New Roman" w:eastAsia="Times New Roman" w:hAnsi="Times New Roman" w:cs="Times New Roman"/>
          <w:noProof/>
          <w:sz w:val="24"/>
          <w:szCs w:val="24"/>
          <w:lang w:eastAsia="en-GB"/>
        </w:rPr>
        <w:footnoteReference w:id="13"/>
      </w:r>
      <w:r>
        <w:rPr>
          <w:rFonts w:ascii="Times New Roman" w:eastAsia="Times New Roman" w:hAnsi="Times New Roman" w:cs="Times New Roman"/>
          <w:noProof/>
          <w:sz w:val="24"/>
          <w:szCs w:val="24"/>
          <w:lang w:eastAsia="en-GB"/>
        </w:rPr>
        <w:t xml:space="preserve">: </w:t>
      </w:r>
    </w:p>
    <w:p w:rsidR="003A1527" w:rsidRDefault="00742A12">
      <w:pPr>
        <w:pStyle w:val="ListParagraph"/>
        <w:numPr>
          <w:ilvl w:val="0"/>
          <w:numId w:val="15"/>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noProof/>
          <w:sz w:val="24"/>
          <w:szCs w:val="24"/>
          <w:lang w:eastAsia="en-GB"/>
        </w:rPr>
        <w:t>European Social Fund (ESF – one of the European structural and investment funds (ESI funds)) and Youth Employment Initiative (YEI);</w:t>
      </w:r>
    </w:p>
    <w:p w:rsidR="003A1527" w:rsidRDefault="00742A12">
      <w:pPr>
        <w:pStyle w:val="ListParagraph"/>
        <w:numPr>
          <w:ilvl w:val="0"/>
          <w:numId w:val="15"/>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Fund for European Aid to the Most Deprived (FEAD);</w:t>
      </w:r>
    </w:p>
    <w:p w:rsidR="003A1527" w:rsidRDefault="00742A12">
      <w:pPr>
        <w:pStyle w:val="ListParagraph"/>
        <w:numPr>
          <w:ilvl w:val="0"/>
          <w:numId w:val="15"/>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European Globalisation Adjustment Fund (EGF); </w:t>
      </w:r>
    </w:p>
    <w:p w:rsidR="003A1527" w:rsidRDefault="00742A12">
      <w:pPr>
        <w:pStyle w:val="ListParagraph"/>
        <w:numPr>
          <w:ilvl w:val="0"/>
          <w:numId w:val="15"/>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Health Prog</w:t>
      </w:r>
      <w:r>
        <w:rPr>
          <w:rFonts w:ascii="Times New Roman" w:eastAsia="Times New Roman" w:hAnsi="Times New Roman" w:cs="Times New Roman"/>
          <w:noProof/>
          <w:sz w:val="24"/>
          <w:szCs w:val="24"/>
          <w:lang w:eastAsia="en-GB"/>
        </w:rPr>
        <w:t>ramme</w:t>
      </w:r>
      <w:r>
        <w:rPr>
          <w:rStyle w:val="FootnoteReference"/>
          <w:rFonts w:ascii="Times New Roman" w:eastAsia="Times New Roman" w:hAnsi="Times New Roman" w:cs="Times New Roman"/>
          <w:noProof/>
          <w:sz w:val="24"/>
          <w:szCs w:val="24"/>
          <w:lang w:eastAsia="en-GB"/>
        </w:rPr>
        <w:footnoteReference w:id="14"/>
      </w:r>
      <w:r>
        <w:rPr>
          <w:rFonts w:ascii="Times New Roman" w:eastAsia="Times New Roman" w:hAnsi="Times New Roman" w:cs="Times New Roman"/>
          <w:noProof/>
          <w:sz w:val="24"/>
          <w:szCs w:val="24"/>
          <w:lang w:eastAsia="en-GB"/>
        </w:rPr>
        <w:t>, and</w:t>
      </w:r>
    </w:p>
    <w:p w:rsidR="003A1527" w:rsidRDefault="00742A12">
      <w:pPr>
        <w:pStyle w:val="ListParagraph"/>
        <w:numPr>
          <w:ilvl w:val="0"/>
          <w:numId w:val="15"/>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Employment and Social Innovation (EaSI) programme</w:t>
      </w:r>
    </w:p>
    <w:p w:rsidR="003A1527" w:rsidRDefault="00742A12">
      <w:pPr>
        <w:pStyle w:val="NormalNoSpace"/>
        <w:spacing w:line="240" w:lineRule="auto"/>
        <w:rPr>
          <w:noProof/>
          <w:color w:val="auto"/>
          <w:lang w:eastAsia="en-GB"/>
        </w:rPr>
      </w:pPr>
      <w:r>
        <w:rPr>
          <w:noProof/>
          <w:color w:val="auto"/>
          <w:lang w:eastAsia="en-GB"/>
        </w:rPr>
        <w:t>These funds are key in delivering on the European Pillar of Social Rights and the social and employment priorities endorsed by the European economic governance process. This impact assessmen</w:t>
      </w:r>
      <w:r>
        <w:rPr>
          <w:noProof/>
          <w:color w:val="auto"/>
          <w:lang w:eastAsia="en-GB"/>
        </w:rPr>
        <w:t xml:space="preserve">t covers them all, as they complement each other in contributing to the same policy objective, and presents them jointly or according to their specific properties, as appropriate.  </w:t>
      </w:r>
    </w:p>
    <w:p w:rsidR="003A1527" w:rsidRDefault="003A1527">
      <w:pPr>
        <w:spacing w:line="240" w:lineRule="auto"/>
        <w:jc w:val="both"/>
        <w:rPr>
          <w:rFonts w:ascii="Times New Roman" w:eastAsia="Times New Roman" w:hAnsi="Times New Roman" w:cs="Times New Roman"/>
          <w:b/>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This impact assessment concerns the following initiative:</w:t>
      </w:r>
    </w:p>
    <w:p w:rsidR="003A1527" w:rsidRDefault="00742A12">
      <w:pPr>
        <w:pStyle w:val="ListParagraph"/>
        <w:numPr>
          <w:ilvl w:val="0"/>
          <w:numId w:val="12"/>
        </w:num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merging the ESF</w:t>
      </w:r>
      <w:r>
        <w:rPr>
          <w:rFonts w:ascii="Times New Roman" w:eastAsia="Times New Roman" w:hAnsi="Times New Roman" w:cs="Times New Roman"/>
          <w:b/>
          <w:noProof/>
          <w:sz w:val="24"/>
          <w:szCs w:val="24"/>
          <w:lang w:eastAsia="en-GB"/>
        </w:rPr>
        <w:t>, YEI, FEAD, EaSI and EU Health programme into one fund (ESF+) with a single Regulation, but two separate management strands:</w:t>
      </w:r>
    </w:p>
    <w:p w:rsidR="003A1527" w:rsidRDefault="00742A12">
      <w:pPr>
        <w:pStyle w:val="ListParagraph"/>
        <w:numPr>
          <w:ilvl w:val="1"/>
          <w:numId w:val="12"/>
        </w:num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shared management (covering  the former ESF, YEI and FEAD); and</w:t>
      </w:r>
    </w:p>
    <w:p w:rsidR="003A1527" w:rsidRDefault="00742A12">
      <w:pPr>
        <w:pStyle w:val="ListParagraph"/>
        <w:numPr>
          <w:ilvl w:val="1"/>
          <w:numId w:val="12"/>
        </w:num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(in)/direct management (covering the former EaSI  and EU Health pr</w:t>
      </w:r>
      <w:r>
        <w:rPr>
          <w:rFonts w:ascii="Times New Roman" w:eastAsia="Times New Roman" w:hAnsi="Times New Roman" w:cs="Times New Roman"/>
          <w:b/>
          <w:noProof/>
          <w:sz w:val="24"/>
          <w:szCs w:val="24"/>
          <w:lang w:eastAsia="en-GB"/>
        </w:rPr>
        <w:t>ogramme and part of the ESF); and</w:t>
      </w:r>
    </w:p>
    <w:p w:rsidR="003A1527" w:rsidRDefault="00742A12">
      <w:pPr>
        <w:pStyle w:val="ListParagraph"/>
        <w:numPr>
          <w:ilvl w:val="0"/>
          <w:numId w:val="12"/>
        </w:num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keeping the EGF as a separate fund.</w:t>
      </w:r>
    </w:p>
    <w:p w:rsidR="003A1527" w:rsidRDefault="00742A12">
      <w:pPr>
        <w:pStyle w:val="NormalNoSpace"/>
        <w:spacing w:before="0" w:after="0" w:line="240" w:lineRule="auto"/>
        <w:rPr>
          <w:rFonts w:eastAsia="Times New Roman"/>
          <w:noProof/>
          <w:color w:val="auto"/>
          <w:lang w:eastAsia="en-GB"/>
        </w:rPr>
      </w:pPr>
      <w:r>
        <w:rPr>
          <w:rFonts w:eastAsia="Times New Roman"/>
          <w:noProof/>
          <w:color w:val="auto"/>
          <w:lang w:eastAsia="en-GB"/>
        </w:rPr>
        <w:t>The reasoning behind this initiative is set out in the following sections.</w:t>
      </w:r>
    </w:p>
    <w:p w:rsidR="003A1527" w:rsidRDefault="003A1527">
      <w:pPr>
        <w:spacing w:after="0" w:line="240" w:lineRule="auto"/>
        <w:jc w:val="both"/>
        <w:rPr>
          <w:rFonts w:ascii="Times New Roman" w:eastAsia="Times New Roman" w:hAnsi="Times New Roman" w:cs="Times New Roman"/>
          <w:noProof/>
          <w:sz w:val="24"/>
          <w:szCs w:val="24"/>
          <w:lang w:eastAsia="en-GB"/>
        </w:rPr>
      </w:pPr>
    </w:p>
    <w:p w:rsidR="003A1527" w:rsidRDefault="00742A1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impact assessment also examines synergies and complementarities with the following other funds under preparation in the context of the next MFF: </w:t>
      </w:r>
    </w:p>
    <w:p w:rsidR="003A1527" w:rsidRDefault="00742A12">
      <w:pPr>
        <w:pStyle w:val="ListParagraph"/>
        <w:numPr>
          <w:ilvl w:val="0"/>
          <w:numId w:val="26"/>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other ESI Funds, including: the European Regional and Development Fund (ERDF), the Cohesion Fund (CF), the</w:t>
      </w:r>
      <w:r>
        <w:rPr>
          <w:rFonts w:ascii="Times New Roman" w:eastAsia="Times New Roman" w:hAnsi="Times New Roman" w:cs="Times New Roman"/>
          <w:noProof/>
          <w:sz w:val="24"/>
          <w:szCs w:val="24"/>
          <w:lang w:eastAsia="en-GB"/>
        </w:rPr>
        <w:t xml:space="preserve"> European Agricultural Fund for Rural Development (EAFRD) and the European Maritime and Fisheries Fund (EMFF); </w:t>
      </w:r>
    </w:p>
    <w:p w:rsidR="003A1527" w:rsidRDefault="00742A12">
      <w:pPr>
        <w:pStyle w:val="ListParagraph"/>
        <w:numPr>
          <w:ilvl w:val="0"/>
          <w:numId w:val="26"/>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Erasmus;  </w:t>
      </w:r>
    </w:p>
    <w:p w:rsidR="003A1527" w:rsidRDefault="00742A12">
      <w:pPr>
        <w:pStyle w:val="ListParagraph"/>
        <w:numPr>
          <w:ilvl w:val="0"/>
          <w:numId w:val="26"/>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Asylum, Migration and Integration Fund (AMIF);</w:t>
      </w:r>
    </w:p>
    <w:p w:rsidR="003A1527" w:rsidRDefault="00742A12">
      <w:pPr>
        <w:pStyle w:val="ListParagraph"/>
        <w:numPr>
          <w:ilvl w:val="0"/>
          <w:numId w:val="26"/>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Framework Programme for Research and Innovation (Horizon Europe);</w:t>
      </w:r>
    </w:p>
    <w:p w:rsidR="003A1527" w:rsidRDefault="00742A12">
      <w:pPr>
        <w:pStyle w:val="ListParagraph"/>
        <w:numPr>
          <w:ilvl w:val="0"/>
          <w:numId w:val="26"/>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w:t>
      </w:r>
      <w:r>
        <w:rPr>
          <w:rFonts w:ascii="Times New Roman" w:eastAsia="Times New Roman" w:hAnsi="Times New Roman" w:cs="Times New Roman"/>
          <w:noProof/>
          <w:sz w:val="24"/>
          <w:szCs w:val="24"/>
          <w:lang w:eastAsia="en-GB"/>
        </w:rPr>
        <w:t xml:space="preserve"> Fund for Structural Investments (EFSI), the Reform Delivery Tool (RDT) and the </w:t>
      </w:r>
      <w:r>
        <w:rPr>
          <w:rFonts w:ascii="Times New Roman" w:hAnsi="Times New Roman" w:cs="Times New Roman"/>
          <w:noProof/>
          <w:sz w:val="24"/>
          <w:szCs w:val="24"/>
          <w:lang w:val="en"/>
        </w:rPr>
        <w:t>Structural Reform Support Programme (SRSP).</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impact assessment fulfils the requirements for </w:t>
      </w:r>
      <w:r>
        <w:rPr>
          <w:rFonts w:ascii="Times New Roman" w:eastAsia="Times New Roman" w:hAnsi="Times New Roman" w:cs="Times New Roman"/>
          <w:i/>
          <w:noProof/>
          <w:sz w:val="24"/>
          <w:szCs w:val="24"/>
          <w:lang w:eastAsia="en-GB"/>
        </w:rPr>
        <w:t>ex-ante</w:t>
      </w:r>
      <w:r>
        <w:rPr>
          <w:rFonts w:ascii="Times New Roman" w:eastAsia="Times New Roman" w:hAnsi="Times New Roman" w:cs="Times New Roman"/>
          <w:noProof/>
          <w:sz w:val="24"/>
          <w:szCs w:val="24"/>
          <w:lang w:eastAsia="en-GB"/>
        </w:rPr>
        <w:t xml:space="preserve"> evaluation of the Financial Regulation and Better Regulation package.</w:t>
      </w:r>
    </w:p>
    <w:p w:rsidR="003A1527" w:rsidRDefault="003A1527">
      <w:pPr>
        <w:pStyle w:val="Heading2"/>
        <w:tabs>
          <w:tab w:val="num" w:pos="360"/>
        </w:tabs>
        <w:jc w:val="both"/>
        <w:rPr>
          <w:rFonts w:ascii="Times New Roman" w:hAnsi="Times New Roman" w:cs="Times New Roman"/>
          <w:b/>
          <w:noProof/>
          <w:color w:val="auto"/>
          <w:sz w:val="24"/>
          <w:szCs w:val="24"/>
        </w:rPr>
      </w:pPr>
    </w:p>
    <w:p w:rsidR="003A1527" w:rsidRDefault="00742A12">
      <w:pPr>
        <w:pStyle w:val="Heading2"/>
        <w:tabs>
          <w:tab w:val="num" w:pos="360"/>
        </w:tabs>
        <w:jc w:val="both"/>
        <w:rPr>
          <w:rFonts w:ascii="Times New Roman" w:hAnsi="Times New Roman" w:cs="Times New Roman"/>
          <w:b/>
          <w:noProof/>
          <w:color w:val="auto"/>
          <w:sz w:val="24"/>
          <w:szCs w:val="24"/>
        </w:rPr>
      </w:pPr>
      <w:bookmarkStart w:id="29" w:name="_Toc509831767"/>
      <w:bookmarkStart w:id="30" w:name="_Toc509833359"/>
      <w:bookmarkStart w:id="31" w:name="_Toc509843328"/>
      <w:bookmarkStart w:id="32" w:name="_Toc509848045"/>
      <w:bookmarkStart w:id="33" w:name="_Toc514401932"/>
      <w:r>
        <w:rPr>
          <w:rFonts w:ascii="Times New Roman" w:hAnsi="Times New Roman" w:cs="Times New Roman"/>
          <w:b/>
          <w:noProof/>
          <w:color w:val="auto"/>
          <w:sz w:val="24"/>
          <w:szCs w:val="24"/>
        </w:rPr>
        <w:t>1.2 Lessons learned from previous programmes and related mid-term evaluations</w:t>
      </w:r>
      <w:bookmarkEnd w:id="29"/>
      <w:bookmarkEnd w:id="30"/>
      <w:bookmarkEnd w:id="31"/>
      <w:bookmarkEnd w:id="32"/>
      <w:bookmarkEnd w:id="33"/>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1.2.1 </w:t>
      </w:r>
      <w:r>
        <w:rPr>
          <w:rFonts w:ascii="Times New Roman" w:hAnsi="Times New Roman" w:cs="Times New Roman"/>
          <w:b/>
          <w:noProof/>
          <w:sz w:val="24"/>
          <w:szCs w:val="24"/>
        </w:rPr>
        <w:tab/>
        <w:t>Key findings from evaluations</w:t>
      </w:r>
    </w:p>
    <w:p w:rsidR="003A1527" w:rsidRDefault="00742A12">
      <w:pPr>
        <w:pStyle w:val="NormalWeb"/>
        <w:spacing w:before="0" w:beforeAutospacing="0" w:after="0" w:afterAutospacing="0" w:line="240" w:lineRule="auto"/>
        <w:jc w:val="both"/>
        <w:rPr>
          <w:noProof/>
        </w:rPr>
      </w:pPr>
      <w:r>
        <w:rPr>
          <w:noProof/>
        </w:rPr>
        <w:t>Evaluations of current</w:t>
      </w:r>
      <w:r>
        <w:rPr>
          <w:noProof/>
          <w:vertAlign w:val="superscript"/>
        </w:rPr>
        <w:footnoteReference w:id="15"/>
      </w:r>
      <w:r>
        <w:rPr>
          <w:noProof/>
        </w:rPr>
        <w:t xml:space="preserve"> and previous programming periods</w:t>
      </w:r>
      <w:r>
        <w:rPr>
          <w:noProof/>
          <w:vertAlign w:val="superscript"/>
        </w:rPr>
        <w:footnoteReference w:id="16"/>
      </w:r>
      <w:r>
        <w:rPr>
          <w:noProof/>
        </w:rPr>
        <w:t xml:space="preserve"> and related studies</w:t>
      </w:r>
      <w:r>
        <w:rPr>
          <w:rStyle w:val="FootnoteReference"/>
          <w:noProof/>
        </w:rPr>
        <w:footnoteReference w:id="17"/>
      </w:r>
      <w:r>
        <w:rPr>
          <w:noProof/>
        </w:rPr>
        <w:t xml:space="preserve"> all confirm the effectiveness, efficiency, relevance, EU add</w:t>
      </w:r>
      <w:r>
        <w:rPr>
          <w:noProof/>
        </w:rPr>
        <w:t>ed value and coherence of the funds covered by this impact assessment</w:t>
      </w:r>
      <w:r>
        <w:rPr>
          <w:rStyle w:val="FootnoteReference"/>
          <w:noProof/>
        </w:rPr>
        <w:footnoteReference w:id="18"/>
      </w:r>
      <w:r>
        <w:rPr>
          <w:noProof/>
        </w:rPr>
        <w:t xml:space="preserve">. Member States have invested in policy areas, target groups and reforms in a way that would not have been possible with national funding only. In particular: </w:t>
      </w:r>
    </w:p>
    <w:p w:rsidR="003A1527" w:rsidRDefault="003A1527">
      <w:pPr>
        <w:pStyle w:val="NormalWeb"/>
        <w:spacing w:before="0" w:beforeAutospacing="0" w:after="0" w:afterAutospacing="0" w:line="240" w:lineRule="auto"/>
        <w:jc w:val="both"/>
        <w:rPr>
          <w:noProof/>
        </w:rPr>
      </w:pPr>
    </w:p>
    <w:p w:rsidR="003A1527" w:rsidRDefault="00742A12">
      <w:pPr>
        <w:pStyle w:val="NormalWeb"/>
        <w:numPr>
          <w:ilvl w:val="0"/>
          <w:numId w:val="27"/>
        </w:numPr>
        <w:spacing w:before="0" w:beforeAutospacing="0" w:after="0" w:afterAutospacing="0" w:line="240" w:lineRule="auto"/>
        <w:jc w:val="both"/>
        <w:rPr>
          <w:noProof/>
        </w:rPr>
      </w:pPr>
      <w:r>
        <w:rPr>
          <w:noProof/>
        </w:rPr>
        <w:t>the 2000-2006</w:t>
      </w:r>
      <w:r>
        <w:rPr>
          <w:noProof/>
          <w:vertAlign w:val="superscript"/>
        </w:rPr>
        <w:footnoteReference w:id="19"/>
      </w:r>
      <w:r>
        <w:rPr>
          <w:noProof/>
        </w:rPr>
        <w:t xml:space="preserve"> and 2007-2013</w:t>
      </w:r>
      <w:r>
        <w:rPr>
          <w:rStyle w:val="FootnoteReference"/>
          <w:noProof/>
        </w:rPr>
        <w:footnoteReference w:id="20"/>
      </w:r>
      <w:r>
        <w:rPr>
          <w:noProof/>
        </w:rPr>
        <w:t xml:space="preserve"> ESF </w:t>
      </w:r>
      <w:r>
        <w:rPr>
          <w:i/>
          <w:noProof/>
        </w:rPr>
        <w:t>ex-post</w:t>
      </w:r>
      <w:r>
        <w:rPr>
          <w:noProof/>
        </w:rPr>
        <w:t xml:space="preserve"> evaluations recognise ESF investments as relevant, efficient and effective. The ESF's alignment with EU policies and priorities under the Lisbon Strategy and the Europe 2020 strategy for smart, sustainable and inclusive growth w</w:t>
      </w:r>
      <w:r>
        <w:rPr>
          <w:noProof/>
        </w:rPr>
        <w:t>as strengthened over time. At the same time, being one of the structural funds, the ESF contributes to the Treaty's goals of economic, social and territorial cohesion through increased concentration of resources. For example, the ESF (with the associated n</w:t>
      </w:r>
      <w:r>
        <w:rPr>
          <w:noProof/>
        </w:rPr>
        <w:t>ational funding) accounts for 70 % of active measures in 11 Member States.</w:t>
      </w:r>
      <w:r>
        <w:rPr>
          <w:noProof/>
          <w:vertAlign w:val="superscript"/>
        </w:rPr>
        <w:footnoteReference w:id="21"/>
      </w:r>
    </w:p>
    <w:p w:rsidR="003A1527" w:rsidRDefault="00742A12">
      <w:pPr>
        <w:pStyle w:val="NormalWeb"/>
        <w:numPr>
          <w:ilvl w:val="0"/>
          <w:numId w:val="27"/>
        </w:numPr>
        <w:spacing w:before="0" w:beforeAutospacing="0" w:after="0" w:afterAutospacing="0" w:line="240" w:lineRule="auto"/>
        <w:jc w:val="both"/>
        <w:rPr>
          <w:noProof/>
        </w:rPr>
      </w:pPr>
      <w:r>
        <w:rPr>
          <w:noProof/>
        </w:rPr>
        <w:t>through its support for young people not in employment, education or training (NEETs) in specific EU regions, the YEI raised the visibility of youth employment policies, but also b</w:t>
      </w:r>
      <w:r>
        <w:rPr>
          <w:noProof/>
        </w:rPr>
        <w:t>rought about a shift in policy-making in a number of Member States by supporting the setting-up and implementation of youth guarantee schemes;</w:t>
      </w:r>
      <w:r>
        <w:rPr>
          <w:noProof/>
          <w:vertAlign w:val="superscript"/>
        </w:rPr>
        <w:footnoteReference w:id="22"/>
      </w:r>
      <w:r>
        <w:rPr>
          <w:noProof/>
        </w:rPr>
        <w:t xml:space="preserve"> </w:t>
      </w:r>
    </w:p>
    <w:p w:rsidR="003A1527" w:rsidRDefault="00742A12">
      <w:pPr>
        <w:pStyle w:val="NormalWeb"/>
        <w:numPr>
          <w:ilvl w:val="0"/>
          <w:numId w:val="27"/>
        </w:numPr>
        <w:spacing w:before="0" w:beforeAutospacing="0" w:after="0" w:afterAutospacing="0" w:line="240" w:lineRule="auto"/>
        <w:jc w:val="both"/>
        <w:rPr>
          <w:noProof/>
        </w:rPr>
      </w:pPr>
      <w:r>
        <w:rPr>
          <w:noProof/>
          <w:lang w:eastAsia="de-DE"/>
        </w:rPr>
        <w:t>preliminary results of the FEAD mid-term evaluation</w:t>
      </w:r>
      <w:r>
        <w:rPr>
          <w:noProof/>
          <w:vertAlign w:val="superscript"/>
        </w:rPr>
        <w:footnoteReference w:id="23"/>
      </w:r>
      <w:r>
        <w:rPr>
          <w:noProof/>
          <w:lang w:eastAsia="de-DE"/>
        </w:rPr>
        <w:t>, including feedback from stakeholders,</w:t>
      </w:r>
      <w:r>
        <w:rPr>
          <w:noProof/>
          <w:vertAlign w:val="superscript"/>
        </w:rPr>
        <w:footnoteReference w:id="24"/>
      </w:r>
      <w:r>
        <w:rPr>
          <w:noProof/>
          <w:lang w:eastAsia="de-DE"/>
        </w:rPr>
        <w:t xml:space="preserve"> indicate that the </w:t>
      </w:r>
      <w:r>
        <w:rPr>
          <w:noProof/>
          <w:lang w:eastAsia="de-DE"/>
        </w:rPr>
        <w:t>food, material aid and social inclusion operations that it has supported make a difference to the most deprived, including those who might otherwise be left out of mainstream social assistance or who need immediate support;</w:t>
      </w:r>
    </w:p>
    <w:p w:rsidR="003A1527" w:rsidRDefault="00742A12">
      <w:pPr>
        <w:pStyle w:val="ListParagraph"/>
        <w:numPr>
          <w:ilvl w:val="0"/>
          <w:numId w:val="23"/>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de-DE"/>
        </w:rPr>
        <w:t xml:space="preserve">the results of </w:t>
      </w:r>
      <w:r>
        <w:rPr>
          <w:rFonts w:ascii="Times New Roman" w:eastAsia="Times New Roman" w:hAnsi="Times New Roman" w:cs="Times New Roman"/>
          <w:noProof/>
          <w:sz w:val="24"/>
          <w:szCs w:val="24"/>
        </w:rPr>
        <w:t xml:space="preserve">the mid-term </w:t>
      </w:r>
      <w:r>
        <w:rPr>
          <w:rFonts w:ascii="Times New Roman" w:eastAsia="Times New Roman" w:hAnsi="Times New Roman" w:cs="Times New Roman"/>
          <w:noProof/>
          <w:sz w:val="24"/>
          <w:szCs w:val="24"/>
        </w:rPr>
        <w:t>evaluation of the EGF</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xml:space="preserve"> shows that it offers dismissed workers a unique combination of tailored measures that lead to more sustainable results, increase the self-esteem of beneficiaries, who finally have a more proactive approach to job seeking, and improve</w:t>
      </w:r>
      <w:r>
        <w:rPr>
          <w:rFonts w:ascii="Times New Roman" w:eastAsia="Times New Roman" w:hAnsi="Times New Roman" w:cs="Times New Roman"/>
          <w:noProof/>
          <w:sz w:val="24"/>
          <w:szCs w:val="24"/>
        </w:rPr>
        <w:t xml:space="preserve"> their employability; and </w:t>
      </w:r>
    </w:p>
    <w:p w:rsidR="003A1527" w:rsidRDefault="00742A12">
      <w:pPr>
        <w:pStyle w:val="ListParagraph"/>
        <w:numPr>
          <w:ilvl w:val="0"/>
          <w:numId w:val="23"/>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mid-term evaluation </w:t>
      </w:r>
      <w:r>
        <w:rPr>
          <w:rFonts w:ascii="Times New Roman" w:hAnsi="Times New Roman" w:cs="Times New Roman"/>
          <w:bCs/>
          <w:noProof/>
          <w:sz w:val="24"/>
          <w:szCs w:val="24"/>
        </w:rPr>
        <w:t xml:space="preserve">of the </w:t>
      </w:r>
      <w:r>
        <w:rPr>
          <w:rFonts w:ascii="Times New Roman" w:eastAsia="Calibri" w:hAnsi="Times New Roman" w:cs="Times New Roman"/>
          <w:bCs/>
          <w:noProof/>
          <w:sz w:val="24"/>
          <w:szCs w:val="24"/>
        </w:rPr>
        <w:t>EaSI</w:t>
      </w:r>
      <w:r>
        <w:rPr>
          <w:rStyle w:val="FootnoteReference"/>
          <w:rFonts w:ascii="Times New Roman" w:hAnsi="Times New Roman" w:cs="Times New Roman"/>
          <w:noProof/>
          <w:sz w:val="24"/>
          <w:szCs w:val="24"/>
        </w:rPr>
        <w:footnoteReference w:id="26"/>
      </w:r>
      <w:r>
        <w:rPr>
          <w:rFonts w:ascii="Times New Roman" w:hAnsi="Times New Roman" w:cs="Times New Roman"/>
          <w:bCs/>
          <w:noProof/>
          <w:sz w:val="24"/>
          <w:szCs w:val="24"/>
        </w:rPr>
        <w:t xml:space="preserve"> </w:t>
      </w:r>
      <w:r>
        <w:rPr>
          <w:rFonts w:ascii="Times New Roman" w:hAnsi="Times New Roman" w:cs="Times New Roman"/>
          <w:noProof/>
          <w:sz w:val="24"/>
          <w:szCs w:val="24"/>
        </w:rPr>
        <w:t>shows that its objectives are still relevant, in particular in a challenging socio-economic context characterised by the aftermath of the financial and economic crisis and that it</w:t>
      </w:r>
      <w:r>
        <w:rPr>
          <w:rFonts w:ascii="Times New Roman" w:hAnsi="Times New Roman" w:cs="Times New Roman"/>
          <w:bCs/>
          <w:noProof/>
          <w:sz w:val="24"/>
          <w:szCs w:val="24"/>
        </w:rPr>
        <w:t xml:space="preserve"> </w:t>
      </w:r>
      <w:r>
        <w:rPr>
          <w:rFonts w:ascii="Times New Roman" w:hAnsi="Times New Roman" w:cs="Times New Roman"/>
          <w:noProof/>
          <w:sz w:val="24"/>
          <w:szCs w:val="24"/>
        </w:rPr>
        <w:t>was effectiv</w:t>
      </w:r>
      <w:r>
        <w:rPr>
          <w:rFonts w:ascii="Times New Roman" w:hAnsi="Times New Roman" w:cs="Times New Roman"/>
          <w:noProof/>
          <w:sz w:val="24"/>
          <w:szCs w:val="24"/>
        </w:rPr>
        <w:t>e in reaching the relevant stakeholders, generating outcomes and achieving its objectives.</w:t>
      </w:r>
      <w:r>
        <w:rPr>
          <w:rStyle w:val="FootnoteReference"/>
          <w:rFonts w:ascii="Times New Roman" w:hAnsi="Times New Roman" w:cs="Times New Roman"/>
          <w:noProof/>
          <w:sz w:val="24"/>
          <w:szCs w:val="24"/>
        </w:rPr>
        <w:t xml:space="preserve"> </w:t>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evaluations and studies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also provide evidence of a number of challenges, mostly regarding the need for greater coherence and synergy, flexibility and policy alignment, performance and results orientation, and simplification. In particular the funding landscape and, to a greater </w:t>
      </w:r>
      <w:r>
        <w:rPr>
          <w:rFonts w:ascii="Times New Roman" w:hAnsi="Times New Roman" w:cs="Times New Roman"/>
          <w:noProof/>
          <w:sz w:val="24"/>
          <w:szCs w:val="24"/>
        </w:rPr>
        <w:t xml:space="preserve">or lesser degree, the implementation of the funds, need to be simplified. The areas to be addressed are summarised in section 2.1.2 and described in more detail in Annexes 2 and 3.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1.2.2 Key messages from stakeholders  </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messages from stakeholders</w:t>
      </w:r>
      <w:r>
        <w:rPr>
          <w:rStyle w:val="FootnoteReference"/>
          <w:rFonts w:ascii="Times New Roman" w:eastAsia="Times New Roman" w:hAnsi="Times New Roman" w:cs="Times New Roman"/>
          <w:noProof/>
          <w:sz w:val="24"/>
          <w:szCs w:val="24"/>
          <w:lang w:eastAsia="en-GB"/>
        </w:rPr>
        <w:footnoteReference w:id="28"/>
      </w:r>
      <w:r>
        <w:rPr>
          <w:rFonts w:ascii="Times New Roman" w:eastAsia="Times New Roman" w:hAnsi="Times New Roman" w:cs="Times New Roman"/>
          <w:noProof/>
          <w:sz w:val="24"/>
          <w:szCs w:val="24"/>
          <w:lang w:eastAsia="en-GB"/>
        </w:rPr>
        <w:t xml:space="preserve"> (c</w:t>
      </w:r>
      <w:r>
        <w:rPr>
          <w:rFonts w:ascii="Times New Roman" w:eastAsia="Times New Roman" w:hAnsi="Times New Roman" w:cs="Times New Roman"/>
          <w:noProof/>
          <w:sz w:val="24"/>
          <w:szCs w:val="24"/>
          <w:lang w:eastAsia="en-GB"/>
        </w:rPr>
        <w:t>onsulted mainly through the open public consultation (OPC), conferences, focus groups, interviews and questionnaires in the framework of preparations for arrangements post-2020) broadly confirm the findings from the evaluations.</w:t>
      </w:r>
      <w:r>
        <w:rPr>
          <w:rStyle w:val="FootnoteReference"/>
          <w:rFonts w:ascii="Times New Roman" w:eastAsia="Times New Roman" w:hAnsi="Times New Roman" w:cs="Times New Roman"/>
          <w:noProof/>
          <w:sz w:val="24"/>
          <w:szCs w:val="24"/>
          <w:lang w:eastAsia="en-GB"/>
        </w:rPr>
        <w:footnoteReference w:id="29"/>
      </w:r>
      <w:r>
        <w:rPr>
          <w:rFonts w:ascii="Times New Roman" w:eastAsia="Times New Roman" w:hAnsi="Times New Roman" w:cs="Times New Roman"/>
          <w:noProof/>
          <w:sz w:val="24"/>
          <w:szCs w:val="24"/>
          <w:lang w:eastAsia="en-GB"/>
        </w:rPr>
        <w:t xml:space="preserve"> Stakeholder consultation </w:t>
      </w:r>
      <w:r>
        <w:rPr>
          <w:rFonts w:ascii="Times New Roman" w:eastAsia="Times New Roman" w:hAnsi="Times New Roman"/>
          <w:noProof/>
          <w:sz w:val="24"/>
          <w:lang w:eastAsia="en-GB"/>
        </w:rPr>
        <w:t>r</w:t>
      </w:r>
      <w:r>
        <w:rPr>
          <w:rFonts w:ascii="Times New Roman" w:eastAsia="Times New Roman" w:hAnsi="Times New Roman"/>
          <w:noProof/>
          <w:sz w:val="24"/>
          <w:lang w:eastAsia="en-GB"/>
        </w:rPr>
        <w:t xml:space="preserve">esults demonstrate </w:t>
      </w:r>
      <w:r>
        <w:rPr>
          <w:rFonts w:ascii="Times New Roman" w:eastAsia="Times New Roman" w:hAnsi="Times New Roman" w:cs="Times New Roman"/>
          <w:noProof/>
          <w:sz w:val="24"/>
          <w:szCs w:val="24"/>
          <w:lang w:eastAsia="en-GB"/>
        </w:rPr>
        <w:t xml:space="preserve">the </w:t>
      </w:r>
      <w:r>
        <w:rPr>
          <w:rFonts w:ascii="Times New Roman" w:eastAsia="Times New Roman" w:hAnsi="Times New Roman"/>
          <w:noProof/>
          <w:sz w:val="24"/>
          <w:lang w:eastAsia="en-GB"/>
        </w:rPr>
        <w:t xml:space="preserve">perceived high added-value of the concerned EU Funds. Around 76% of the OPC respondents supported the view that the current programmes/funds add value to a large or fairly large extent compared to what Member States could achieve at </w:t>
      </w:r>
      <w:r>
        <w:rPr>
          <w:rFonts w:ascii="Times New Roman" w:eastAsia="Times New Roman" w:hAnsi="Times New Roman"/>
          <w:noProof/>
          <w:sz w:val="24"/>
          <w:lang w:eastAsia="en-GB"/>
        </w:rPr>
        <w:t xml:space="preserve">national, regional and/or local levels. </w:t>
      </w:r>
      <w:r>
        <w:rPr>
          <w:rFonts w:ascii="Times New Roman" w:hAnsi="Times New Roman" w:cs="Times New Roman"/>
          <w:noProof/>
          <w:sz w:val="24"/>
          <w:szCs w:val="24"/>
        </w:rPr>
        <w:t>Continued European action through investment in a ‘social Europe’ is key to the effective</w:t>
      </w:r>
      <w:r>
        <w:rPr>
          <w:rFonts w:ascii="Times New Roman" w:hAnsi="Times New Roman"/>
          <w:noProof/>
          <w:sz w:val="24"/>
        </w:rPr>
        <w:t xml:space="preserve"> implementation of EU social and employment policy</w:t>
      </w:r>
      <w:r>
        <w:rPr>
          <w:rFonts w:ascii="Times New Roman" w:hAnsi="Times New Roman" w:cs="Times New Roman"/>
          <w:noProof/>
          <w:sz w:val="24"/>
          <w:szCs w:val="24"/>
        </w:rPr>
        <w:t xml:space="preserve"> (the key policy challenges identified in the OPC), in particular the Europea</w:t>
      </w:r>
      <w:r>
        <w:rPr>
          <w:rFonts w:ascii="Times New Roman" w:hAnsi="Times New Roman" w:cs="Times New Roman"/>
          <w:noProof/>
          <w:sz w:val="24"/>
          <w:szCs w:val="24"/>
        </w:rPr>
        <w:t xml:space="preserve">n Pillar of Social Rights and the Skills Agenda.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priorities for investment, it is essential to anticipate skills needs in a fast-evolving world of work, including digital skills. Moreover, measures should continue to support young people and t</w:t>
      </w:r>
      <w:r>
        <w:rPr>
          <w:rFonts w:ascii="Times New Roman" w:hAnsi="Times New Roman" w:cs="Times New Roman"/>
          <w:noProof/>
          <w:sz w:val="24"/>
          <w:szCs w:val="24"/>
        </w:rPr>
        <w:t xml:space="preserve">arget the most disadvantaged in the labour market and society at large, in particular migrants, people with disabilities, low-skilled and long-term unemployed people: to this end it is key to continue and reinforce </w:t>
      </w:r>
      <w:r>
        <w:rPr>
          <w:rFonts w:ascii="Times New Roman" w:hAnsi="Times New Roman"/>
          <w:noProof/>
          <w:sz w:val="24"/>
        </w:rPr>
        <w:t>investment in social inclusion</w:t>
      </w:r>
      <w:r>
        <w:rPr>
          <w:rFonts w:ascii="Times New Roman" w:hAnsi="Times New Roman" w:cs="Times New Roman"/>
          <w:noProof/>
          <w:sz w:val="24"/>
          <w:szCs w:val="24"/>
        </w:rPr>
        <w:t>. The links</w:t>
      </w:r>
      <w:r>
        <w:rPr>
          <w:rFonts w:ascii="Times New Roman" w:hAnsi="Times New Roman" w:cs="Times New Roman"/>
          <w:noProof/>
          <w:sz w:val="24"/>
          <w:szCs w:val="24"/>
        </w:rPr>
        <w:t xml:space="preserve"> between policy and funding can and should be strengthened (through </w:t>
      </w:r>
      <w:r>
        <w:rPr>
          <w:rFonts w:ascii="Times New Roman" w:hAnsi="Times New Roman" w:cs="Times New Roman"/>
          <w:i/>
          <w:noProof/>
          <w:sz w:val="24"/>
          <w:szCs w:val="24"/>
        </w:rPr>
        <w:t>ex-ante</w:t>
      </w:r>
      <w:r>
        <w:rPr>
          <w:rFonts w:ascii="Times New Roman" w:hAnsi="Times New Roman" w:cs="Times New Roman"/>
          <w:noProof/>
          <w:sz w:val="24"/>
          <w:szCs w:val="24"/>
        </w:rPr>
        <w:t xml:space="preserve"> conditionalities, the link with European Semester process, allocation method including social indicators in addition to GDP); and results-based approaches are welcomed, although th</w:t>
      </w:r>
      <w:r>
        <w:rPr>
          <w:rFonts w:ascii="Times New Roman" w:hAnsi="Times New Roman" w:cs="Times New Roman"/>
          <w:noProof/>
          <w:sz w:val="24"/>
          <w:szCs w:val="24"/>
        </w:rPr>
        <w:t xml:space="preserve">ey should be developed mindfully of potential risks. It was also stressed that respect for fundamental rights should be ensured in the funds’ implementation.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Funds’ management, future proposals and rules should represent </w:t>
      </w:r>
      <w:r>
        <w:rPr>
          <w:rFonts w:ascii="Times New Roman" w:hAnsi="Times New Roman"/>
          <w:noProof/>
          <w:sz w:val="24"/>
        </w:rPr>
        <w:t xml:space="preserve">‘an evolution and </w:t>
      </w:r>
      <w:r>
        <w:rPr>
          <w:rFonts w:ascii="Times New Roman" w:hAnsi="Times New Roman"/>
          <w:noProof/>
          <w:sz w:val="24"/>
        </w:rPr>
        <w:t>not a revolution’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should </w:t>
      </w:r>
      <w:r>
        <w:rPr>
          <w:rFonts w:ascii="Times New Roman" w:hAnsi="Times New Roman"/>
          <w:noProof/>
          <w:sz w:val="24"/>
        </w:rPr>
        <w:t>simplify</w:t>
      </w:r>
      <w:r>
        <w:rPr>
          <w:rFonts w:ascii="Times New Roman" w:hAnsi="Times New Roman" w:cs="Times New Roman"/>
          <w:noProof/>
          <w:sz w:val="24"/>
          <w:szCs w:val="24"/>
        </w:rPr>
        <w:t xml:space="preserve"> management at all levels (in particular, through simplified cost options, simplifying audit and control and monitoring requirements). In addition to simplification efforts, </w:t>
      </w:r>
      <w:r>
        <w:rPr>
          <w:rFonts w:ascii="Times New Roman" w:hAnsi="Times New Roman"/>
          <w:noProof/>
          <w:sz w:val="24"/>
        </w:rPr>
        <w:t>technical assistance and capacity-building</w:t>
      </w:r>
      <w:r>
        <w:rPr>
          <w:rFonts w:ascii="Times New Roman" w:hAnsi="Times New Roman" w:cs="Times New Roman"/>
          <w:noProof/>
          <w:sz w:val="24"/>
          <w:szCs w:val="24"/>
        </w:rPr>
        <w:t xml:space="preserve"> i</w:t>
      </w:r>
      <w:r>
        <w:rPr>
          <w:rFonts w:ascii="Times New Roman" w:hAnsi="Times New Roman" w:cs="Times New Roman"/>
          <w:noProof/>
          <w:sz w:val="24"/>
          <w:szCs w:val="24"/>
        </w:rPr>
        <w:t xml:space="preserve">s important for the funds’ effective implementation. In relation to this, the </w:t>
      </w:r>
      <w:r>
        <w:rPr>
          <w:rFonts w:ascii="Times New Roman" w:hAnsi="Times New Roman"/>
          <w:noProof/>
          <w:sz w:val="24"/>
        </w:rPr>
        <w:t>partnership principle</w:t>
      </w:r>
      <w:r>
        <w:rPr>
          <w:rFonts w:ascii="Times New Roman" w:hAnsi="Times New Roman" w:cs="Times New Roman"/>
          <w:noProof/>
          <w:sz w:val="24"/>
          <w:szCs w:val="24"/>
        </w:rPr>
        <w:t xml:space="preserve"> needs to be strengthened, ensuring a more meaningful involvement of civil society and according to some, the Commission. Furthermore, the </w:t>
      </w:r>
      <w:r>
        <w:rPr>
          <w:rFonts w:ascii="Times New Roman" w:hAnsi="Times New Roman"/>
          <w:noProof/>
          <w:sz w:val="24"/>
        </w:rPr>
        <w:t xml:space="preserve">synergies and </w:t>
      </w:r>
      <w:r>
        <w:rPr>
          <w:rFonts w:ascii="Times New Roman" w:hAnsi="Times New Roman"/>
          <w:noProof/>
          <w:sz w:val="24"/>
        </w:rPr>
        <w:t>complementarities</w:t>
      </w:r>
      <w:r>
        <w:rPr>
          <w:rFonts w:ascii="Times New Roman" w:hAnsi="Times New Roman" w:cs="Times New Roman"/>
          <w:noProof/>
          <w:sz w:val="24"/>
          <w:szCs w:val="24"/>
        </w:rPr>
        <w:t xml:space="preserve"> between funds should be enhanced, while preserving and increasing the funds’ flexibility. </w:t>
      </w:r>
    </w:p>
    <w:p w:rsidR="003A1527" w:rsidRDefault="003A1527">
      <w:pPr>
        <w:spacing w:after="0" w:line="240" w:lineRule="auto"/>
        <w:jc w:val="both"/>
        <w:rPr>
          <w:rFonts w:ascii="Times New Roman" w:hAnsi="Times New Roman" w:cs="Times New Roman"/>
          <w:noProof/>
          <w:sz w:val="24"/>
          <w:szCs w:val="24"/>
        </w:rPr>
      </w:pPr>
    </w:p>
    <w:p w:rsidR="003A1527" w:rsidRDefault="00742A12">
      <w:pPr>
        <w:pStyle w:val="Heading1"/>
        <w:tabs>
          <w:tab w:val="num" w:pos="-240"/>
        </w:tabs>
        <w:jc w:val="both"/>
        <w:rPr>
          <w:rFonts w:ascii="Times New Roman" w:eastAsia="Times New Roman" w:hAnsi="Times New Roman" w:cs="Times New Roman"/>
          <w:b/>
          <w:smallCaps/>
          <w:noProof/>
          <w:color w:val="auto"/>
          <w:sz w:val="24"/>
          <w:szCs w:val="24"/>
        </w:rPr>
      </w:pPr>
      <w:bookmarkStart w:id="34" w:name="_Toc509831768"/>
      <w:bookmarkStart w:id="35" w:name="_Toc509833360"/>
      <w:bookmarkStart w:id="36" w:name="_Toc509843329"/>
      <w:bookmarkStart w:id="37" w:name="_Toc509848046"/>
      <w:bookmarkStart w:id="38" w:name="_Toc514401933"/>
      <w:r>
        <w:rPr>
          <w:rFonts w:ascii="Times New Roman" w:eastAsia="Times New Roman" w:hAnsi="Times New Roman" w:cs="Times New Roman"/>
          <w:b/>
          <w:smallCaps/>
          <w:noProof/>
          <w:color w:val="auto"/>
          <w:sz w:val="24"/>
          <w:szCs w:val="24"/>
        </w:rPr>
        <w:t xml:space="preserve">2. </w:t>
      </w:r>
      <w:r>
        <w:rPr>
          <w:rFonts w:ascii="Times New Roman" w:eastAsia="Times New Roman" w:hAnsi="Times New Roman" w:cs="Times New Roman"/>
          <w:b/>
          <w:smallCaps/>
          <w:noProof/>
          <w:color w:val="auto"/>
          <w:sz w:val="24"/>
          <w:szCs w:val="24"/>
        </w:rPr>
        <w:tab/>
        <w:t>THE OBJECTIVES</w:t>
      </w:r>
      <w:bookmarkEnd w:id="34"/>
      <w:bookmarkEnd w:id="35"/>
      <w:bookmarkEnd w:id="36"/>
      <w:bookmarkEnd w:id="37"/>
      <w:bookmarkEnd w:id="38"/>
      <w:r>
        <w:rPr>
          <w:rFonts w:ascii="Times New Roman" w:eastAsia="Times New Roman" w:hAnsi="Times New Roman" w:cs="Times New Roman"/>
          <w:b/>
          <w:smallCaps/>
          <w:noProof/>
          <w:color w:val="auto"/>
          <w:sz w:val="24"/>
          <w:szCs w:val="24"/>
        </w:rPr>
        <w:t xml:space="preserve"> </w:t>
      </w:r>
    </w:p>
    <w:p w:rsidR="003A1527" w:rsidRDefault="003A1527">
      <w:pPr>
        <w:pStyle w:val="Heading2"/>
        <w:tabs>
          <w:tab w:val="num" w:pos="360"/>
        </w:tabs>
        <w:jc w:val="both"/>
        <w:rPr>
          <w:rFonts w:ascii="Times New Roman" w:hAnsi="Times New Roman" w:cs="Times New Roman"/>
          <w:b/>
          <w:noProof/>
          <w:color w:val="auto"/>
          <w:sz w:val="24"/>
          <w:szCs w:val="24"/>
        </w:rPr>
      </w:pPr>
    </w:p>
    <w:p w:rsidR="003A1527" w:rsidRDefault="00742A12">
      <w:pPr>
        <w:pStyle w:val="Heading2"/>
        <w:tabs>
          <w:tab w:val="num" w:pos="360"/>
        </w:tabs>
        <w:jc w:val="both"/>
        <w:rPr>
          <w:rFonts w:ascii="Times New Roman" w:hAnsi="Times New Roman" w:cs="Times New Roman"/>
          <w:b/>
          <w:noProof/>
          <w:color w:val="auto"/>
          <w:sz w:val="24"/>
          <w:szCs w:val="24"/>
        </w:rPr>
      </w:pPr>
      <w:bookmarkStart w:id="39" w:name="_Toc509831769"/>
      <w:bookmarkStart w:id="40" w:name="_Toc509833361"/>
      <w:bookmarkStart w:id="41" w:name="_Toc509843330"/>
      <w:bookmarkStart w:id="42" w:name="_Toc509848047"/>
      <w:bookmarkStart w:id="43" w:name="_Toc514401934"/>
      <w:r>
        <w:rPr>
          <w:rFonts w:ascii="Times New Roman" w:hAnsi="Times New Roman" w:cs="Times New Roman"/>
          <w:b/>
          <w:noProof/>
          <w:color w:val="auto"/>
          <w:sz w:val="24"/>
          <w:szCs w:val="24"/>
        </w:rPr>
        <w:t>2.1 Challenges for the programmes of the next MFF</w:t>
      </w:r>
      <w:bookmarkEnd w:id="39"/>
      <w:bookmarkEnd w:id="40"/>
      <w:bookmarkEnd w:id="41"/>
      <w:bookmarkEnd w:id="42"/>
      <w:bookmarkEnd w:id="43"/>
      <w:r>
        <w:rPr>
          <w:rFonts w:ascii="Times New Roman" w:hAnsi="Times New Roman" w:cs="Times New Roman"/>
          <w:b/>
          <w:noProof/>
          <w:color w:val="auto"/>
          <w:sz w:val="24"/>
          <w:szCs w:val="24"/>
        </w:rPr>
        <w:t xml:space="preserve"> </w:t>
      </w:r>
    </w:p>
    <w:p w:rsidR="003A1527" w:rsidRDefault="003A1527">
      <w:pPr>
        <w:spacing w:line="240" w:lineRule="auto"/>
        <w:jc w:val="both"/>
        <w:rPr>
          <w:noProof/>
        </w:rPr>
      </w:pPr>
    </w:p>
    <w:p w:rsidR="003A1527" w:rsidRDefault="00742A12">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2.1.1. </w:t>
      </w:r>
      <w:r>
        <w:rPr>
          <w:rFonts w:ascii="Times New Roman" w:eastAsia="Times New Roman" w:hAnsi="Times New Roman" w:cs="Times New Roman"/>
          <w:b/>
          <w:noProof/>
          <w:sz w:val="24"/>
          <w:szCs w:val="24"/>
          <w:lang w:eastAsia="en-GB"/>
        </w:rPr>
        <w:tab/>
        <w:t>Key features of ongoing programmes</w:t>
      </w:r>
    </w:p>
    <w:p w:rsidR="003A1527" w:rsidRDefault="003A1527">
      <w:pPr>
        <w:spacing w:after="0" w:line="240" w:lineRule="auto"/>
        <w:jc w:val="both"/>
        <w:rPr>
          <w:rFonts w:ascii="Times New Roman" w:eastAsia="Times New Roman" w:hAnsi="Times New Roman" w:cs="Times New Roman"/>
          <w:b/>
          <w:noProof/>
          <w:sz w:val="24"/>
          <w:szCs w:val="24"/>
          <w:lang w:eastAsia="en-GB"/>
        </w:rPr>
      </w:pPr>
    </w:p>
    <w:p w:rsidR="003A1527" w:rsidRDefault="00742A12">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 setting out the challenges</w:t>
      </w:r>
      <w:r>
        <w:rPr>
          <w:rFonts w:ascii="Times New Roman" w:eastAsia="Times New Roman" w:hAnsi="Times New Roman" w:cs="Times New Roman"/>
          <w:noProof/>
          <w:sz w:val="24"/>
          <w:szCs w:val="24"/>
          <w:lang w:eastAsia="en-GB"/>
        </w:rPr>
        <w:t xml:space="preserve"> for the programming period 2021-2027 a baseline scenario will have to reflect a decrease of the future MFF allocations following the UK’s withdrawal with an unchanged policy. For the funds under consideration the</w:t>
      </w:r>
      <w:r>
        <w:rPr>
          <w:rFonts w:ascii="Times New Roman" w:hAnsi="Times New Roman" w:cs="Times New Roman"/>
          <w:noProof/>
          <w:sz w:val="24"/>
          <w:szCs w:val="24"/>
        </w:rPr>
        <w:t xml:space="preserve"> consequences of Brexit would mean that we </w:t>
      </w:r>
      <w:r>
        <w:rPr>
          <w:rFonts w:ascii="Times New Roman" w:hAnsi="Times New Roman" w:cs="Times New Roman"/>
          <w:noProof/>
          <w:sz w:val="24"/>
          <w:szCs w:val="24"/>
        </w:rPr>
        <w:t>would still cater for all Member States and all objectives, but Member States might have to set priorities to the detriment of some groups or objectives. Overall the results and impact of the funds would therefore be reduced in terms of financial volume bu</w:t>
      </w:r>
      <w:r>
        <w:rPr>
          <w:rFonts w:ascii="Times New Roman" w:hAnsi="Times New Roman" w:cs="Times New Roman"/>
          <w:noProof/>
          <w:sz w:val="24"/>
          <w:szCs w:val="24"/>
        </w:rPr>
        <w:t>t also number of projects and persons supported. However the lower level of budget and the risks it entails can be mitigated both by higher national co-financing rates and by limiting the scope of ESF support in the field of general public administration r</w:t>
      </w:r>
      <w:r>
        <w:rPr>
          <w:rFonts w:ascii="Times New Roman" w:hAnsi="Times New Roman" w:cs="Times New Roman"/>
          <w:noProof/>
          <w:sz w:val="24"/>
          <w:szCs w:val="24"/>
        </w:rPr>
        <w:t>eform (see section 2.2).</w:t>
      </w:r>
    </w:p>
    <w:p w:rsidR="003A1527" w:rsidRDefault="003A1527">
      <w:pPr>
        <w:spacing w:line="240" w:lineRule="auto"/>
        <w:jc w:val="both"/>
        <w:rPr>
          <w:rFonts w:ascii="Times New Roman" w:eastAsia="Times New Roman" w:hAnsi="Times New Roman" w:cs="Times New Roman"/>
          <w:b/>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2.1.1.1 ESF and YEI</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ESF is the EU’s main instrument for investing in people since the Treaty of Rome. It finances actions contributing to employment, social inclusion, education, training and administrative capacity reforms. T</w:t>
      </w:r>
      <w:r>
        <w:rPr>
          <w:rFonts w:ascii="Times New Roman" w:eastAsia="Times New Roman" w:hAnsi="Times New Roman" w:cs="Times New Roman"/>
          <w:noProof/>
          <w:sz w:val="24"/>
          <w:szCs w:val="24"/>
          <w:lang w:eastAsia="en-GB"/>
        </w:rPr>
        <w:t>ogether with the YEI, it supports NEETs</w:t>
      </w:r>
      <w:r>
        <w:rPr>
          <w:rFonts w:ascii="Times New Roman" w:hAnsi="Times New Roman" w:cs="Times New Roman"/>
          <w:noProof/>
          <w:sz w:val="24"/>
          <w:szCs w:val="24"/>
        </w:rPr>
        <w:t xml:space="preserve"> in regions with high youth unemployment. </w:t>
      </w:r>
    </w:p>
    <w:p w:rsidR="003A1527" w:rsidRDefault="00742A12">
      <w:pPr>
        <w:pStyle w:val="NormalWeb"/>
        <w:spacing w:before="0" w:beforeAutospacing="0" w:after="0" w:afterAutospacing="0" w:line="240" w:lineRule="auto"/>
        <w:jc w:val="both"/>
        <w:rPr>
          <w:noProof/>
        </w:rPr>
      </w:pPr>
      <w:r>
        <w:rPr>
          <w:noProof/>
        </w:rPr>
        <w:t>The ESF and YEI are implemented under shared management. Funding envelopes are established per Member State and category of region for the whole programming period based on criteria mainly reflecting regional GDP. Different co-financing rates apply dependi</w:t>
      </w:r>
      <w:r>
        <w:rPr>
          <w:noProof/>
        </w:rPr>
        <w:t xml:space="preserve">ng on the category of region. </w:t>
      </w:r>
    </w:p>
    <w:p w:rsidR="003A1527" w:rsidRDefault="003A1527">
      <w:pPr>
        <w:pStyle w:val="NormalWeb"/>
        <w:spacing w:before="0" w:beforeAutospacing="0" w:after="0" w:afterAutospacing="0" w:line="240" w:lineRule="auto"/>
        <w:jc w:val="both"/>
        <w:rPr>
          <w:noProof/>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xml:space="preserve">The YEI is implemented according to the ESF rules and supported both through ESF allocations and a separate budget line. It is subject to some specific programming, financial management, monitoring and reporting </w:t>
      </w:r>
      <w:r>
        <w:rPr>
          <w:rFonts w:ascii="Times New Roman" w:hAnsi="Times New Roman" w:cs="Times New Roman"/>
          <w:noProof/>
          <w:sz w:val="24"/>
          <w:szCs w:val="24"/>
        </w:rPr>
        <w:t>requirements.</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total ESF budget for 2014-2020 is EUR 121 billion, of which EUR 84 billion is EU funded and the rest is co-financed from national budgets. The additional YEI budget is around EUR 10 billion, of which EUR 8.8 billion is EU funded.</w:t>
      </w:r>
      <w:r>
        <w:rPr>
          <w:rStyle w:val="FootnoteReference"/>
          <w:rFonts w:ascii="Times New Roman" w:eastAsia="Times New Roman" w:hAnsi="Times New Roman" w:cs="Times New Roman"/>
          <w:noProof/>
          <w:sz w:val="24"/>
          <w:szCs w:val="24"/>
        </w:rPr>
        <w:footnoteReference w:id="31"/>
      </w:r>
      <w:r>
        <w:rPr>
          <w:rFonts w:ascii="Times New Roman" w:eastAsia="Times New Roman" w:hAnsi="Times New Roman" w:cs="Times New Roman"/>
          <w:noProof/>
          <w:sz w:val="24"/>
          <w:szCs w:val="24"/>
        </w:rPr>
        <w:t xml:space="preserve"> The ESF</w:t>
      </w:r>
      <w:r>
        <w:rPr>
          <w:rFonts w:ascii="Times New Roman" w:eastAsia="Times New Roman" w:hAnsi="Times New Roman" w:cs="Times New Roman"/>
          <w:noProof/>
          <w:sz w:val="24"/>
          <w:szCs w:val="24"/>
        </w:rPr>
        <w:t xml:space="preserve"> and the YEI are expected to benefit 56 million participants</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rPr>
        <w:t xml:space="preserve"> in the current period. </w:t>
      </w:r>
    </w:p>
    <w:p w:rsidR="003A1527" w:rsidRDefault="00742A12">
      <w:pPr>
        <w:spacing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Impacts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2007-2013 ESF </w:t>
      </w:r>
      <w:r>
        <w:rPr>
          <w:rFonts w:ascii="Times New Roman" w:hAnsi="Times New Roman" w:cs="Times New Roman"/>
          <w:i/>
          <w:noProof/>
          <w:sz w:val="24"/>
          <w:szCs w:val="24"/>
        </w:rPr>
        <w:t>ex-post</w:t>
      </w:r>
      <w:r>
        <w:rPr>
          <w:rFonts w:ascii="Times New Roman" w:hAnsi="Times New Roman" w:cs="Times New Roman"/>
          <w:noProof/>
          <w:sz w:val="24"/>
          <w:szCs w:val="24"/>
        </w:rPr>
        <w:t xml:space="preserve"> evaluation allowed calculating minimum success rates of ESF interventions (share of participations with recorded positive results such a</w:t>
      </w:r>
      <w:r>
        <w:rPr>
          <w:rFonts w:ascii="Times New Roman" w:hAnsi="Times New Roman" w:cs="Times New Roman"/>
          <w:noProof/>
          <w:sz w:val="24"/>
          <w:szCs w:val="24"/>
        </w:rPr>
        <w:t>s qualification or employment</w:t>
      </w:r>
      <w:r>
        <w:rPr>
          <w:rStyle w:val="EndnoteReference"/>
          <w:rFonts w:ascii="Times New Roman" w:hAnsi="Times New Roman" w:cs="Times New Roman"/>
          <w:noProof/>
          <w:sz w:val="24"/>
          <w:szCs w:val="24"/>
        </w:rPr>
        <w:endnoteReference w:id="2"/>
      </w:r>
      <w:r>
        <w:rPr>
          <w:rFonts w:ascii="Times New Roman" w:hAnsi="Times New Roman" w:cs="Times New Roman"/>
          <w:noProof/>
          <w:sz w:val="24"/>
          <w:szCs w:val="24"/>
        </w:rPr>
        <w:t xml:space="preserve">) by theme: they reached 46% for education and training, 38% for access to employment, and 52% for social inclusion. These ratios include employment and qualification gained and soft outcomes (such as increased chances in the </w:t>
      </w:r>
      <w:r>
        <w:rPr>
          <w:rFonts w:ascii="Times New Roman" w:hAnsi="Times New Roman" w:cs="Times New Roman"/>
          <w:noProof/>
          <w:sz w:val="24"/>
          <w:szCs w:val="24"/>
        </w:rPr>
        <w:t>labour market) and show the significant impact of the ESF on participants’ long term prospects and careers.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ESF and YEI investments are the main EU level support to structural reforms in Member States especially in areas related to reform of public employm</w:t>
      </w:r>
      <w:r>
        <w:rPr>
          <w:rFonts w:ascii="Times New Roman" w:hAnsi="Times New Roman" w:cs="Times New Roman"/>
          <w:noProof/>
          <w:sz w:val="24"/>
          <w:szCs w:val="24"/>
        </w:rPr>
        <w:t>ent services, activation measures, the development of individualised integrated pathways for employment, the set-up and implementation of dual vocational education and training, apprenticeship measures or investment in (child)care aimed at increasing women</w:t>
      </w:r>
      <w:r>
        <w:rPr>
          <w:rFonts w:ascii="Times New Roman" w:hAnsi="Times New Roman" w:cs="Times New Roman"/>
          <w:noProof/>
          <w:sz w:val="24"/>
          <w:szCs w:val="24"/>
        </w:rPr>
        <w:t xml:space="preserve"> participation in the labour market.</w:t>
      </w:r>
    </w:p>
    <w:p w:rsidR="003A1527" w:rsidRDefault="003A1527">
      <w:pPr>
        <w:spacing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8758"/>
      </w:tblGrid>
      <w:tr w:rsidR="003A1527">
        <w:tc>
          <w:tcPr>
            <w:tcW w:w="8758" w:type="dxa"/>
          </w:tcPr>
          <w:p w:rsidR="003A1527" w:rsidRDefault="00742A12">
            <w:pPr>
              <w:spacing w:line="240" w:lineRule="auto"/>
              <w:jc w:val="both"/>
              <w:rPr>
                <w:b/>
                <w:noProof/>
              </w:rPr>
            </w:pPr>
            <w:r>
              <w:rPr>
                <w:b/>
                <w:noProof/>
              </w:rPr>
              <w:t>ESF and YEI support to structural reforms</w:t>
            </w:r>
          </w:p>
          <w:p w:rsidR="003A1527" w:rsidRDefault="00742A12">
            <w:pPr>
              <w:spacing w:after="0" w:line="240" w:lineRule="auto"/>
              <w:jc w:val="both"/>
              <w:rPr>
                <w:noProof/>
              </w:rPr>
            </w:pPr>
            <w:r>
              <w:rPr>
                <w:noProof/>
              </w:rPr>
              <w:t xml:space="preserve">In </w:t>
            </w:r>
            <w:r>
              <w:rPr>
                <w:b/>
                <w:noProof/>
              </w:rPr>
              <w:t>Spain</w:t>
            </w:r>
            <w:r>
              <w:rPr>
                <w:noProof/>
              </w:rPr>
              <w:t xml:space="preserve"> the implementation of the ‘active inclusion strategy and individualised integration pathways’ is supported in line with the CSR. The aim is to mainstream the implement</w:t>
            </w:r>
            <w:r>
              <w:rPr>
                <w:noProof/>
              </w:rPr>
              <w:t>ation of individualised integration pathways. Several structural reforms have been adopted in this line, bearing in mind the distribution of competences between regions and central government. In the context of the economic and financial crisis, ESF invest</w:t>
            </w:r>
            <w:r>
              <w:rPr>
                <w:noProof/>
              </w:rPr>
              <w:t>ment in this area was instrumental to continue the undertaken reform effort with a EUR 1.2 billion effort across 2014-2020, targeting a wide variety of vulnerable groups. Similarly, the ESF is currently investing resources in the support of the ‘apprentice</w:t>
            </w:r>
            <w:r>
              <w:rPr>
                <w:noProof/>
              </w:rPr>
              <w:t>ship contract’ both in training programmes and alleviating companies’ social security contributions. The apprenticeship contract is also one of the offers under the Spanish youth guarantee, especially aimed to young people without previous qualification or</w:t>
            </w:r>
            <w:r>
              <w:rPr>
                <w:noProof/>
              </w:rPr>
              <w:t xml:space="preserve"> with very low overall qualification. </w:t>
            </w:r>
          </w:p>
          <w:p w:rsidR="003A1527" w:rsidRDefault="003A1527">
            <w:pPr>
              <w:spacing w:after="0" w:line="240" w:lineRule="auto"/>
              <w:jc w:val="both"/>
              <w:rPr>
                <w:noProof/>
              </w:rPr>
            </w:pPr>
          </w:p>
          <w:p w:rsidR="003A1527" w:rsidRDefault="00742A12">
            <w:pPr>
              <w:spacing w:after="0" w:line="240" w:lineRule="auto"/>
              <w:jc w:val="both"/>
              <w:rPr>
                <w:noProof/>
              </w:rPr>
            </w:pPr>
            <w:r>
              <w:rPr>
                <w:noProof/>
              </w:rPr>
              <w:t xml:space="preserve">In the </w:t>
            </w:r>
            <w:r>
              <w:rPr>
                <w:b/>
                <w:noProof/>
              </w:rPr>
              <w:t>Czech Republic</w:t>
            </w:r>
            <w:r>
              <w:rPr>
                <w:noProof/>
              </w:rPr>
              <w:t>, in line with the 2014 CSR recommending to concentrate adequate resources to measures that considerably increase the availability of affordable and quality childcare facilities and services (wit</w:t>
            </w:r>
            <w:r>
              <w:rPr>
                <w:noProof/>
              </w:rPr>
              <w:t>h a focus on children up to the age of three), the ESF (together with the ERDF) provided a considerable boost to the allocation for childcare facilities (approximately EUR 220 million across all Czech ESF and ERDF programmes, i.e. almost tripling). The dem</w:t>
            </w:r>
            <w:r>
              <w:rPr>
                <w:noProof/>
              </w:rPr>
              <w:t>and for services on the ground has since been confirmed by a significant interest of applicants. Legislative changes were introduced to enlarge the requirements for opening a pre-school education entity and enable employers to establish kindergartens. So f</w:t>
            </w:r>
            <w:r>
              <w:rPr>
                <w:noProof/>
              </w:rPr>
              <w:t>ar, more than 9000 kindergarten places have been created.</w:t>
            </w:r>
          </w:p>
          <w:p w:rsidR="003A1527" w:rsidRDefault="003A1527">
            <w:pPr>
              <w:spacing w:after="0" w:line="240" w:lineRule="auto"/>
              <w:jc w:val="both"/>
              <w:rPr>
                <w:noProof/>
              </w:rPr>
            </w:pPr>
          </w:p>
          <w:p w:rsidR="003A1527" w:rsidRDefault="00742A12">
            <w:pPr>
              <w:spacing w:after="0" w:line="240" w:lineRule="auto"/>
              <w:jc w:val="both"/>
              <w:rPr>
                <w:noProof/>
              </w:rPr>
            </w:pPr>
            <w:r>
              <w:rPr>
                <w:noProof/>
              </w:rPr>
              <w:t xml:space="preserve">In </w:t>
            </w:r>
            <w:r>
              <w:rPr>
                <w:b/>
                <w:noProof/>
              </w:rPr>
              <w:t>Italy</w:t>
            </w:r>
            <w:r>
              <w:rPr>
                <w:noProof/>
              </w:rPr>
              <w:t xml:space="preserve">, the national programme ‘inclusione sociale’ (with a total budget of EUR 1.32 billion) is entirely dedicated to supporting the reform of social policies in the country, with the aim of an </w:t>
            </w:r>
            <w:r>
              <w:rPr>
                <w:noProof/>
              </w:rPr>
              <w:t>effective fight against poverty. In fact, the legislative framework on social policies, defined in 2000, was never fully implemented because of lacks of funds and governance issues. The allocation of ESF funding to the fight against poverty through this pr</w:t>
            </w:r>
            <w:r>
              <w:rPr>
                <w:noProof/>
              </w:rPr>
              <w:t>ogramme was crucial in revamping the governance of social policies and it acted as a catalyser for the introduction of the so-far absent minimum income scheme (reddito di inclusione). This was fully in line with the European Semester recommendations to Ita</w:t>
            </w:r>
            <w:r>
              <w:rPr>
                <w:noProof/>
              </w:rPr>
              <w:t xml:space="preserve">ly. </w:t>
            </w:r>
          </w:p>
          <w:p w:rsidR="003A1527" w:rsidRDefault="003A1527">
            <w:pPr>
              <w:spacing w:after="0" w:line="240" w:lineRule="auto"/>
              <w:jc w:val="both"/>
              <w:rPr>
                <w:noProof/>
              </w:rPr>
            </w:pPr>
          </w:p>
        </w:tc>
      </w:tr>
    </w:tbl>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macro-economic effects of current investments under the 2014-2020 ESF, as estimated using the Joint Research Centre's Rhomolo model, suggests a permanent positive effect on aggregate EU 28 GDP. It is estimated that this will reach 0.1 % (roughl</w:t>
      </w:r>
      <w:r>
        <w:rPr>
          <w:rFonts w:ascii="Times New Roman" w:hAnsi="Times New Roman" w:cs="Times New Roman"/>
          <w:noProof/>
          <w:sz w:val="24"/>
          <w:szCs w:val="24"/>
        </w:rPr>
        <w:t xml:space="preserve">y EUR 13 billion) in 2024 and 0.15 % (roughly EUR 25 billion) by 2030.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GDP effect of ESF investments is much greater in regions that are lagging behind economically (see map below). By 2023, the model estimate annual GDP increases of up to about 0.4 %</w:t>
      </w:r>
      <w:r>
        <w:rPr>
          <w:rFonts w:ascii="Times New Roman" w:hAnsi="Times New Roman" w:cs="Times New Roman"/>
          <w:noProof/>
          <w:sz w:val="24"/>
          <w:szCs w:val="24"/>
        </w:rPr>
        <w:t xml:space="preserve"> in these regions, 0.14 % in transition regions and 0.07 % in more developed regions. Finally, among the main themes covered by the ESF, the thematic objective on promoting sustainable and quality employment contributes most to total GDP increases, followe</w:t>
      </w:r>
      <w:r>
        <w:rPr>
          <w:rFonts w:ascii="Times New Roman" w:hAnsi="Times New Roman" w:cs="Times New Roman"/>
          <w:noProof/>
          <w:sz w:val="24"/>
          <w:szCs w:val="24"/>
        </w:rPr>
        <w:t>d by the objective on investing in education and training.</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rsidR="003A1527" w:rsidRDefault="00742A12">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u w:val="single"/>
        </w:rPr>
        <w:t>Figure 1</w:t>
      </w:r>
      <w:r>
        <w:rPr>
          <w:rFonts w:ascii="Times New Roman" w:hAnsi="Times New Roman" w:cs="Times New Roman"/>
          <w:noProof/>
          <w:sz w:val="24"/>
          <w:szCs w:val="24"/>
        </w:rPr>
        <w:t>: GDP effect of ESF investments at regional level, Rhomolo simulations, JRC</w:t>
      </w:r>
    </w:p>
    <w:p w:rsidR="003A1527" w:rsidRDefault="00742A12">
      <w:pPr>
        <w:spacing w:line="240" w:lineRule="auto"/>
        <w:jc w:val="center"/>
        <w:rPr>
          <w:rFonts w:ascii="Times New Roman" w:hAnsi="Times New Roman" w:cs="Times New Roman"/>
          <w:noProof/>
          <w:sz w:val="24"/>
          <w:szCs w:val="24"/>
        </w:rPr>
      </w:pPr>
      <w:r>
        <w:rPr>
          <w:rFonts w:ascii="Times New Roman" w:eastAsia="Times New Roman" w:hAnsi="Times New Roman" w:cs="Times New Roman"/>
          <w:noProof/>
          <w:w w:val="0"/>
          <w:sz w:val="24"/>
          <w:szCs w:val="24"/>
          <w:u w:color="000000"/>
          <w:bdr w:val="none" w:sz="0" w:space="0" w:color="000000"/>
          <w:shd w:val="clear" w:color="000000" w:fill="000000"/>
          <w:lang w:eastAsia="en-GB"/>
        </w:rPr>
        <w:drawing>
          <wp:inline distT="0" distB="0" distL="0" distR="0" wp14:anchorId="408CD921" wp14:editId="7672AED6">
            <wp:extent cx="3506526" cy="355371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2023_GSHOCK.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10405" cy="3557648"/>
                    </a:xfrm>
                    <a:prstGeom prst="rect">
                      <a:avLst/>
                    </a:prstGeom>
                  </pic:spPr>
                </pic:pic>
              </a:graphicData>
            </a:graphic>
          </wp:inline>
        </w:drawing>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Rhomolo simulations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indicate that the current programming period will see a gradual annual employment increase of up to 0.05 % (in 2020) relative to the baseline year. The model is not accounting for the non-tangible effects of the support, such as reducing the social exclus</w:t>
      </w:r>
      <w:r>
        <w:rPr>
          <w:rFonts w:ascii="Times New Roman" w:hAnsi="Times New Roman" w:cs="Times New Roman"/>
          <w:noProof/>
          <w:sz w:val="24"/>
          <w:szCs w:val="24"/>
        </w:rPr>
        <w:t>ion of disadvantaged groups. Finally, the model's estimations indicate that no long-run trade-off exists between social-oriented ESF investments and general economic benefits. Indeed, they confirm the important role that human capital investments have as a</w:t>
      </w:r>
      <w:r>
        <w:rPr>
          <w:rFonts w:ascii="Times New Roman" w:hAnsi="Times New Roman" w:cs="Times New Roman"/>
          <w:noProof/>
          <w:sz w:val="24"/>
          <w:szCs w:val="24"/>
        </w:rPr>
        <w:t xml:space="preserve"> key growth factor for the European economy. The direct and indirect effects of ESF investment generate positive economic outcome via a combination of long-lasting effects on labour productivity / skill enhancement and short-term positive demand side effec</w:t>
      </w:r>
      <w:r>
        <w:rPr>
          <w:rFonts w:ascii="Times New Roman" w:hAnsi="Times New Roman" w:cs="Times New Roman"/>
          <w:noProof/>
          <w:sz w:val="24"/>
          <w:szCs w:val="24"/>
        </w:rPr>
        <w:t>ts (e.g. by promoting entrepreneurship and boosting business creation).</w:t>
      </w:r>
    </w:p>
    <w:p w:rsidR="003A1527" w:rsidRDefault="00742A12">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u w:val="single"/>
        </w:rPr>
        <w:t>Figure 2</w:t>
      </w:r>
      <w:r>
        <w:rPr>
          <w:rFonts w:ascii="Times New Roman" w:hAnsi="Times New Roman" w:cs="Times New Roman"/>
          <w:noProof/>
          <w:sz w:val="24"/>
          <w:szCs w:val="24"/>
        </w:rPr>
        <w:t>: Impact on GDP of ESF investments per thematic objective, Rhomolo simulations, JRC</w:t>
      </w:r>
      <w:r>
        <w:rPr>
          <w:rStyle w:val="FootnoteReference"/>
          <w:rFonts w:ascii="Times New Roman" w:hAnsi="Times New Roman" w:cs="Times New Roman"/>
          <w:b/>
          <w:noProof/>
          <w:sz w:val="24"/>
          <w:szCs w:val="24"/>
        </w:rPr>
        <w:footnoteReference w:id="35"/>
      </w:r>
    </w:p>
    <w:p w:rsidR="003A1527" w:rsidRDefault="00742A12">
      <w:pPr>
        <w:spacing w:line="240" w:lineRule="auto"/>
        <w:jc w:val="center"/>
        <w:rPr>
          <w:rFonts w:ascii="Times New Roman" w:hAnsi="Times New Roman" w:cs="Times New Roman"/>
          <w:b/>
          <w:noProof/>
          <w:sz w:val="24"/>
          <w:szCs w:val="24"/>
        </w:rPr>
      </w:pPr>
      <w:r>
        <w:rPr>
          <w:rFonts w:ascii="Times New Roman" w:hAnsi="Times New Roman" w:cs="Times New Roman"/>
          <w:noProof/>
          <w:sz w:val="24"/>
          <w:szCs w:val="24"/>
          <w:lang w:eastAsia="en-GB"/>
        </w:rPr>
        <w:drawing>
          <wp:inline distT="0" distB="0" distL="0" distR="0" wp14:anchorId="28AA3E81" wp14:editId="262CB0F5">
            <wp:extent cx="4685016" cy="3184989"/>
            <wp:effectExtent l="0" t="0" r="2095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w:t>
      </w:r>
      <w:r>
        <w:rPr>
          <w:rFonts w:ascii="Times New Roman" w:hAnsi="Times New Roman"/>
          <w:i/>
          <w:noProof/>
          <w:sz w:val="24"/>
        </w:rPr>
        <w:t xml:space="preserve">Seventh </w:t>
      </w:r>
      <w:r>
        <w:rPr>
          <w:rFonts w:ascii="Times New Roman" w:hAnsi="Times New Roman" w:cs="Times New Roman"/>
          <w:i/>
          <w:noProof/>
          <w:sz w:val="24"/>
          <w:szCs w:val="24"/>
        </w:rPr>
        <w:t>report</w:t>
      </w:r>
      <w:r>
        <w:rPr>
          <w:rFonts w:ascii="Times New Roman" w:hAnsi="Times New Roman"/>
          <w:i/>
          <w:noProof/>
          <w:sz w:val="24"/>
        </w:rPr>
        <w:t xml:space="preserve"> on economic, social and territorial cohesion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concludes that cohesion interventions generate spill-over effects in Member States and regions other than those in which it is implemented. Programmes in non-cohesion countries tend to increase exports to cohesion countries.</w:t>
      </w:r>
      <w:r>
        <w:rPr>
          <w:rStyle w:val="FootnoteReference"/>
          <w:rFonts w:ascii="Times New Roman" w:hAnsi="Times New Roman" w:cs="Times New Roman"/>
          <w:noProof/>
          <w:sz w:val="24"/>
          <w:szCs w:val="24"/>
        </w:rPr>
        <w:footnoteReference w:id="37"/>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resource allocation for t</w:t>
      </w:r>
      <w:r>
        <w:rPr>
          <w:rFonts w:ascii="Times New Roman" w:eastAsia="Times New Roman" w:hAnsi="Times New Roman" w:cs="Times New Roman"/>
          <w:noProof/>
          <w:sz w:val="24"/>
          <w:szCs w:val="24"/>
        </w:rPr>
        <w:t>he next programming period should reflect the higher political expectations for the future of social Europe and the future extension of the ESF’s scope to underpin the implementation of the European Pillar of Social Rights (including in the fields of migra</w:t>
      </w:r>
      <w:r>
        <w:rPr>
          <w:rFonts w:ascii="Times New Roman" w:eastAsia="Times New Roman" w:hAnsi="Times New Roman" w:cs="Times New Roman"/>
          <w:noProof/>
          <w:sz w:val="24"/>
          <w:szCs w:val="24"/>
        </w:rPr>
        <w:t xml:space="preserve">nt integration and basic digital skills). </w:t>
      </w:r>
    </w:p>
    <w:p w:rsidR="003A1527" w:rsidRDefault="003A1527">
      <w:pPr>
        <w:spacing w:line="240" w:lineRule="auto"/>
        <w:jc w:val="both"/>
        <w:rPr>
          <w:rFonts w:ascii="Times New Roman" w:eastAsia="Times New Roman" w:hAnsi="Times New Roman" w:cs="Times New Roman"/>
          <w:b/>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2.1.1.2 FEAD</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FEAD aims to alleviate the worst forms of poverty in the EU, such as food deprivation, homelessness and child poverty. It is implemented under shared management, with simplified rules and reduced</w:t>
      </w:r>
      <w:r>
        <w:rPr>
          <w:rFonts w:ascii="Times New Roman" w:eastAsia="Times New Roman" w:hAnsi="Times New Roman" w:cs="Times New Roman"/>
          <w:noProof/>
          <w:sz w:val="24"/>
          <w:szCs w:val="24"/>
          <w:lang w:eastAsia="en-GB"/>
        </w:rPr>
        <w:t xml:space="preserve"> administrative requirements as compared with the ESF. The FEAD allocation for 2014-2020 amounts to almost EUR 3.8 billion.</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programme statement</w:t>
      </w:r>
      <w:r>
        <w:rPr>
          <w:rStyle w:val="FootnoteReference"/>
          <w:rFonts w:ascii="Times New Roman" w:eastAsia="Times New Roman" w:hAnsi="Times New Roman" w:cs="Times New Roman"/>
          <w:noProof/>
          <w:sz w:val="24"/>
          <w:szCs w:val="24"/>
          <w:lang w:eastAsia="en-GB"/>
        </w:rPr>
        <w:footnoteReference w:id="38"/>
      </w:r>
      <w:r>
        <w:rPr>
          <w:rFonts w:ascii="Times New Roman" w:eastAsia="Times New Roman" w:hAnsi="Times New Roman" w:cs="Times New Roman"/>
          <w:noProof/>
          <w:sz w:val="24"/>
          <w:szCs w:val="24"/>
          <w:lang w:eastAsia="en-GB"/>
        </w:rPr>
        <w:t xml:space="preserve"> indicates that FEAD aid is expected to reach 15 million people a year. With 15.92 million persons benefitin</w:t>
      </w:r>
      <w:r>
        <w:rPr>
          <w:rFonts w:ascii="Times New Roman" w:eastAsia="Times New Roman" w:hAnsi="Times New Roman" w:cs="Times New Roman"/>
          <w:noProof/>
          <w:sz w:val="24"/>
          <w:szCs w:val="24"/>
          <w:lang w:eastAsia="en-GB"/>
        </w:rPr>
        <w:t>g in 2016, this target has already been reached.</w:t>
      </w:r>
      <w:r>
        <w:rPr>
          <w:rStyle w:val="FootnoteReference"/>
          <w:rFonts w:ascii="Times New Roman" w:eastAsia="Times New Roman" w:hAnsi="Times New Roman" w:cs="Times New Roman"/>
          <w:noProof/>
          <w:sz w:val="24"/>
          <w:szCs w:val="24"/>
          <w:lang w:eastAsia="en-GB"/>
        </w:rPr>
        <w:footnoteReference w:id="39"/>
      </w:r>
      <w:r>
        <w:rPr>
          <w:rFonts w:ascii="Times New Roman" w:eastAsia="Times New Roman" w:hAnsi="Times New Roman" w:cs="Times New Roman"/>
          <w:noProof/>
          <w:sz w:val="24"/>
          <w:szCs w:val="24"/>
          <w:lang w:eastAsia="en-GB"/>
        </w:rPr>
        <w:t xml:space="preserve">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FEAD is a relatively small fund and is delivered through two different types of operational programmes (type I on food/ material assistance and type II on social inclusion measures). It is difficult to dra</w:t>
      </w:r>
      <w:r>
        <w:rPr>
          <w:rFonts w:ascii="Times New Roman" w:eastAsia="Times New Roman" w:hAnsi="Times New Roman" w:cs="Times New Roman"/>
          <w:noProof/>
          <w:sz w:val="24"/>
          <w:szCs w:val="24"/>
          <w:lang w:eastAsia="en-GB"/>
        </w:rPr>
        <w:t xml:space="preserve">w conclusive comparisons as regards the fund's impact due to the different contexts and types of support. However, there are notable direct benefits of FEAD in view of its size (1% of the EU budget for cohesion policy addressed 15 million people in 2016). </w:t>
      </w:r>
      <w:r>
        <w:rPr>
          <w:rFonts w:ascii="Times New Roman" w:eastAsia="Times New Roman" w:hAnsi="Times New Roman" w:cs="Times New Roman"/>
          <w:noProof/>
          <w:sz w:val="24"/>
          <w:szCs w:val="24"/>
          <w:lang w:eastAsia="en-GB"/>
        </w:rPr>
        <w:t>There are also significant indirect benefits that cannot be expressed in monetary terms   (improved cohesion, solidarity, prevention of humanitarian crises, leverage effects of volunteering and commitment by and capacity building of civil society organisat</w:t>
      </w:r>
      <w:r>
        <w:rPr>
          <w:rFonts w:ascii="Times New Roman" w:eastAsia="Times New Roman" w:hAnsi="Times New Roman" w:cs="Times New Roman"/>
          <w:noProof/>
          <w:sz w:val="24"/>
          <w:szCs w:val="24"/>
          <w:lang w:eastAsia="en-GB"/>
        </w:rPr>
        <w:t>ions). Respondents to the public consultation conducted in the framework of the mid-term evaluation overwhelmingly agree that FEAD makes a difference for the lives of the most deprived (93%), reaching the intended target groups, especially children at risk</w:t>
      </w:r>
      <w:r>
        <w:rPr>
          <w:rFonts w:ascii="Times New Roman" w:eastAsia="Times New Roman" w:hAnsi="Times New Roman" w:cs="Times New Roman"/>
          <w:noProof/>
          <w:sz w:val="24"/>
          <w:szCs w:val="24"/>
          <w:lang w:eastAsia="en-GB"/>
        </w:rPr>
        <w:t xml:space="preserve"> of poverty (79%).</w:t>
      </w:r>
      <w:r>
        <w:rPr>
          <w:rFonts w:ascii="Times New Roman" w:hAnsi="Times New Roman" w:cs="Times New Roman"/>
          <w:noProof/>
          <w:sz w:val="24"/>
          <w:szCs w:val="24"/>
        </w:rPr>
        <w:t xml:space="preserve"> The EU added value was assessed and confirmed notably through the open public consultation and the focus groups and case studies, for instance the Fund’s leverage effect and increase in partners’ capacity (please see Annex 2 and 3).</w:t>
      </w:r>
    </w:p>
    <w:p w:rsidR="003A1527" w:rsidRDefault="003A1527">
      <w:pPr>
        <w:spacing w:line="240" w:lineRule="auto"/>
        <w:jc w:val="both"/>
        <w:rPr>
          <w:rFonts w:ascii="Times New Roman" w:eastAsia="Times New Roman" w:hAnsi="Times New Roman" w:cs="Times New Roman"/>
          <w:b/>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w:t>
      </w:r>
      <w:r>
        <w:rPr>
          <w:rFonts w:ascii="Times New Roman" w:eastAsia="Times New Roman" w:hAnsi="Times New Roman" w:cs="Times New Roman"/>
          <w:b/>
          <w:noProof/>
          <w:sz w:val="24"/>
          <w:szCs w:val="24"/>
          <w:lang w:eastAsia="en-GB"/>
        </w:rPr>
        <w:t>.1.3 EGF</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EGF expresses the European Union solidarity by supporting people made redundant in the course of very large scale restructuring events (more than 500 displaced workers) with the aim of helping those workers reintegrate into the job market as q</w:t>
      </w:r>
      <w:r>
        <w:rPr>
          <w:rFonts w:ascii="Times New Roman" w:eastAsia="Times New Roman" w:hAnsi="Times New Roman" w:cs="Times New Roman"/>
          <w:noProof/>
          <w:sz w:val="24"/>
          <w:szCs w:val="24"/>
          <w:lang w:eastAsia="en-GB"/>
        </w:rPr>
        <w:t xml:space="preserve">uickly as possible. The Fund currently only offers assistance in the aftermath of restructuring events which have been caused by major structural changes in world trade patterns due to globalisation or the financial and economic crisis. </w:t>
      </w:r>
      <w:r>
        <w:rPr>
          <w:rFonts w:ascii="Times New Roman" w:hAnsi="Times New Roman" w:cs="Times New Roman"/>
          <w:noProof/>
          <w:sz w:val="24"/>
          <w:szCs w:val="24"/>
        </w:rPr>
        <w:t>The EGF has been de</w:t>
      </w:r>
      <w:r>
        <w:rPr>
          <w:rFonts w:ascii="Times New Roman" w:hAnsi="Times New Roman" w:cs="Times New Roman"/>
          <w:noProof/>
          <w:sz w:val="24"/>
          <w:szCs w:val="24"/>
        </w:rPr>
        <w:t>signed to tackle the employment and social challenges of structural change, helping displaced workers which are the beneficiaries of EGF assistance.</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Given its purpose, which is to provide quick support in situations of urgency and unexpected circumstances,</w:t>
      </w:r>
      <w:r>
        <w:rPr>
          <w:rFonts w:ascii="Times New Roman" w:eastAsia="Times New Roman" w:hAnsi="Times New Roman" w:cs="Times New Roman"/>
          <w:noProof/>
          <w:sz w:val="24"/>
          <w:szCs w:val="24"/>
        </w:rPr>
        <w:t xml:space="preserve"> the EGF is one of the flexible and special instruments outside the budgetary ceilings of the MFF. The EGF thus does not have an annual budget that it is expected to spend, but additional funding up to a pre-defined maximum annual ceiling that may be mobil</w:t>
      </w:r>
      <w:r>
        <w:rPr>
          <w:rFonts w:ascii="Times New Roman" w:eastAsia="Times New Roman" w:hAnsi="Times New Roman" w:cs="Times New Roman"/>
          <w:noProof/>
          <w:sz w:val="24"/>
          <w:szCs w:val="24"/>
        </w:rPr>
        <w:t xml:space="preserve">ised if needed. The </w:t>
      </w:r>
      <w:r>
        <w:rPr>
          <w:rFonts w:ascii="Times New Roman" w:hAnsi="Times New Roman" w:cs="Times New Roman"/>
          <w:noProof/>
          <w:sz w:val="24"/>
          <w:szCs w:val="24"/>
        </w:rPr>
        <w:t xml:space="preserve">maximum annual amount during 2014-2020 is set at EUR 150 million (in 2011 prices). EGF assistance is provided through shared management.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Since the EGF’s</w:t>
      </w:r>
      <w:r>
        <w:rPr>
          <w:rFonts w:ascii="Times New Roman" w:eastAsia="Times New Roman" w:hAnsi="Times New Roman" w:cs="Times New Roman"/>
          <w:noProof/>
          <w:sz w:val="24"/>
          <w:szCs w:val="24"/>
        </w:rPr>
        <w:t xml:space="preserve"> start, the number of cases has been highly cyclical, responding with an evident de</w:t>
      </w:r>
      <w:r>
        <w:rPr>
          <w:rFonts w:ascii="Times New Roman" w:eastAsia="Times New Roman" w:hAnsi="Times New Roman" w:cs="Times New Roman"/>
          <w:noProof/>
          <w:sz w:val="24"/>
          <w:szCs w:val="24"/>
        </w:rPr>
        <w:t>lay to economic developments. In 2007-2013, 112 EGF cases targeted 105.000 beneficiaries with a total amount of EUR 479 million. Since 2014 until today 43 cases have been approved targeting 42.000 beneficiaries with a total amount of EUR 132 million.</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val="en-US"/>
        </w:rPr>
        <w:t>In ad</w:t>
      </w:r>
      <w:r>
        <w:rPr>
          <w:rFonts w:ascii="Times New Roman" w:hAnsi="Times New Roman" w:cs="Times New Roman"/>
          <w:noProof/>
          <w:sz w:val="24"/>
          <w:szCs w:val="24"/>
          <w:lang w:val="en-US"/>
        </w:rPr>
        <w:t>dition to the current average re-employment rate of 65% there is empirical evidence</w:t>
      </w:r>
      <w:r>
        <w:rPr>
          <w:rStyle w:val="FootnoteReference"/>
          <w:rFonts w:ascii="Times New Roman" w:hAnsi="Times New Roman" w:cs="Times New Roman"/>
          <w:noProof/>
          <w:sz w:val="24"/>
          <w:szCs w:val="24"/>
          <w:lang w:val="en-US"/>
        </w:rPr>
        <w:footnoteReference w:id="40"/>
      </w:r>
      <w:r>
        <w:rPr>
          <w:rFonts w:ascii="Times New Roman" w:hAnsi="Times New Roman" w:cs="Times New Roman"/>
          <w:noProof/>
          <w:sz w:val="24"/>
          <w:szCs w:val="24"/>
          <w:lang w:val="en-US"/>
        </w:rPr>
        <w:t xml:space="preserve"> of positive indirect effects of the EGF, as each additional job created influences positively other sectors. The dimension of these indirect impacts varies across case studies, ranging from a minimum of 20% up to 50% of the total jobs generated.</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If the EG</w:t>
      </w:r>
      <w:r>
        <w:rPr>
          <w:rFonts w:ascii="Times New Roman" w:eastAsia="Times New Roman" w:hAnsi="Times New Roman" w:cs="Times New Roman"/>
          <w:noProof/>
          <w:sz w:val="24"/>
          <w:szCs w:val="24"/>
        </w:rPr>
        <w:t xml:space="preserve">F invested comparable amounts in the post-2020 period, it would be expected to deliver broadly similar results and have similar direct and indirect impacts. </w:t>
      </w:r>
      <w:r>
        <w:rPr>
          <w:rFonts w:ascii="Times New Roman" w:hAnsi="Times New Roman" w:cs="Times New Roman"/>
          <w:noProof/>
          <w:sz w:val="24"/>
          <w:szCs w:val="24"/>
        </w:rPr>
        <w:t xml:space="preserve">It should be noted, however, that the incidence of very large-scale restructuring cases (involving </w:t>
      </w:r>
      <w:r>
        <w:rPr>
          <w:rFonts w:ascii="Times New Roman" w:hAnsi="Times New Roman" w:cs="Times New Roman"/>
          <w:noProof/>
          <w:sz w:val="24"/>
          <w:szCs w:val="24"/>
        </w:rPr>
        <w:t>more than 500 redundancies) has been considerably less over the past decade.</w:t>
      </w:r>
      <w:r>
        <w:rPr>
          <w:rStyle w:val="FootnoteReference"/>
          <w:rFonts w:ascii="Times New Roman" w:hAnsi="Times New Roman" w:cs="Times New Roman"/>
          <w:noProof/>
          <w:sz w:val="24"/>
          <w:szCs w:val="24"/>
        </w:rPr>
        <w:footnoteReference w:id="41"/>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Nowadays' globalised world is characterised by an ever increasing interconnectedness and interdependence of world markets. Paradoxically, due to these most recent trends in globa</w:t>
      </w:r>
      <w:r>
        <w:rPr>
          <w:rFonts w:ascii="Times New Roman" w:eastAsia="Times New Roman" w:hAnsi="Times New Roman" w:cs="Times New Roman"/>
          <w:noProof/>
          <w:sz w:val="24"/>
          <w:szCs w:val="24"/>
        </w:rPr>
        <w:t>lisation</w:t>
      </w:r>
      <w:r>
        <w:rPr>
          <w:rStyle w:val="FootnoteReference"/>
          <w:rFonts w:ascii="Times New Roman" w:eastAsia="Times New Roman" w:hAnsi="Times New Roman" w:cs="Times New Roman"/>
          <w:noProof/>
          <w:sz w:val="24"/>
          <w:szCs w:val="24"/>
        </w:rPr>
        <w:footnoteReference w:id="42"/>
      </w:r>
      <w:r>
        <w:rPr>
          <w:rFonts w:ascii="Times New Roman" w:eastAsia="Times New Roman" w:hAnsi="Times New Roman" w:cs="Times New Roman"/>
          <w:noProof/>
          <w:sz w:val="24"/>
          <w:szCs w:val="24"/>
        </w:rPr>
        <w:t>, an unchanged EGF would probably see fewer applications and uptake.</w:t>
      </w:r>
    </w:p>
    <w:p w:rsidR="003A1527" w:rsidRDefault="003A1527">
      <w:pPr>
        <w:spacing w:line="240" w:lineRule="auto"/>
        <w:jc w:val="both"/>
        <w:rPr>
          <w:rFonts w:ascii="Times New Roman" w:eastAsia="Times New Roman" w:hAnsi="Times New Roman" w:cs="Times New Roman"/>
          <w:b/>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2.1.1.4 EaSI</w:t>
      </w:r>
    </w:p>
    <w:p w:rsidR="003A1527" w:rsidRDefault="00742A12">
      <w:pPr>
        <w:pStyle w:val="CM1"/>
        <w:spacing w:before="200" w:after="200"/>
        <w:jc w:val="both"/>
        <w:rPr>
          <w:rFonts w:ascii="Times New Roman" w:hAnsi="Times New Roman" w:cs="Times New Roman"/>
          <w:noProof/>
        </w:rPr>
      </w:pPr>
      <w:r>
        <w:rPr>
          <w:rFonts w:ascii="Times New Roman" w:eastAsia="Times New Roman" w:hAnsi="Times New Roman" w:cs="Times New Roman"/>
          <w:noProof/>
          <w:lang w:eastAsia="en-GB"/>
        </w:rPr>
        <w:t xml:space="preserve">The EaSI </w:t>
      </w:r>
      <w:r>
        <w:rPr>
          <w:rFonts w:ascii="Times New Roman" w:hAnsi="Times New Roman" w:cs="Times New Roman"/>
          <w:noProof/>
        </w:rPr>
        <w:t>is a funding instrument designed to promote a high level of quality and sustainable employment, guaranteeing adequate and decent social protection, combati</w:t>
      </w:r>
      <w:r>
        <w:rPr>
          <w:rFonts w:ascii="Times New Roman" w:hAnsi="Times New Roman" w:cs="Times New Roman"/>
          <w:noProof/>
        </w:rPr>
        <w:t>ng social exclusion and poverty, and improving working conditions.</w:t>
      </w:r>
      <w:r>
        <w:rPr>
          <w:rStyle w:val="FootnoteReference"/>
          <w:rFonts w:ascii="Times New Roman" w:hAnsi="Times New Roman" w:cs="Times New Roman"/>
          <w:noProof/>
        </w:rPr>
        <w:footnoteReference w:id="43"/>
      </w:r>
      <w:r>
        <w:rPr>
          <w:rFonts w:ascii="Times New Roman" w:hAnsi="Times New Roman" w:cs="Times New Roman"/>
          <w:noProof/>
        </w:rPr>
        <w:t xml:space="preserve"> Its activities are mainly implemented under direct management through calls for proposals and calls for tenders. The EaSI actions related to microfinance and social entrepreneurship (inclu</w:t>
      </w:r>
      <w:r>
        <w:rPr>
          <w:rFonts w:ascii="Times New Roman" w:hAnsi="Times New Roman" w:cs="Times New Roman"/>
          <w:noProof/>
        </w:rPr>
        <w:t xml:space="preserve">ding inter alia the EaSI Guarantee Instrument and the </w:t>
      </w:r>
      <w:r>
        <w:rPr>
          <w:rFonts w:ascii="Times New Roman" w:hAnsi="Times New Roman" w:cs="Times New Roman"/>
          <w:noProof/>
          <w:lang w:val="en"/>
        </w:rPr>
        <w:t>EaSI Capacity Building Investments Window</w:t>
      </w:r>
      <w:r>
        <w:rPr>
          <w:rFonts w:ascii="Times New Roman" w:hAnsi="Times New Roman" w:cs="Times New Roman"/>
          <w:noProof/>
        </w:rPr>
        <w:t xml:space="preserve">) are implemented by the Commission indirectly by entrusting budget implementation tasks to </w:t>
      </w:r>
      <w:r>
        <w:rPr>
          <w:rStyle w:val="Bodytext20"/>
          <w:rFonts w:eastAsia="Calibri"/>
          <w:noProof/>
          <w:color w:val="auto"/>
          <w:sz w:val="24"/>
          <w:szCs w:val="24"/>
        </w:rPr>
        <w:t>European Investment Fund (</w:t>
      </w:r>
      <w:r>
        <w:rPr>
          <w:rFonts w:ascii="Times New Roman" w:hAnsi="Times New Roman" w:cs="Times New Roman"/>
          <w:noProof/>
        </w:rPr>
        <w:t>EIF).</w:t>
      </w:r>
      <w:r>
        <w:rPr>
          <w:rStyle w:val="FootnoteReference"/>
          <w:rFonts w:ascii="Times New Roman" w:hAnsi="Times New Roman"/>
          <w:noProof/>
          <w:lang w:val="en-US"/>
        </w:rPr>
        <w:footnoteReference w:id="44"/>
      </w:r>
      <w:r>
        <w:rPr>
          <w:rFonts w:ascii="Times New Roman" w:hAnsi="Times New Roman" w:cs="Times New Roman"/>
          <w:noProof/>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EaSI financial envelope </w:t>
      </w:r>
      <w:r>
        <w:rPr>
          <w:rFonts w:ascii="Times New Roman" w:hAnsi="Times New Roman" w:cs="Times New Roman"/>
          <w:noProof/>
          <w:sz w:val="24"/>
          <w:szCs w:val="24"/>
        </w:rPr>
        <w:t>2014-2020 amounts to EUR 919 million. The EaSI Regulation specifies an indicative budget allocation per axis and indicative breakdowns of allocations between the sections within each axis.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rsidR="003A1527" w:rsidRDefault="00742A12">
      <w:pPr>
        <w:pStyle w:val="FootnoteText"/>
        <w:spacing w:after="0" w:line="240" w:lineRule="auto"/>
        <w:ind w:left="0" w:hanging="11"/>
        <w:jc w:val="both"/>
        <w:rPr>
          <w:noProof/>
        </w:rPr>
      </w:pPr>
      <w:r>
        <w:rPr>
          <w:noProof/>
          <w:sz w:val="24"/>
          <w:szCs w:val="24"/>
        </w:rPr>
        <w:t xml:space="preserve">If the programme's budget is not increased in the future, the programme baseline would provide the same results as today. </w:t>
      </w:r>
      <w:r>
        <w:rPr>
          <w:rFonts w:cs="Times New Roman"/>
          <w:noProof/>
          <w:sz w:val="24"/>
          <w:szCs w:val="24"/>
        </w:rPr>
        <w:t>For example, in seven years, EaSI would award around 400 projects under the various thematic calls for proposals of the three axes, su</w:t>
      </w:r>
      <w:r>
        <w:rPr>
          <w:rFonts w:cs="Times New Roman"/>
          <w:noProof/>
          <w:sz w:val="24"/>
          <w:szCs w:val="24"/>
        </w:rPr>
        <w:t>pport capacity building for 20 EU-level NGO networks per year and fund analytical outputs allowing cross country comparisons. The EURES job mobility portal would continue to attract 0.7 million visitors a month and to post around 1 million vacancies per ye</w:t>
      </w:r>
      <w:r>
        <w:rPr>
          <w:rFonts w:cs="Times New Roman"/>
          <w:noProof/>
          <w:sz w:val="24"/>
          <w:szCs w:val="24"/>
        </w:rPr>
        <w:t>ar, while around 3.5 % of people contacting EURES would find a job as a direct result. However,</w:t>
      </w:r>
      <w:r>
        <w:rPr>
          <w:noProof/>
          <w:sz w:val="24"/>
          <w:szCs w:val="24"/>
        </w:rPr>
        <w:t xml:space="preserve"> it should be noted that the current budget does not reflect the ambition and wide thematic scope of EaSI. </w:t>
      </w:r>
    </w:p>
    <w:p w:rsidR="003A1527" w:rsidRDefault="003A1527">
      <w:pPr>
        <w:spacing w:line="240" w:lineRule="auto"/>
        <w:jc w:val="both"/>
        <w:rPr>
          <w:rFonts w:ascii="Times New Roman" w:eastAsia="Times New Roman" w:hAnsi="Times New Roman" w:cs="Times New Roman"/>
          <w:b/>
          <w:noProof/>
          <w:sz w:val="24"/>
          <w:szCs w:val="24"/>
          <w:lang w:eastAsia="en-GB"/>
        </w:rPr>
      </w:pPr>
      <w:bookmarkStart w:id="44" w:name="_Toc482983124"/>
      <w:bookmarkStart w:id="45" w:name="_Toc482983137"/>
      <w:bookmarkStart w:id="46" w:name="_Toc482983138"/>
      <w:bookmarkEnd w:id="44"/>
      <w:bookmarkEnd w:id="45"/>
      <w:bookmarkEnd w:id="46"/>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2.1.2. </w:t>
      </w:r>
      <w:r>
        <w:rPr>
          <w:rFonts w:ascii="Times New Roman" w:eastAsia="Times New Roman" w:hAnsi="Times New Roman" w:cs="Times New Roman"/>
          <w:b/>
          <w:noProof/>
          <w:sz w:val="24"/>
          <w:szCs w:val="24"/>
          <w:lang w:eastAsia="en-GB"/>
        </w:rPr>
        <w:tab/>
        <w:t>Main challenges and problems</w:t>
      </w:r>
    </w:p>
    <w:p w:rsidR="003A1527" w:rsidRDefault="003A1527">
      <w:pPr>
        <w:spacing w:line="240" w:lineRule="auto"/>
        <w:jc w:val="both"/>
        <w:rPr>
          <w:rFonts w:ascii="Times New Roman" w:eastAsia="Times New Roman" w:hAnsi="Times New Roman" w:cs="Times New Roman"/>
          <w:noProof/>
          <w:sz w:val="24"/>
          <w:szCs w:val="24"/>
          <w:lang w:eastAsia="en-GB"/>
        </w:rPr>
      </w:pPr>
    </w:p>
    <w:p w:rsidR="003A1527" w:rsidRDefault="00742A1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2.1.2.1 </w:t>
      </w:r>
      <w:r>
        <w:rPr>
          <w:rFonts w:ascii="Times New Roman" w:eastAsia="Times New Roman" w:hAnsi="Times New Roman" w:cs="Times New Roman"/>
          <w:b/>
          <w:noProof/>
          <w:sz w:val="24"/>
          <w:szCs w:val="24"/>
          <w:lang w:eastAsia="en-GB"/>
        </w:rPr>
        <w:tab/>
        <w:t>Emplo</w:t>
      </w:r>
      <w:r>
        <w:rPr>
          <w:rFonts w:ascii="Times New Roman" w:eastAsia="Times New Roman" w:hAnsi="Times New Roman" w:cs="Times New Roman"/>
          <w:b/>
          <w:noProof/>
          <w:sz w:val="24"/>
          <w:szCs w:val="24"/>
          <w:lang w:eastAsia="en-GB"/>
        </w:rPr>
        <w:t xml:space="preserve">yment, education, skills and social challenges </w:t>
      </w:r>
    </w:p>
    <w:p w:rsidR="003A1527" w:rsidRDefault="003A1527">
      <w:pPr>
        <w:spacing w:after="0" w:line="240" w:lineRule="auto"/>
        <w:jc w:val="both"/>
        <w:rPr>
          <w:rFonts w:ascii="Times New Roman" w:eastAsia="Times New Roman" w:hAnsi="Times New Roman" w:cs="Times New Roman"/>
          <w:noProof/>
          <w:sz w:val="24"/>
          <w:szCs w:val="24"/>
          <w:lang w:eastAsia="en-GB"/>
        </w:rPr>
      </w:pPr>
    </w:p>
    <w:p w:rsidR="003A1527" w:rsidRDefault="00742A1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The EU is now on a growth path after an economic and social crisis that has left deep scars on the economic and social fabric. To ensure the sustainability of growth and to remain competitive, European socie</w:t>
      </w:r>
      <w:r>
        <w:rPr>
          <w:rFonts w:ascii="Times New Roman" w:eastAsia="Times New Roman" w:hAnsi="Times New Roman" w:cs="Times New Roman"/>
          <w:noProof/>
          <w:sz w:val="24"/>
          <w:szCs w:val="24"/>
          <w:lang w:eastAsia="en-GB"/>
        </w:rPr>
        <w:t xml:space="preserve">ties need to anticipate labour market changes and people have to gain the right skills for today’s and tomorrow’s job market. </w:t>
      </w:r>
      <w:r>
        <w:rPr>
          <w:rFonts w:ascii="Times New Roman" w:eastAsia="Times New Roman" w:hAnsi="Times New Roman" w:cs="Times New Roman"/>
          <w:noProof/>
          <w:sz w:val="24"/>
          <w:szCs w:val="24"/>
        </w:rPr>
        <w:t xml:space="preserve">Constantly evolving </w:t>
      </w:r>
      <w:r>
        <w:rPr>
          <w:rFonts w:ascii="Times New Roman" w:eastAsia="Times New Roman" w:hAnsi="Times New Roman" w:cs="Times New Roman"/>
          <w:b/>
          <w:noProof/>
          <w:sz w:val="24"/>
          <w:szCs w:val="24"/>
        </w:rPr>
        <w:t>technology, productivity and globalisation</w:t>
      </w:r>
      <w:r>
        <w:rPr>
          <w:rFonts w:ascii="Times New Roman" w:eastAsia="Times New Roman" w:hAnsi="Times New Roman" w:cs="Times New Roman"/>
          <w:noProof/>
          <w:sz w:val="24"/>
          <w:szCs w:val="24"/>
        </w:rPr>
        <w:t xml:space="preserve"> paradigms require constant upskilling and reskilling of the workforce to face the new digital and automation challenges and the changes in skills requirements due to the low-carbon and climate resilient transition.</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 xml:space="preserve"> This will trigger fundamental transform</w:t>
      </w:r>
      <w:r>
        <w:rPr>
          <w:rFonts w:ascii="Times New Roman" w:eastAsia="Times New Roman" w:hAnsi="Times New Roman" w:cs="Times New Roman"/>
          <w:noProof/>
          <w:sz w:val="24"/>
          <w:szCs w:val="24"/>
        </w:rPr>
        <w:t>ation across the entire economy and a wide range of sectors. For example, the number of jobs in the environmental goods and services sector in the EU increased by around 50% between 2000 and 2014.</w:t>
      </w:r>
      <w:r>
        <w:rPr>
          <w:rStyle w:val="FootnoteReference"/>
          <w:rFonts w:ascii="Times New Roman" w:eastAsia="Times New Roman" w:hAnsi="Times New Roman" w:cs="Times New Roman"/>
          <w:noProof/>
          <w:sz w:val="24"/>
          <w:szCs w:val="24"/>
        </w:rPr>
        <w:footnoteReference w:id="47"/>
      </w:r>
      <w:r>
        <w:rPr>
          <w:rFonts w:ascii="Times New Roman" w:eastAsia="Times New Roman" w:hAnsi="Times New Roman" w:cs="Times New Roman"/>
          <w:noProof/>
          <w:sz w:val="24"/>
          <w:szCs w:val="24"/>
        </w:rPr>
        <w:t xml:space="preserve"> </w:t>
      </w:r>
    </w:p>
    <w:p w:rsidR="003A1527" w:rsidRDefault="003A1527">
      <w:pPr>
        <w:spacing w:after="0" w:line="240" w:lineRule="auto"/>
        <w:jc w:val="both"/>
        <w:rPr>
          <w:rFonts w:ascii="Times New Roman" w:eastAsia="Times New Roman" w:hAnsi="Times New Roman" w:cs="Times New Roman"/>
          <w:noProof/>
          <w:sz w:val="24"/>
          <w:szCs w:val="24"/>
        </w:rPr>
      </w:pPr>
    </w:p>
    <w:p w:rsidR="003A1527" w:rsidRDefault="00742A1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current and future trends related to demography, mig</w:t>
      </w:r>
      <w:r>
        <w:rPr>
          <w:rFonts w:ascii="Times New Roman" w:eastAsia="Times New Roman" w:hAnsi="Times New Roman" w:cs="Times New Roman"/>
          <w:noProof/>
          <w:sz w:val="24"/>
          <w:szCs w:val="24"/>
        </w:rPr>
        <w:t xml:space="preserve">ration, technological change, work organisation and labour market will have a tremendous impact on </w:t>
      </w:r>
      <w:r>
        <w:rPr>
          <w:rFonts w:ascii="Times New Roman" w:eastAsia="Times New Roman" w:hAnsi="Times New Roman" w:cs="Times New Roman"/>
          <w:b/>
          <w:noProof/>
          <w:sz w:val="24"/>
          <w:szCs w:val="24"/>
        </w:rPr>
        <w:t>education and training systems and skills needs</w:t>
      </w:r>
      <w:r>
        <w:rPr>
          <w:rFonts w:ascii="Times New Roman" w:eastAsia="Times New Roman" w:hAnsi="Times New Roman" w:cs="Times New Roman"/>
          <w:noProof/>
          <w:sz w:val="24"/>
          <w:szCs w:val="24"/>
        </w:rPr>
        <w:t xml:space="preserve">. The number of entrants in initial education and training is already on the decrease. This decrease could be </w:t>
      </w:r>
      <w:r>
        <w:rPr>
          <w:rFonts w:ascii="Times New Roman" w:eastAsia="Times New Roman" w:hAnsi="Times New Roman" w:cs="Times New Roman"/>
          <w:noProof/>
          <w:sz w:val="24"/>
          <w:szCs w:val="24"/>
        </w:rPr>
        <w:t>balanced, at least in the short to mid- term, by more investments into retaining children in school and up- and re-skilling of adult working population in order to respond to the rapidly evolving skills requirements, also linked to new technologies.</w:t>
      </w:r>
      <w:r>
        <w:rPr>
          <w:noProof/>
        </w:rPr>
        <w:t xml:space="preserve"> </w:t>
      </w:r>
      <w:r>
        <w:rPr>
          <w:rFonts w:ascii="Times New Roman" w:hAnsi="Times New Roman" w:cs="Times New Roman"/>
          <w:noProof/>
          <w:sz w:val="24"/>
          <w:szCs w:val="24"/>
        </w:rPr>
        <w:t>For in</w:t>
      </w:r>
      <w:r>
        <w:rPr>
          <w:rFonts w:ascii="Times New Roman" w:hAnsi="Times New Roman" w:cs="Times New Roman"/>
          <w:noProof/>
          <w:sz w:val="24"/>
          <w:szCs w:val="24"/>
        </w:rPr>
        <w:t xml:space="preserve">stance, it is considered that across the OECD countries almost 14 % of existing jobs are highly automatable (i.e., probability of automation of over 70 %) </w:t>
      </w:r>
      <w:r>
        <w:rPr>
          <w:rFonts w:ascii="Times New Roman" w:eastAsia="Times New Roman" w:hAnsi="Times New Roman" w:cs="Times New Roman"/>
          <w:noProof/>
          <w:sz w:val="24"/>
          <w:szCs w:val="24"/>
        </w:rPr>
        <w:t>and 60 % of jobs face a moderate level of automation.</w:t>
      </w:r>
      <w:r>
        <w:rPr>
          <w:rStyle w:val="FootnoteReference"/>
          <w:rFonts w:ascii="Times New Roman" w:eastAsia="Times New Roman" w:hAnsi="Times New Roman" w:cs="Times New Roman"/>
          <w:noProof/>
          <w:sz w:val="24"/>
          <w:szCs w:val="24"/>
        </w:rPr>
        <w:footnoteReference w:id="48"/>
      </w:r>
      <w:r>
        <w:rPr>
          <w:rFonts w:ascii="Times New Roman" w:eastAsia="Times New Roman" w:hAnsi="Times New Roman" w:cs="Times New Roman"/>
          <w:noProof/>
          <w:sz w:val="24"/>
          <w:szCs w:val="24"/>
        </w:rPr>
        <w:t xml:space="preserve"> In addition, the education and training system</w:t>
      </w:r>
      <w:r>
        <w:rPr>
          <w:rFonts w:ascii="Times New Roman" w:eastAsia="Times New Roman" w:hAnsi="Times New Roman" w:cs="Times New Roman"/>
          <w:noProof/>
          <w:sz w:val="24"/>
          <w:szCs w:val="24"/>
        </w:rPr>
        <w:t xml:space="preserve">s face a challenge of ensuring inclusion of an increasingly heterogeneous group of learners into society and the labour market, including low-skilled adults (also in the context of increased migration flows). However, </w:t>
      </w:r>
      <w:r>
        <w:rPr>
          <w:rFonts w:ascii="Times New Roman" w:eastAsia="Times New Roman" w:hAnsi="Times New Roman" w:cs="Times New Roman"/>
          <w:b/>
          <w:noProof/>
          <w:sz w:val="24"/>
          <w:szCs w:val="24"/>
        </w:rPr>
        <w:t xml:space="preserve">access to quality education, training </w:t>
      </w:r>
      <w:r>
        <w:rPr>
          <w:rFonts w:ascii="Times New Roman" w:eastAsia="Times New Roman" w:hAnsi="Times New Roman" w:cs="Times New Roman"/>
          <w:b/>
          <w:noProof/>
          <w:sz w:val="24"/>
          <w:szCs w:val="24"/>
        </w:rPr>
        <w:t>and life-long learning opportunities</w:t>
      </w:r>
      <w:r>
        <w:rPr>
          <w:rFonts w:ascii="Times New Roman" w:eastAsia="Times New Roman" w:hAnsi="Times New Roman" w:cs="Times New Roman"/>
          <w:noProof/>
          <w:sz w:val="24"/>
          <w:szCs w:val="24"/>
        </w:rPr>
        <w:t xml:space="preserve"> across the EU is still unequal.</w:t>
      </w:r>
      <w:r>
        <w:rPr>
          <w:rFonts w:ascii="Times New Roman" w:eastAsia="Times New Roman" w:hAnsi="Times New Roman" w:cs="Times New Roman"/>
          <w:noProof/>
          <w:sz w:val="24"/>
          <w:szCs w:val="24"/>
          <w:lang w:eastAsia="en-GB"/>
        </w:rPr>
        <w:t xml:space="preserve"> Today, 70 million Europeans lack adequate reading and writing skills, and even more have poor numeracy and digital skills, which puts them at risk of unemployment, poverty and social excl</w:t>
      </w:r>
      <w:r>
        <w:rPr>
          <w:rFonts w:ascii="Times New Roman" w:eastAsia="Times New Roman" w:hAnsi="Times New Roman" w:cs="Times New Roman"/>
          <w:noProof/>
          <w:sz w:val="24"/>
          <w:szCs w:val="24"/>
          <w:lang w:eastAsia="en-GB"/>
        </w:rPr>
        <w:t>usion and also severely limits the competitiveness of the EU economy as a whole. Less developed areas require specific attention with regard to human capital and skills development.</w:t>
      </w:r>
      <w:r>
        <w:rPr>
          <w:rStyle w:val="FootnoteReference"/>
          <w:rFonts w:ascii="Times New Roman" w:eastAsia="Times New Roman" w:hAnsi="Times New Roman" w:cs="Times New Roman"/>
          <w:noProof/>
          <w:sz w:val="24"/>
          <w:szCs w:val="24"/>
          <w:lang w:eastAsia="en-GB"/>
        </w:rPr>
        <w:footnoteReference w:id="49"/>
      </w:r>
      <w:r>
        <w:rPr>
          <w:rFonts w:ascii="Times New Roman" w:eastAsia="Times New Roman" w:hAnsi="Times New Roman" w:cs="Times New Roman"/>
          <w:noProof/>
          <w:sz w:val="24"/>
          <w:szCs w:val="24"/>
          <w:lang w:eastAsia="en-GB"/>
        </w:rPr>
        <w:t xml:space="preserve"> </w:t>
      </w:r>
    </w:p>
    <w:p w:rsidR="003A1527" w:rsidRDefault="003A1527">
      <w:pPr>
        <w:spacing w:after="0" w:line="240" w:lineRule="auto"/>
        <w:jc w:val="both"/>
        <w:rPr>
          <w:rFonts w:ascii="Times New Roman" w:eastAsia="Times New Roman" w:hAnsi="Times New Roman" w:cs="Times New Roman"/>
          <w:noProof/>
          <w:sz w:val="24"/>
          <w:szCs w:val="24"/>
          <w:lang w:eastAsia="en-GB"/>
        </w:rPr>
      </w:pPr>
    </w:p>
    <w:p w:rsidR="003A1527" w:rsidRDefault="00742A1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The latest employment and social trends are encouraging</w:t>
      </w:r>
      <w:r>
        <w:rPr>
          <w:rStyle w:val="FootnoteReference"/>
          <w:rFonts w:ascii="Times New Roman" w:eastAsia="Times New Roman" w:hAnsi="Times New Roman" w:cs="Times New Roman"/>
          <w:noProof/>
          <w:sz w:val="24"/>
          <w:szCs w:val="24"/>
          <w:lang w:eastAsia="en-GB"/>
        </w:rPr>
        <w:footnoteReference w:id="50"/>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a record numb</w:t>
      </w:r>
      <w:r>
        <w:rPr>
          <w:rFonts w:ascii="Times New Roman" w:hAnsi="Times New Roman" w:cs="Times New Roman"/>
          <w:noProof/>
          <w:sz w:val="24"/>
          <w:szCs w:val="24"/>
        </w:rPr>
        <w:t xml:space="preserve">er of people (236 million) are now in employment, about 10 million jobs have been created since 2013 and labour market participation has been increasing steadily, reaching 73% in 2016. However, </w:t>
      </w:r>
      <w:r>
        <w:rPr>
          <w:rFonts w:ascii="Times New Roman" w:eastAsia="Times New Roman" w:hAnsi="Times New Roman" w:cs="Times New Roman"/>
          <w:noProof/>
          <w:sz w:val="24"/>
          <w:szCs w:val="24"/>
        </w:rPr>
        <w:t>disparities and divergence across Member States remain signifi</w:t>
      </w:r>
      <w:r>
        <w:rPr>
          <w:rFonts w:ascii="Times New Roman" w:eastAsia="Times New Roman" w:hAnsi="Times New Roman" w:cs="Times New Roman"/>
          <w:noProof/>
          <w:sz w:val="24"/>
          <w:szCs w:val="24"/>
        </w:rPr>
        <w:t xml:space="preserve">cant with </w:t>
      </w:r>
      <w:r>
        <w:rPr>
          <w:rFonts w:ascii="Times New Roman" w:eastAsia="Times New Roman" w:hAnsi="Times New Roman" w:cs="Times New Roman"/>
          <w:b/>
          <w:noProof/>
          <w:sz w:val="24"/>
          <w:szCs w:val="24"/>
        </w:rPr>
        <w:t>unemployment</w:t>
      </w:r>
      <w:r>
        <w:rPr>
          <w:rFonts w:ascii="Times New Roman" w:eastAsia="Times New Roman" w:hAnsi="Times New Roman" w:cs="Times New Roman"/>
          <w:noProof/>
          <w:sz w:val="24"/>
          <w:szCs w:val="24"/>
        </w:rPr>
        <w:t xml:space="preserve"> rates and indicators pointing to substantial slack in some labour markets while tightening is evident in others. Unemployment (</w:t>
      </w:r>
      <w:r>
        <w:rPr>
          <w:rFonts w:ascii="Times New Roman" w:eastAsia="Times New Roman" w:hAnsi="Times New Roman" w:cs="Times New Roman"/>
          <w:noProof/>
          <w:sz w:val="24"/>
          <w:szCs w:val="24"/>
          <w:lang w:eastAsia="en-GB"/>
        </w:rPr>
        <w:t xml:space="preserve">18 million people in January 2018) </w:t>
      </w:r>
      <w:r>
        <w:rPr>
          <w:rFonts w:ascii="Times New Roman" w:eastAsia="Times New Roman" w:hAnsi="Times New Roman" w:cs="Times New Roman"/>
          <w:noProof/>
          <w:sz w:val="24"/>
          <w:szCs w:val="24"/>
        </w:rPr>
        <w:t xml:space="preserve">and </w:t>
      </w:r>
      <w:r>
        <w:rPr>
          <w:rFonts w:ascii="Times New Roman" w:eastAsia="Times New Roman" w:hAnsi="Times New Roman" w:cs="Times New Roman"/>
          <w:b/>
          <w:noProof/>
          <w:sz w:val="24"/>
          <w:szCs w:val="24"/>
        </w:rPr>
        <w:t>long-term unemployment</w:t>
      </w:r>
      <w:r>
        <w:rPr>
          <w:rFonts w:ascii="Times New Roman" w:eastAsia="Times New Roman" w:hAnsi="Times New Roman" w:cs="Times New Roman"/>
          <w:noProof/>
          <w:sz w:val="24"/>
          <w:szCs w:val="24"/>
        </w:rPr>
        <w:t xml:space="preserve"> remain among the most important challenges a</w:t>
      </w:r>
      <w:r>
        <w:rPr>
          <w:rFonts w:ascii="Times New Roman" w:eastAsia="Times New Roman" w:hAnsi="Times New Roman" w:cs="Times New Roman"/>
          <w:noProof/>
          <w:sz w:val="24"/>
          <w:szCs w:val="24"/>
        </w:rPr>
        <w:t xml:space="preserve">nd, despite improvements, too many </w:t>
      </w:r>
      <w:r>
        <w:rPr>
          <w:rFonts w:ascii="Times New Roman" w:eastAsia="Times New Roman" w:hAnsi="Times New Roman" w:cs="Times New Roman"/>
          <w:b/>
          <w:noProof/>
          <w:sz w:val="24"/>
          <w:szCs w:val="24"/>
        </w:rPr>
        <w:t>young people</w:t>
      </w:r>
      <w:r>
        <w:rPr>
          <w:rFonts w:ascii="Times New Roman" w:eastAsia="Times New Roman" w:hAnsi="Times New Roman" w:cs="Times New Roman"/>
          <w:noProof/>
          <w:sz w:val="24"/>
          <w:szCs w:val="24"/>
        </w:rPr>
        <w:t xml:space="preserve"> still struggle to find a (quality) job.</w:t>
      </w:r>
      <w:r>
        <w:rPr>
          <w:rStyle w:val="FootnoteReference"/>
          <w:rFonts w:ascii="Times New Roman" w:eastAsia="Times New Roman" w:hAnsi="Times New Roman" w:cs="Times New Roman"/>
          <w:noProof/>
          <w:sz w:val="24"/>
          <w:szCs w:val="24"/>
        </w:rPr>
        <w:footnoteReference w:id="51"/>
      </w:r>
      <w:r>
        <w:rPr>
          <w:rFonts w:ascii="Times New Roman" w:eastAsia="Times New Roman" w:hAnsi="Times New Roman" w:cs="Times New Roman"/>
          <w:noProof/>
          <w:sz w:val="24"/>
          <w:szCs w:val="24"/>
        </w:rPr>
        <w:t xml:space="preserve"> A</w:t>
      </w:r>
      <w:r>
        <w:rPr>
          <w:rFonts w:ascii="Times New Roman" w:hAnsi="Times New Roman" w:cs="Times New Roman"/>
          <w:noProof/>
          <w:sz w:val="24"/>
          <w:szCs w:val="24"/>
        </w:rPr>
        <w:t>lthough it has decreased – from a peak of 24% in January 2013 to 15.6% in March 2018 – the youth unemployment rate is still high in the EU -</w:t>
      </w:r>
      <w:r>
        <w:rPr>
          <w:noProof/>
        </w:rPr>
        <w:t xml:space="preserve"> </w:t>
      </w:r>
      <w:r>
        <w:rPr>
          <w:rFonts w:ascii="Times New Roman" w:hAnsi="Times New Roman" w:cs="Times New Roman"/>
          <w:noProof/>
          <w:sz w:val="24"/>
          <w:szCs w:val="24"/>
        </w:rPr>
        <w:t>more than double the over</w:t>
      </w:r>
      <w:r>
        <w:rPr>
          <w:rFonts w:ascii="Times New Roman" w:hAnsi="Times New Roman" w:cs="Times New Roman"/>
          <w:noProof/>
          <w:sz w:val="24"/>
          <w:szCs w:val="24"/>
        </w:rPr>
        <w:t>all unemployment rate (15.6% compared with 7.1% in March 2018). The NEET rate (age group 15-29) is also still very high, at 13.4% in 2017.</w:t>
      </w:r>
    </w:p>
    <w:p w:rsidR="003A1527" w:rsidRDefault="003A1527">
      <w:pPr>
        <w:spacing w:after="0" w:line="240" w:lineRule="auto"/>
        <w:jc w:val="both"/>
        <w:rPr>
          <w:rFonts w:ascii="Times New Roman" w:eastAsia="Times New Roman" w:hAnsi="Times New Roman" w:cs="Times New Roman"/>
          <w:noProof/>
          <w:sz w:val="24"/>
          <w:szCs w:val="24"/>
        </w:rPr>
      </w:pPr>
    </w:p>
    <w:p w:rsidR="003A1527" w:rsidRDefault="00742A1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While the number of </w:t>
      </w:r>
      <w:r>
        <w:rPr>
          <w:rFonts w:ascii="Times New Roman" w:eastAsia="Times New Roman" w:hAnsi="Times New Roman" w:cs="Times New Roman"/>
          <w:b/>
          <w:noProof/>
          <w:sz w:val="24"/>
          <w:szCs w:val="24"/>
        </w:rPr>
        <w:t>people at risk of poverty and social exclusion</w:t>
      </w:r>
      <w:r>
        <w:rPr>
          <w:rFonts w:ascii="Times New Roman" w:eastAsia="Times New Roman" w:hAnsi="Times New Roman" w:cs="Times New Roman"/>
          <w:noProof/>
          <w:sz w:val="24"/>
          <w:szCs w:val="24"/>
        </w:rPr>
        <w:t xml:space="preserve"> fell by 4.8 million between 2012 and 2015,</w:t>
      </w:r>
      <w:r>
        <w:rPr>
          <w:rStyle w:val="FootnoteReference"/>
          <w:rFonts w:ascii="Times New Roman" w:eastAsia="Times New Roman" w:hAnsi="Times New Roman" w:cs="Times New Roman"/>
          <w:noProof/>
          <w:sz w:val="24"/>
          <w:szCs w:val="24"/>
        </w:rPr>
        <w:footnoteReference w:id="52"/>
      </w:r>
      <w:r>
        <w:rPr>
          <w:rFonts w:ascii="Times New Roman" w:eastAsia="Times New Roman" w:hAnsi="Times New Roman" w:cs="Times New Roman"/>
          <w:noProof/>
          <w:sz w:val="24"/>
          <w:szCs w:val="24"/>
        </w:rPr>
        <w:t xml:space="preserve"> the fact that</w:t>
      </w:r>
      <w:r>
        <w:rPr>
          <w:rFonts w:ascii="Times New Roman" w:eastAsia="Times New Roman" w:hAnsi="Times New Roman" w:cs="Times New Roman"/>
          <w:noProof/>
          <w:sz w:val="24"/>
          <w:szCs w:val="24"/>
          <w:lang w:eastAsia="en-GB"/>
        </w:rPr>
        <w:t xml:space="preserve"> 118 million people were still at risk in 2016 means that social inequalities remain an important concern. Based on latest Eurostat figures</w:t>
      </w:r>
      <w:r>
        <w:rPr>
          <w:rFonts w:ascii="Times New Roman" w:hAnsi="Times New Roman" w:cs="Times New Roman"/>
          <w:noProof/>
          <w:sz w:val="24"/>
          <w:szCs w:val="24"/>
        </w:rPr>
        <w:t xml:space="preserve"> nearly half of the unemployed people aged 16-64 were at risk of poverty after social transfers. In oth</w:t>
      </w:r>
      <w:r>
        <w:rPr>
          <w:rFonts w:ascii="Times New Roman" w:hAnsi="Times New Roman" w:cs="Times New Roman"/>
          <w:noProof/>
          <w:sz w:val="24"/>
          <w:szCs w:val="24"/>
        </w:rPr>
        <w:t>er words, the risk of monetary poverty was five times greater for the unemployed than for those in employment.</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Income inequality started to decline slowly in 2016, having risen in the aftermath of the crisis. This reflects improved economic and labour mar</w:t>
      </w:r>
      <w:r>
        <w:rPr>
          <w:rFonts w:ascii="Times New Roman" w:hAnsi="Times New Roman" w:cs="Times New Roman"/>
          <w:noProof/>
          <w:sz w:val="24"/>
          <w:szCs w:val="24"/>
        </w:rPr>
        <w:t xml:space="preserve">ket conditions. Nonetheless, there are considerable variations across countries: </w:t>
      </w:r>
      <w:r>
        <w:rPr>
          <w:rFonts w:ascii="Times New Roman" w:eastAsia="Times New Roman" w:hAnsi="Times New Roman" w:cs="Times New Roman"/>
          <w:noProof/>
          <w:sz w:val="24"/>
          <w:szCs w:val="24"/>
        </w:rPr>
        <w:t>poverty and social exclusion are growing in some areas, such as EU15 cities while in EU13 34% of rural population is at risk of poverty (higher in rural areas than in urban ar</w:t>
      </w:r>
      <w:r>
        <w:rPr>
          <w:rFonts w:ascii="Times New Roman" w:eastAsia="Times New Roman" w:hAnsi="Times New Roman" w:cs="Times New Roman"/>
          <w:noProof/>
          <w:sz w:val="24"/>
          <w:szCs w:val="24"/>
        </w:rPr>
        <w:t>eas). The risk of poverty and social exclusion also affects certain minority groups disproportionately.</w:t>
      </w:r>
      <w:r>
        <w:rPr>
          <w:rStyle w:val="FootnoteReference"/>
          <w:rFonts w:ascii="Times New Roman" w:eastAsia="Times New Roman" w:hAnsi="Times New Roman" w:cs="Times New Roman"/>
          <w:noProof/>
          <w:sz w:val="24"/>
          <w:szCs w:val="24"/>
        </w:rPr>
        <w:footnoteReference w:id="54"/>
      </w:r>
    </w:p>
    <w:p w:rsidR="003A1527" w:rsidRDefault="003A1527">
      <w:pPr>
        <w:keepLines/>
        <w:spacing w:after="0" w:line="240" w:lineRule="auto"/>
        <w:contextualSpacing/>
        <w:jc w:val="both"/>
        <w:rPr>
          <w:rFonts w:ascii="Times New Roman" w:eastAsia="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Migrants are one of the groups disproportionately affected. The larger number</w:t>
      </w:r>
      <w:r>
        <w:rPr>
          <w:rFonts w:ascii="Times New Roman" w:hAnsi="Times New Roman" w:cs="Times New Roman"/>
          <w:noProof/>
          <w:sz w:val="24"/>
          <w:szCs w:val="24"/>
        </w:rPr>
        <w:t xml:space="preserve"> of third-country nationals migrating to the EU since 2014, in particular</w:t>
      </w:r>
      <w:r>
        <w:rPr>
          <w:rFonts w:ascii="Times New Roman" w:hAnsi="Times New Roman" w:cs="Times New Roman"/>
          <w:noProof/>
          <w:sz w:val="24"/>
          <w:szCs w:val="24"/>
        </w:rPr>
        <w:t xml:space="preserve"> refugees (1.7 million third-country nationals have been granted international or subsidiary protection between 2014 and 2017), and the very unfavourable outcomes of third-country nationals in terms of employment compared with EU citizens</w:t>
      </w:r>
      <w:r>
        <w:rPr>
          <w:rFonts w:ascii="Times New Roman" w:eastAsia="Times New Roman" w:hAnsi="Times New Roman" w:cs="Times New Roman"/>
          <w:noProof/>
          <w:sz w:val="24"/>
          <w:szCs w:val="24"/>
          <w:lang w:eastAsia="en-GB"/>
        </w:rPr>
        <w:t xml:space="preserve"> means that more i</w:t>
      </w:r>
      <w:r>
        <w:rPr>
          <w:rFonts w:ascii="Times New Roman" w:eastAsia="Times New Roman" w:hAnsi="Times New Roman" w:cs="Times New Roman"/>
          <w:noProof/>
          <w:sz w:val="24"/>
          <w:szCs w:val="24"/>
          <w:lang w:eastAsia="en-GB"/>
        </w:rPr>
        <w:t>nvestment in migrant integration is needed.</w:t>
      </w:r>
      <w:r>
        <w:rPr>
          <w:rStyle w:val="FootnoteReference"/>
          <w:rFonts w:ascii="Times New Roman" w:eastAsia="Times New Roman" w:hAnsi="Times New Roman" w:cs="Times New Roman"/>
          <w:noProof/>
          <w:sz w:val="24"/>
          <w:szCs w:val="24"/>
          <w:lang w:eastAsia="en-GB"/>
        </w:rPr>
        <w:footnoteReference w:id="55"/>
      </w:r>
      <w:r>
        <w:rPr>
          <w:rFonts w:ascii="Times New Roman" w:eastAsia="Times New Roman" w:hAnsi="Times New Roman" w:cs="Times New Roman"/>
          <w:noProof/>
          <w:sz w:val="24"/>
          <w:szCs w:val="24"/>
        </w:rPr>
        <w:t xml:space="preserve"> In addition, long-term </w:t>
      </w:r>
      <w:r>
        <w:rPr>
          <w:rFonts w:ascii="Times New Roman" w:eastAsia="Times New Roman" w:hAnsi="Times New Roman" w:cs="Times New Roman"/>
          <w:b/>
          <w:noProof/>
          <w:sz w:val="24"/>
          <w:szCs w:val="24"/>
        </w:rPr>
        <w:t>demographic trends</w:t>
      </w:r>
      <w:r>
        <w:rPr>
          <w:rFonts w:ascii="Times New Roman" w:eastAsia="Times New Roman" w:hAnsi="Times New Roman" w:cs="Times New Roman"/>
          <w:noProof/>
          <w:sz w:val="24"/>
          <w:szCs w:val="24"/>
        </w:rPr>
        <w:t xml:space="preserve"> (less working-age population, more senior workers and changing family structures) profoundly affect societies and the world of work by limiting the resources available f</w:t>
      </w:r>
      <w:r>
        <w:rPr>
          <w:rFonts w:ascii="Times New Roman" w:eastAsia="Times New Roman" w:hAnsi="Times New Roman" w:cs="Times New Roman"/>
          <w:noProof/>
          <w:sz w:val="24"/>
          <w:szCs w:val="24"/>
        </w:rPr>
        <w:t>or distribution across generations.</w:t>
      </w:r>
      <w:r>
        <w:rPr>
          <w:rStyle w:val="FootnoteReference"/>
          <w:rFonts w:ascii="Times New Roman" w:eastAsia="Times New Roman" w:hAnsi="Times New Roman" w:cs="Times New Roman"/>
          <w:noProof/>
          <w:sz w:val="24"/>
          <w:szCs w:val="24"/>
        </w:rPr>
        <w:footnoteReference w:id="56"/>
      </w:r>
      <w:r>
        <w:rPr>
          <w:rFonts w:ascii="Times New Roman" w:eastAsia="Times New Roman" w:hAnsi="Times New Roman" w:cs="Times New Roman"/>
          <w:noProof/>
          <w:sz w:val="24"/>
          <w:szCs w:val="24"/>
        </w:rPr>
        <w:t xml:space="preserve"> This requires tailor made labour market integration policies addressing a diversified workforce, including measures to promote gender equality, equal opportunities and combat discrimination.</w:t>
      </w:r>
      <w:r>
        <w:rPr>
          <w:rFonts w:ascii="Times New Roman" w:eastAsia="Times New Roman" w:hAnsi="Times New Roman" w:cs="Times New Roman"/>
          <w:noProof/>
          <w:sz w:val="24"/>
          <w:szCs w:val="24"/>
          <w:lang w:eastAsia="en-GB"/>
        </w:rPr>
        <w:t xml:space="preserve"> Health systems also need to </w:t>
      </w:r>
      <w:r>
        <w:rPr>
          <w:rFonts w:ascii="Times New Roman" w:eastAsia="Times New Roman" w:hAnsi="Times New Roman" w:cs="Times New Roman"/>
          <w:noProof/>
          <w:sz w:val="24"/>
          <w:szCs w:val="24"/>
          <w:lang w:eastAsia="en-GB"/>
        </w:rPr>
        <w:t>adapt to be more accessible for all, more effective and resilient in time of demographical challenge.</w:t>
      </w:r>
      <w:r>
        <w:rPr>
          <w:rFonts w:ascii="Times New Roman" w:hAnsi="Times New Roman" w:cs="Times New Roman"/>
          <w:noProof/>
          <w:sz w:val="24"/>
          <w:szCs w:val="24"/>
        </w:rPr>
        <w:t xml:space="preserve"> High quality and inclusive health systems are important to reduce socio-economic gaps between Member States, to lead to upward economic convergence and to</w:t>
      </w:r>
      <w:r>
        <w:rPr>
          <w:rFonts w:ascii="Times New Roman" w:hAnsi="Times New Roman" w:cs="Times New Roman"/>
          <w:noProof/>
          <w:sz w:val="24"/>
          <w:szCs w:val="24"/>
        </w:rPr>
        <w:t xml:space="preserve"> ensure a healthy workforce in an ageing Europe.</w:t>
      </w:r>
    </w:p>
    <w:p w:rsidR="003A1527" w:rsidRDefault="003A1527">
      <w:pPr>
        <w:spacing w:after="0" w:line="240" w:lineRule="auto"/>
        <w:jc w:val="both"/>
        <w:rPr>
          <w:rFonts w:ascii="Times New Roman" w:eastAsia="Times New Roman" w:hAnsi="Times New Roman" w:cs="Times New Roman"/>
          <w:noProof/>
          <w:sz w:val="24"/>
          <w:szCs w:val="24"/>
          <w:lang w:eastAsia="en-GB"/>
        </w:rPr>
      </w:pP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Territorial specificities are also a key challenge for the future.</w:t>
      </w:r>
      <w:r>
        <w:rPr>
          <w:rStyle w:val="FootnoteReference"/>
          <w:rFonts w:ascii="Times New Roman" w:eastAsia="Times New Roman" w:hAnsi="Times New Roman" w:cs="Times New Roman"/>
          <w:noProof/>
          <w:sz w:val="24"/>
          <w:szCs w:val="24"/>
          <w:lang w:eastAsia="en-GB"/>
        </w:rPr>
        <w:footnoteReference w:id="57"/>
      </w:r>
      <w:r>
        <w:rPr>
          <w:rStyle w:val="FootnoteReference"/>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The Seventh Cohesion report underlines the challenges faced by certain territories, such as rural areas.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As an example GDP per head in rural areas in EU15 is 72 % of urban ones and only 42 % in case of EU13. </w:t>
      </w:r>
      <w:r>
        <w:rPr>
          <w:rFonts w:ascii="Times New Roman" w:eastAsia="Times New Roman" w:hAnsi="Times New Roman" w:cs="Times New Roman"/>
          <w:noProof/>
          <w:sz w:val="24"/>
          <w:szCs w:val="24"/>
          <w:lang w:eastAsia="en-GB"/>
        </w:rPr>
        <w:t>T</w:t>
      </w:r>
      <w:r>
        <w:rPr>
          <w:rFonts w:ascii="Times New Roman" w:eastAsia="Times New Roman" w:hAnsi="Times New Roman" w:cs="Times New Roman"/>
          <w:noProof/>
          <w:sz w:val="24"/>
          <w:szCs w:val="24"/>
        </w:rPr>
        <w:t>he outermost regions</w:t>
      </w:r>
      <w:r>
        <w:rPr>
          <w:rStyle w:val="FootnoteReference"/>
          <w:rFonts w:ascii="Times New Roman" w:eastAsia="Times New Roman" w:hAnsi="Times New Roman" w:cs="Times New Roman"/>
          <w:noProof/>
          <w:sz w:val="24"/>
          <w:szCs w:val="24"/>
        </w:rPr>
        <w:footnoteReference w:id="59"/>
      </w:r>
      <w:r>
        <w:rPr>
          <w:rFonts w:ascii="Times New Roman" w:eastAsia="Times New Roman" w:hAnsi="Times New Roman" w:cs="Times New Roman"/>
          <w:noProof/>
          <w:sz w:val="24"/>
          <w:szCs w:val="24"/>
        </w:rPr>
        <w:t xml:space="preserve"> also face a number of issues: </w:t>
      </w:r>
      <w:r>
        <w:rPr>
          <w:rFonts w:ascii="Times New Roman" w:eastAsia="Times New Roman" w:hAnsi="Times New Roman" w:cs="Times New Roman"/>
          <w:noProof/>
          <w:sz w:val="24"/>
          <w:szCs w:val="24"/>
          <w:lang w:eastAsia="en-GB"/>
        </w:rPr>
        <w:t xml:space="preserve">GDP per capita is much lower than the EU average, </w:t>
      </w:r>
      <w:r>
        <w:rPr>
          <w:rFonts w:ascii="Times New Roman" w:eastAsia="Times New Roman" w:hAnsi="Times New Roman" w:cs="Times New Roman"/>
          <w:noProof/>
          <w:sz w:val="24"/>
          <w:szCs w:val="24"/>
        </w:rPr>
        <w:t xml:space="preserve">unemployment is critically high, particularly in </w:t>
      </w:r>
      <w:r>
        <w:rPr>
          <w:rFonts w:ascii="Times New Roman" w:eastAsia="Times New Roman" w:hAnsi="Times New Roman" w:cs="Times New Roman"/>
          <w:noProof/>
          <w:sz w:val="24"/>
          <w:szCs w:val="24"/>
        </w:rPr>
        <w:t>the young population (with a rate above 40% in all outermost regions). There is also a high dependence on sectors such as public administration or social services. In its strategy for the outermost regions (October 2017</w:t>
      </w:r>
      <w:r>
        <w:rPr>
          <w:rStyle w:val="FootnoteReference"/>
          <w:rFonts w:ascii="Times New Roman" w:eastAsia="Times New Roman" w:hAnsi="Times New Roman" w:cs="Times New Roman"/>
          <w:noProof/>
          <w:sz w:val="24"/>
          <w:szCs w:val="24"/>
        </w:rPr>
        <w:footnoteReference w:id="60"/>
      </w:r>
      <w:r>
        <w:rPr>
          <w:rFonts w:ascii="Times New Roman" w:eastAsia="Times New Roman" w:hAnsi="Times New Roman" w:cs="Times New Roman"/>
          <w:noProof/>
          <w:sz w:val="24"/>
          <w:szCs w:val="24"/>
        </w:rPr>
        <w:t>), the Commission committed to suppo</w:t>
      </w:r>
      <w:r>
        <w:rPr>
          <w:rFonts w:ascii="Times New Roman" w:eastAsia="Times New Roman" w:hAnsi="Times New Roman" w:cs="Times New Roman"/>
          <w:noProof/>
          <w:sz w:val="24"/>
          <w:szCs w:val="24"/>
        </w:rPr>
        <w:t>rt people from these regions to foster their employability and to adapt their skills</w:t>
      </w:r>
      <w:r>
        <w:rPr>
          <w:rFonts w:ascii="Times New Roman" w:eastAsia="Times New Roman" w:hAnsi="Times New Roman" w:cs="Times New Roman"/>
          <w:noProof/>
          <w:sz w:val="24"/>
          <w:szCs w:val="24"/>
          <w:lang w:eastAsia="en-GB"/>
        </w:rPr>
        <w:t xml:space="preserve"> to new production systems and technologies</w:t>
      </w:r>
      <w:r>
        <w:rPr>
          <w:rFonts w:ascii="Times New Roman" w:eastAsia="Times New Roman" w:hAnsi="Times New Roman" w:cs="Times New Roman"/>
          <w:noProof/>
          <w:sz w:val="24"/>
          <w:szCs w:val="24"/>
        </w:rPr>
        <w:t xml:space="preserve"> through the ESI Funds.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This also shows that the quality of </w:t>
      </w:r>
      <w:r>
        <w:rPr>
          <w:rFonts w:ascii="Times New Roman" w:eastAsia="Times New Roman" w:hAnsi="Times New Roman" w:cs="Times New Roman"/>
          <w:b/>
          <w:noProof/>
          <w:sz w:val="24"/>
          <w:szCs w:val="24"/>
        </w:rPr>
        <w:t>governance</w:t>
      </w:r>
      <w:r>
        <w:rPr>
          <w:rFonts w:ascii="Times New Roman" w:eastAsia="Times New Roman" w:hAnsi="Times New Roman" w:cs="Times New Roman"/>
          <w:noProof/>
          <w:sz w:val="24"/>
          <w:szCs w:val="24"/>
        </w:rPr>
        <w:t xml:space="preserve"> varies substantially in Europe, resulting in unbalanced ef</w:t>
      </w:r>
      <w:r>
        <w:rPr>
          <w:rFonts w:ascii="Times New Roman" w:eastAsia="Times New Roman" w:hAnsi="Times New Roman" w:cs="Times New Roman"/>
          <w:noProof/>
          <w:sz w:val="24"/>
          <w:szCs w:val="24"/>
        </w:rPr>
        <w:t>forts to reform employment, education and training and social systems.</w:t>
      </w:r>
      <w:r>
        <w:rPr>
          <w:rStyle w:val="FootnoteReference"/>
          <w:rFonts w:ascii="Times New Roman" w:eastAsia="Times New Roman" w:hAnsi="Times New Roman" w:cs="Times New Roman"/>
          <w:noProof/>
          <w:sz w:val="24"/>
          <w:szCs w:val="24"/>
        </w:rPr>
        <w:footnoteReference w:id="61"/>
      </w:r>
      <w:r>
        <w:rPr>
          <w:rFonts w:ascii="Times New Roman" w:eastAsia="Times New Roman" w:hAnsi="Times New Roman" w:cs="Times New Roman"/>
          <w:noProof/>
          <w:sz w:val="24"/>
          <w:szCs w:val="24"/>
        </w:rPr>
        <w:t xml:space="preserve"> </w:t>
      </w:r>
    </w:p>
    <w:p w:rsidR="003A1527" w:rsidRDefault="003A1527">
      <w:pPr>
        <w:keepLines/>
        <w:spacing w:line="240" w:lineRule="auto"/>
        <w:contextualSpacing/>
        <w:jc w:val="both"/>
        <w:rPr>
          <w:rFonts w:ascii="Times New Roman" w:eastAsia="Times New Roman" w:hAnsi="Times New Roman" w:cs="Times New Roman"/>
          <w:noProof/>
          <w:sz w:val="24"/>
          <w:szCs w:val="24"/>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2.1.2.2 Cross-cutting MFF and fund-specific challenges</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Despite their proven EU added value (see section 3), evaluations and stakeholder consultations have identified a number of </w:t>
      </w:r>
      <w:r>
        <w:rPr>
          <w:rFonts w:ascii="Times New Roman" w:eastAsia="Times New Roman" w:hAnsi="Times New Roman" w:cs="Times New Roman"/>
          <w:noProof/>
          <w:sz w:val="24"/>
          <w:szCs w:val="24"/>
          <w:lang w:eastAsia="en-GB"/>
        </w:rPr>
        <w:t>challenges faced by EU funds investing in people. These challenges can mostly be grouped along the cross-cutting objectives of the new MFF (coherence and synergies, flexibility, focus on performance, and simplification), as presented below.</w:t>
      </w:r>
    </w:p>
    <w:p w:rsidR="003A1527" w:rsidRDefault="003A1527">
      <w:pPr>
        <w:spacing w:line="240" w:lineRule="auto"/>
        <w:jc w:val="both"/>
        <w:rPr>
          <w:rFonts w:ascii="Times New Roman" w:eastAsia="Times New Roman" w:hAnsi="Times New Roman" w:cs="Times New Roman"/>
          <w:b/>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2.1.2.2.1 Limi</w:t>
      </w:r>
      <w:r>
        <w:rPr>
          <w:rFonts w:ascii="Times New Roman" w:eastAsia="Times New Roman" w:hAnsi="Times New Roman" w:cs="Times New Roman"/>
          <w:b/>
          <w:noProof/>
          <w:sz w:val="24"/>
          <w:szCs w:val="24"/>
          <w:lang w:eastAsia="en-GB"/>
        </w:rPr>
        <w:t xml:space="preserve">ted interaction and alignment between funds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Studies</w:t>
      </w:r>
      <w:r>
        <w:rPr>
          <w:rStyle w:val="FootnoteReference"/>
          <w:rFonts w:ascii="Times New Roman" w:eastAsia="Times New Roman" w:hAnsi="Times New Roman" w:cs="Times New Roman"/>
          <w:noProof/>
          <w:sz w:val="24"/>
          <w:szCs w:val="24"/>
          <w:lang w:eastAsia="en-GB"/>
        </w:rPr>
        <w:footnoteReference w:id="62"/>
      </w:r>
      <w:r>
        <w:rPr>
          <w:rFonts w:ascii="Times New Roman" w:eastAsia="Times New Roman" w:hAnsi="Times New Roman" w:cs="Times New Roman"/>
          <w:noProof/>
          <w:sz w:val="24"/>
          <w:szCs w:val="24"/>
          <w:lang w:eastAsia="en-GB"/>
        </w:rPr>
        <w:t xml:space="preserve"> highlight a </w:t>
      </w:r>
      <w:r>
        <w:rPr>
          <w:rFonts w:ascii="Times New Roman" w:eastAsia="Times New Roman" w:hAnsi="Times New Roman" w:cs="Times New Roman"/>
          <w:b/>
          <w:noProof/>
          <w:sz w:val="24"/>
          <w:szCs w:val="24"/>
          <w:lang w:eastAsia="en-GB"/>
        </w:rPr>
        <w:t>diversity of rules and limited synergies</w:t>
      </w:r>
      <w:r>
        <w:rPr>
          <w:rFonts w:ascii="Times New Roman" w:eastAsia="Times New Roman" w:hAnsi="Times New Roman" w:cs="Times New Roman"/>
          <w:noProof/>
          <w:sz w:val="24"/>
          <w:szCs w:val="24"/>
          <w:lang w:eastAsia="en-GB"/>
        </w:rPr>
        <w:t xml:space="preserve"> between EU funds investing in human capital development, weakening their potential impact, visibility and accessibility to beneficiaries and citizens.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While the funds are designed to complement each other, their substantial diversity leads to inefficienc</w:t>
      </w:r>
      <w:r>
        <w:rPr>
          <w:rFonts w:ascii="Times New Roman" w:eastAsia="Times New Roman" w:hAnsi="Times New Roman" w:cs="Times New Roman"/>
          <w:noProof/>
          <w:sz w:val="24"/>
          <w:szCs w:val="24"/>
          <w:lang w:eastAsia="en-GB"/>
        </w:rPr>
        <w:t>ies. The divergent rules and requirements explain this limited coherence and lack of coordination between similar interventions supported by different funds (</w:t>
      </w:r>
      <w:r>
        <w:rPr>
          <w:rFonts w:ascii="Times New Roman" w:hAnsi="Times New Roman" w:cs="Times New Roman"/>
          <w:noProof/>
          <w:sz w:val="24"/>
          <w:szCs w:val="24"/>
        </w:rPr>
        <w:t xml:space="preserve">national authorities designing and managing programmes and projects under the various funds often </w:t>
      </w:r>
      <w:r>
        <w:rPr>
          <w:rFonts w:ascii="Times New Roman" w:hAnsi="Times New Roman" w:cs="Times New Roman"/>
          <w:noProof/>
          <w:sz w:val="24"/>
          <w:szCs w:val="24"/>
        </w:rPr>
        <w:t>operate in silos)</w:t>
      </w:r>
      <w:r>
        <w:rPr>
          <w:rFonts w:ascii="Times New Roman" w:eastAsia="Times New Roman" w:hAnsi="Times New Roman" w:cs="Times New Roman"/>
          <w:noProof/>
          <w:sz w:val="24"/>
          <w:szCs w:val="24"/>
          <w:lang w:eastAsia="en-GB"/>
        </w:rPr>
        <w:t>. Also, overlaps have been identified as regards target groups and specific actions.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theory, the FEAD and ESF complement each other. Programmes under FEAD provide support for the most vulnerable with material aid (e.g. food, clothing). </w:t>
      </w:r>
      <w:r>
        <w:rPr>
          <w:rFonts w:ascii="Times New Roman" w:hAnsi="Times New Roman" w:cs="Times New Roman"/>
          <w:noProof/>
          <w:sz w:val="24"/>
          <w:szCs w:val="24"/>
        </w:rPr>
        <w:t>Action under the ESF focuses on more complex social support and professional activation, and can represent the next step into bringing a sustainable end to poverty.</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However, in the current regulatory context FEAD and ESF projects are often managed separat</w:t>
      </w:r>
      <w:r>
        <w:rPr>
          <w:rFonts w:ascii="Times New Roman" w:hAnsi="Times New Roman" w:cs="Times New Roman"/>
          <w:noProof/>
          <w:sz w:val="24"/>
          <w:szCs w:val="24"/>
        </w:rPr>
        <w:t xml:space="preserve">ely and based on different project requirements (while in theory they could be managed by the same authority). As a result, interventions for each fund are also planned separately, sometimes in the absence of a strategic policy approach. According to FEAD </w:t>
      </w:r>
      <w:r>
        <w:rPr>
          <w:rFonts w:ascii="Times New Roman" w:hAnsi="Times New Roman" w:cs="Times New Roman"/>
          <w:noProof/>
          <w:sz w:val="24"/>
          <w:szCs w:val="24"/>
        </w:rPr>
        <w:t>project managers, this sometimes stands in the way of a seamless transition by vulnerable participants from FEAD to ESF projects.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link between material assistance support (supported by FEAD) and comprehensive social support and professional activation</w:t>
      </w:r>
      <w:r>
        <w:rPr>
          <w:rFonts w:ascii="Times New Roman" w:eastAsia="Times New Roman" w:hAnsi="Times New Roman" w:cs="Times New Roman"/>
          <w:noProof/>
          <w:sz w:val="24"/>
          <w:szCs w:val="24"/>
          <w:lang w:eastAsia="en-GB"/>
        </w:rPr>
        <w:t xml:space="preserve"> (supported by ESF) is under-utilised as a result.</w:t>
      </w:r>
      <w:r>
        <w:rPr>
          <w:rStyle w:val="FootnoteReference"/>
          <w:rFonts w:ascii="Times New Roman" w:eastAsia="Times New Roman" w:hAnsi="Times New Roman" w:cs="Times New Roman"/>
          <w:noProof/>
          <w:sz w:val="24"/>
          <w:szCs w:val="24"/>
          <w:lang w:eastAsia="en-GB"/>
        </w:rPr>
        <w:footnoteReference w:id="65"/>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This is especially an issue for Member States in which the FEAD programme size is so marginal that it restricts programme coverage. </w:t>
      </w:r>
      <w:r>
        <w:rPr>
          <w:rFonts w:ascii="Times New Roman" w:hAnsi="Times New Roman" w:cs="Times New Roman"/>
          <w:noProof/>
          <w:sz w:val="24"/>
          <w:szCs w:val="24"/>
        </w:rPr>
        <w:t>In all network meetings in 2016 FEAD stakeholders underlined the need fo</w:t>
      </w:r>
      <w:r>
        <w:rPr>
          <w:rFonts w:ascii="Times New Roman" w:hAnsi="Times New Roman" w:cs="Times New Roman"/>
          <w:noProof/>
          <w:sz w:val="24"/>
          <w:szCs w:val="24"/>
        </w:rPr>
        <w:t>r better coordination between FEAD and ESF projects,</w:t>
      </w:r>
      <w:r>
        <w:rPr>
          <w:rFonts w:ascii="Times New Roman" w:eastAsia="Times New Roman" w:hAnsi="Times New Roman" w:cs="Times New Roman"/>
          <w:noProof/>
          <w:sz w:val="24"/>
          <w:szCs w:val="24"/>
          <w:lang w:eastAsia="en-GB"/>
        </w:rPr>
        <w:t xml:space="preserve"> as needs in the FEAD context are not always addressed by relevant programmes (e.g. under the ESF), particularly when different authorities are responsible for managing the funds.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w:t>
      </w:r>
      <w:r>
        <w:rPr>
          <w:rFonts w:ascii="Times New Roman" w:hAnsi="Times New Roman" w:cs="Times New Roman"/>
          <w:noProof/>
          <w:sz w:val="24"/>
          <w:szCs w:val="24"/>
        </w:rPr>
        <w:t>e YEI and ESF have a</w:t>
      </w:r>
      <w:r>
        <w:rPr>
          <w:rFonts w:ascii="Times New Roman" w:hAnsi="Times New Roman" w:cs="Times New Roman"/>
          <w:noProof/>
          <w:sz w:val="24"/>
          <w:szCs w:val="24"/>
        </w:rPr>
        <w:t xml:space="preserve"> lot in common when it comes to implementation: the same managing authorities (MAs) are responsible, mainstream ESF and YEI projects are often combined in a single programme and overall, despite some additional requirements for the YEI, the same rules appl</w:t>
      </w:r>
      <w:r>
        <w:rPr>
          <w:rFonts w:ascii="Times New Roman" w:hAnsi="Times New Roman" w:cs="Times New Roman"/>
          <w:noProof/>
          <w:sz w:val="24"/>
          <w:szCs w:val="24"/>
        </w:rPr>
        <w:t>y.</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Nevertheless, while there are no signs of problematic overlaps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certain specific features of the YEI’s scope and implementation entail a significant administrative burden. As regards scope, MAs and beneficiaries find that limiting YEI support to inte</w:t>
      </w:r>
      <w:r>
        <w:rPr>
          <w:rFonts w:ascii="Times New Roman" w:hAnsi="Times New Roman" w:cs="Times New Roman"/>
          <w:noProof/>
          <w:sz w:val="24"/>
          <w:szCs w:val="24"/>
        </w:rPr>
        <w:t xml:space="preserve">rventions directly for people (while the ESF can also support structures) is overly restrictive. On implementation, the main issues concern the requirement to programme specific YEI allocations by identifying ESF matching funds (originating from different </w:t>
      </w:r>
      <w:r>
        <w:rPr>
          <w:rFonts w:ascii="Times New Roman" w:hAnsi="Times New Roman" w:cs="Times New Roman"/>
          <w:noProof/>
          <w:sz w:val="24"/>
          <w:szCs w:val="24"/>
        </w:rPr>
        <w:t>categories of region) which results in a complex exercise for authorities. The definition of the YEI target group at national level – exclusively NEETs who reside in the eligible regions – has also posed difficulties for the managing authorities.</w:t>
      </w:r>
    </w:p>
    <w:p w:rsidR="003A1527" w:rsidRDefault="00742A12">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w:t>
      </w:r>
      <w:r>
        <w:rPr>
          <w:rFonts w:ascii="Times New Roman" w:eastAsia="Times New Roman" w:hAnsi="Times New Roman" w:cs="Times New Roman"/>
          <w:noProof/>
          <w:sz w:val="24"/>
          <w:szCs w:val="24"/>
          <w:lang w:eastAsia="en-GB"/>
        </w:rPr>
        <w:t xml:space="preserve">s interaction between the ESF and EaSI, although the regulations provide for the upscaling of successfully tested social innovations, there is to date no evidence of this happening in practice. </w:t>
      </w:r>
      <w:r>
        <w:rPr>
          <w:rFonts w:ascii="Times New Roman" w:hAnsi="Times New Roman" w:cs="Times New Roman"/>
          <w:noProof/>
          <w:sz w:val="24"/>
          <w:szCs w:val="24"/>
        </w:rPr>
        <w:t>The mid-term evaluation of the EaSI programme indicated that i</w:t>
      </w:r>
      <w:r>
        <w:rPr>
          <w:rFonts w:ascii="Times New Roman" w:hAnsi="Times New Roman" w:cs="Times New Roman"/>
          <w:noProof/>
          <w:sz w:val="24"/>
          <w:szCs w:val="24"/>
        </w:rPr>
        <w:t>ts impact is partially hampered by the lack of specific mechanisms to encourage effective cooperation with the ESF. Moreover, the complexity of the ESF management and delivery system and the lack of a dedicated budget discourage potential candidates from a</w:t>
      </w:r>
      <w:r>
        <w:rPr>
          <w:rFonts w:ascii="Times New Roman" w:hAnsi="Times New Roman" w:cs="Times New Roman"/>
          <w:noProof/>
          <w:sz w:val="24"/>
          <w:szCs w:val="24"/>
        </w:rPr>
        <w:t>pplying to upscale successful ‘social innovations’ under ESF. This results in very limited use of the ESF to apply and upscale the results of the social experimentation carried out under EaSI.</w:t>
      </w:r>
      <w:r>
        <w:rPr>
          <w:rStyle w:val="FootnoteReference"/>
          <w:rFonts w:ascii="Times New Roman" w:hAnsi="Times New Roman" w:cs="Times New Roman"/>
          <w:noProof/>
          <w:sz w:val="24"/>
          <w:szCs w:val="24"/>
        </w:rPr>
        <w:footnoteReference w:id="69"/>
      </w:r>
      <w:r>
        <w:rPr>
          <w:rFonts w:ascii="Times New Roman" w:eastAsia="Times New Roman" w:hAnsi="Times New Roman" w:cs="Times New Roman"/>
          <w:noProof/>
          <w:sz w:val="24"/>
          <w:szCs w:val="24"/>
          <w:lang w:eastAsia="en-GB"/>
        </w:rPr>
        <w:t xml:space="preserve"> In addition, the Microfinance/social entrepreneurship axis sho</w:t>
      </w:r>
      <w:r>
        <w:rPr>
          <w:rFonts w:ascii="Times New Roman" w:eastAsia="Times New Roman" w:hAnsi="Times New Roman" w:cs="Times New Roman"/>
          <w:noProof/>
          <w:sz w:val="24"/>
          <w:szCs w:val="24"/>
          <w:lang w:eastAsia="en-GB"/>
        </w:rPr>
        <w:t>ws some limited complementarities with ESF actions.</w:t>
      </w:r>
      <w:r>
        <w:rPr>
          <w:rStyle w:val="FootnoteReference"/>
          <w:rFonts w:ascii="Times New Roman" w:eastAsia="Times New Roman" w:hAnsi="Times New Roman" w:cs="Times New Roman"/>
          <w:noProof/>
          <w:sz w:val="24"/>
          <w:szCs w:val="24"/>
          <w:lang w:eastAsia="en-GB"/>
        </w:rPr>
        <w:footnoteReference w:id="70"/>
      </w:r>
    </w:p>
    <w:p w:rsidR="003A1527" w:rsidRDefault="003A1527">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rsidR="003A1527" w:rsidRDefault="00742A12">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In case of economic restructuring, it is the EGF’s role to offer reactive assistance to workers displaced in unexpected larger scale restructuring events that have a significant impact on the local </w:t>
      </w:r>
      <w:r>
        <w:rPr>
          <w:rFonts w:ascii="Times New Roman" w:hAnsi="Times New Roman" w:cs="Times New Roman"/>
          <w:noProof/>
          <w:sz w:val="24"/>
          <w:szCs w:val="24"/>
        </w:rPr>
        <w:t>economy. This assistance shall complement the more preventive assistance offered by the ESF. Despite design differences between the EGF and the ESF, there is evidence that the latter has been sometimes used for EGF-type measures. This is because of the lon</w:t>
      </w:r>
      <w:r>
        <w:rPr>
          <w:rFonts w:ascii="Times New Roman" w:hAnsi="Times New Roman" w:cs="Times New Roman"/>
          <w:noProof/>
          <w:sz w:val="24"/>
          <w:szCs w:val="24"/>
        </w:rPr>
        <w:t>g procedures for mobilising the EGF, especially in the 2007-2013 funding period, and due to the ESF’s more favourable co-financing rates in less developed regions, which created unintended competition between the funds.</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There is thus scope for better alig</w:t>
      </w:r>
      <w:r>
        <w:rPr>
          <w:rFonts w:ascii="Times New Roman" w:hAnsi="Times New Roman" w:cs="Times New Roman"/>
          <w:noProof/>
          <w:sz w:val="24"/>
          <w:szCs w:val="24"/>
        </w:rPr>
        <w:t xml:space="preserve">ning the EGF and the ESF. Furthermore, it was not possible to observe </w:t>
      </w:r>
      <w:r>
        <w:rPr>
          <w:rFonts w:ascii="Times New Roman" w:eastAsia="Times New Roman" w:hAnsi="Times New Roman" w:cs="Times New Roman"/>
          <w:noProof/>
          <w:sz w:val="24"/>
          <w:szCs w:val="24"/>
          <w:lang w:eastAsia="en-GB"/>
        </w:rPr>
        <w:t>an integrated approach to the use of the two funds in major restructuring events. In such contexts, Member States do not currently design strategic human capital investment packages into</w:t>
      </w:r>
      <w:r>
        <w:rPr>
          <w:rFonts w:ascii="Times New Roman" w:eastAsia="Times New Roman" w:hAnsi="Times New Roman" w:cs="Times New Roman"/>
          <w:noProof/>
          <w:sz w:val="24"/>
          <w:szCs w:val="24"/>
          <w:lang w:eastAsia="en-GB"/>
        </w:rPr>
        <w:t xml:space="preserve"> which they could integrate EGF and other types of national or European funding, thus missing out on potential synergy effects.</w:t>
      </w:r>
    </w:p>
    <w:p w:rsidR="003A1527" w:rsidRDefault="003A1527">
      <w:pPr>
        <w:spacing w:after="0" w:line="240" w:lineRule="auto"/>
        <w:jc w:val="both"/>
        <w:rPr>
          <w:rFonts w:ascii="Times New Roman" w:eastAsia="Times New Roman" w:hAnsi="Times New Roman" w:cs="Times New Roman"/>
          <w:noProof/>
          <w:sz w:val="24"/>
          <w:szCs w:val="24"/>
          <w:lang w:eastAsia="en-GB"/>
        </w:rPr>
      </w:pPr>
    </w:p>
    <w:p w:rsidR="003A1527" w:rsidRDefault="00742A1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Lastly, despite the provisions for a common strategic framework for 2014-2020 in the Common Provisions Regulation which called </w:t>
      </w:r>
      <w:r>
        <w:rPr>
          <w:rFonts w:ascii="Times New Roman" w:eastAsia="Times New Roman" w:hAnsi="Times New Roman" w:cs="Times New Roman"/>
          <w:noProof/>
          <w:sz w:val="24"/>
          <w:szCs w:val="24"/>
          <w:lang w:eastAsia="en-GB"/>
        </w:rPr>
        <w:t>for more synergies between ESI Funds and other EU funds (e.g. between the ESF and Erasmus+)</w:t>
      </w:r>
      <w:r>
        <w:rPr>
          <w:rStyle w:val="FootnoteReference"/>
          <w:rFonts w:ascii="Times New Roman" w:eastAsia="Times New Roman" w:hAnsi="Times New Roman" w:cs="Times New Roman"/>
          <w:noProof/>
          <w:sz w:val="24"/>
          <w:szCs w:val="24"/>
          <w:lang w:eastAsia="en-GB"/>
        </w:rPr>
        <w:footnoteReference w:id="72"/>
      </w:r>
      <w:r>
        <w:rPr>
          <w:rFonts w:ascii="Times New Roman" w:eastAsia="Times New Roman" w:hAnsi="Times New Roman" w:cs="Times New Roman"/>
          <w:noProof/>
          <w:sz w:val="24"/>
          <w:szCs w:val="24"/>
          <w:lang w:eastAsia="en-GB"/>
        </w:rPr>
        <w:t xml:space="preserve">, these have been very limited to date and practical cooperation </w:t>
      </w:r>
      <w:r>
        <w:rPr>
          <w:rFonts w:ascii="Times New Roman" w:hAnsi="Times New Roman" w:cs="Times New Roman"/>
          <w:noProof/>
          <w:sz w:val="24"/>
          <w:szCs w:val="24"/>
        </w:rPr>
        <w:t xml:space="preserve">between funds investing in people </w:t>
      </w:r>
      <w:r>
        <w:rPr>
          <w:rFonts w:ascii="Times New Roman" w:eastAsia="Times New Roman" w:hAnsi="Times New Roman" w:cs="Times New Roman"/>
          <w:noProof/>
          <w:sz w:val="24"/>
          <w:szCs w:val="24"/>
          <w:lang w:eastAsia="en-GB"/>
        </w:rPr>
        <w:t>is very sporadic.</w:t>
      </w:r>
      <w:r>
        <w:rPr>
          <w:rStyle w:val="FootnoteReference"/>
          <w:rFonts w:ascii="Times New Roman" w:eastAsia="Times New Roman" w:hAnsi="Times New Roman" w:cs="Times New Roman"/>
          <w:noProof/>
          <w:sz w:val="24"/>
          <w:szCs w:val="24"/>
          <w:lang w:eastAsia="en-GB"/>
        </w:rPr>
        <w:footnoteReference w:id="73"/>
      </w:r>
      <w:r>
        <w:rPr>
          <w:rFonts w:ascii="Times New Roman" w:hAnsi="Times New Roman" w:cs="Times New Roman"/>
          <w:noProof/>
          <w:sz w:val="24"/>
          <w:szCs w:val="24"/>
        </w:rPr>
        <w:t xml:space="preserve"> </w:t>
      </w:r>
    </w:p>
    <w:p w:rsidR="003A1527" w:rsidRDefault="003A1527">
      <w:pPr>
        <w:spacing w:line="240" w:lineRule="auto"/>
        <w:jc w:val="both"/>
        <w:rPr>
          <w:rFonts w:ascii="Times New Roman" w:eastAsia="Times New Roman" w:hAnsi="Times New Roman" w:cs="Times New Roman"/>
          <w:noProof/>
          <w:sz w:val="24"/>
          <w:szCs w:val="24"/>
          <w:lang w:eastAsia="en-GB"/>
        </w:rPr>
      </w:pP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2.1.2.2.2 Funding framework not fully aligne</w:t>
      </w:r>
      <w:r>
        <w:rPr>
          <w:rFonts w:ascii="Times New Roman" w:eastAsia="Times New Roman" w:hAnsi="Times New Roman" w:cs="Times New Roman"/>
          <w:b/>
          <w:noProof/>
          <w:sz w:val="24"/>
          <w:szCs w:val="24"/>
          <w:lang w:eastAsia="en-GB"/>
        </w:rPr>
        <w:t>d with EU policy priorities and/or social policy needs; rigidities in implementation</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Current programming under the ESF has already shown a high degree of policy alignment, in particular as regards priorities set in the country specific recommendations (CSR</w:t>
      </w:r>
      <w:r>
        <w:rPr>
          <w:rFonts w:ascii="Times New Roman" w:hAnsi="Times New Roman" w:cs="Times New Roman"/>
          <w:noProof/>
          <w:sz w:val="24"/>
          <w:szCs w:val="24"/>
        </w:rPr>
        <w:t xml:space="preserve">s) under the European Semester process, including through the system of </w:t>
      </w:r>
      <w:r>
        <w:rPr>
          <w:rFonts w:ascii="Times New Roman" w:hAnsi="Times New Roman" w:cs="Times New Roman"/>
          <w:i/>
          <w:noProof/>
          <w:sz w:val="24"/>
          <w:szCs w:val="24"/>
        </w:rPr>
        <w:t xml:space="preserve">ex-ante </w:t>
      </w:r>
      <w:r>
        <w:rPr>
          <w:rFonts w:ascii="Times New Roman" w:hAnsi="Times New Roman" w:cs="Times New Roman"/>
          <w:noProof/>
          <w:sz w:val="24"/>
          <w:szCs w:val="24"/>
        </w:rPr>
        <w:t>conditionalities which facilitated efficient investments. It has also proven to be flexible in adjusting to emergency situations such as the economic and financial crisis and t</w:t>
      </w:r>
      <w:r>
        <w:rPr>
          <w:rFonts w:ascii="Times New Roman" w:hAnsi="Times New Roman" w:cs="Times New Roman"/>
          <w:noProof/>
          <w:sz w:val="24"/>
          <w:szCs w:val="24"/>
        </w:rPr>
        <w:t>he migration crisis.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However, </w:t>
      </w:r>
      <w:r>
        <w:rPr>
          <w:rFonts w:ascii="Times New Roman" w:eastAsia="Times New Roman" w:hAnsi="Times New Roman" w:cs="Times New Roman"/>
          <w:noProof/>
          <w:sz w:val="24"/>
          <w:szCs w:val="24"/>
          <w:lang w:eastAsia="en-GB"/>
        </w:rPr>
        <w:t xml:space="preserve">the economic governance cycle and new EU level policy initiatives are not always fully aligned with the funding frameworks especially as regards the ESF.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While the funds have been closely aligned with policy priorities in th</w:t>
      </w:r>
      <w:r>
        <w:rPr>
          <w:rFonts w:ascii="Times New Roman" w:eastAsia="Times New Roman" w:hAnsi="Times New Roman" w:cs="Times New Roman"/>
          <w:noProof/>
          <w:sz w:val="24"/>
          <w:szCs w:val="24"/>
          <w:lang w:eastAsia="en-GB"/>
        </w:rPr>
        <w:t xml:space="preserve">e 2014-2020 programming period, </w:t>
      </w:r>
      <w:r>
        <w:rPr>
          <w:rFonts w:ascii="Times New Roman" w:hAnsi="Times New Roman" w:cs="Times New Roman"/>
          <w:noProof/>
          <w:sz w:val="24"/>
          <w:szCs w:val="24"/>
        </w:rPr>
        <w:t>a recent study</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on the mapping of CSRs highlights that there is scope for closer alignment between the Semester process and ESI Funds implementation on the ground. For instance, CSRs are often formulated broadly, without imp</w:t>
      </w:r>
      <w:r>
        <w:rPr>
          <w:rFonts w:ascii="Times New Roman" w:hAnsi="Times New Roman" w:cs="Times New Roman"/>
          <w:noProof/>
          <w:sz w:val="24"/>
          <w:szCs w:val="24"/>
        </w:rPr>
        <w:t xml:space="preserve">lementation targets and milestones and the contribution of the ESI Funds through the operational programmes (OPs) is not systematically monitored. In addition, </w:t>
      </w:r>
      <w:r>
        <w:rPr>
          <w:rFonts w:ascii="Times New Roman" w:eastAsia="Times New Roman" w:hAnsi="Times New Roman" w:cs="Times New Roman"/>
          <w:noProof/>
          <w:sz w:val="24"/>
          <w:szCs w:val="24"/>
          <w:lang w:eastAsia="en-GB"/>
        </w:rPr>
        <w:t xml:space="preserve">while </w:t>
      </w:r>
      <w:r>
        <w:rPr>
          <w:rFonts w:ascii="Times New Roman" w:eastAsia="Times New Roman" w:hAnsi="Times New Roman" w:cs="Times New Roman"/>
          <w:i/>
          <w:noProof/>
          <w:sz w:val="24"/>
          <w:szCs w:val="24"/>
          <w:lang w:eastAsia="en-GB"/>
        </w:rPr>
        <w:t xml:space="preserve">ex-ante </w:t>
      </w:r>
      <w:r>
        <w:rPr>
          <w:rFonts w:ascii="Times New Roman" w:eastAsia="Times New Roman" w:hAnsi="Times New Roman" w:cs="Times New Roman"/>
          <w:noProof/>
          <w:sz w:val="24"/>
          <w:szCs w:val="24"/>
          <w:lang w:eastAsia="en-GB"/>
        </w:rPr>
        <w:t>conditionalities have proven to be an efficient way of supporting policy reforms a</w:t>
      </w:r>
      <w:r>
        <w:rPr>
          <w:rFonts w:ascii="Times New Roman" w:eastAsia="Times New Roman" w:hAnsi="Times New Roman" w:cs="Times New Roman"/>
          <w:noProof/>
          <w:sz w:val="24"/>
          <w:szCs w:val="24"/>
          <w:lang w:eastAsia="en-GB"/>
        </w:rPr>
        <w:t>t the beginning of the programming period,</w:t>
      </w:r>
      <w:r>
        <w:rPr>
          <w:rStyle w:val="FootnoteReference"/>
          <w:rFonts w:ascii="Times New Roman" w:eastAsia="Times New Roman" w:hAnsi="Times New Roman" w:cs="Times New Roman"/>
          <w:noProof/>
          <w:sz w:val="24"/>
          <w:szCs w:val="24"/>
          <w:lang w:eastAsia="en-GB"/>
        </w:rPr>
        <w:footnoteReference w:id="76"/>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they have not always been fully taken into account in programme implementation (e.g. in selection criteria and calls for proposals)</w:t>
      </w:r>
      <w:r>
        <w:rPr>
          <w:rFonts w:ascii="Times New Roman" w:eastAsia="Times New Roman" w:hAnsi="Times New Roman" w:cs="Times New Roman"/>
          <w:noProof/>
          <w:sz w:val="24"/>
          <w:szCs w:val="24"/>
          <w:lang w:eastAsia="en-GB"/>
        </w:rPr>
        <w:t xml:space="preserve">.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Various rules applying to the funds’ design </w:t>
      </w:r>
      <w:r>
        <w:rPr>
          <w:rFonts w:ascii="Times New Roman" w:eastAsia="Times New Roman" w:hAnsi="Times New Roman" w:cs="Times New Roman"/>
          <w:noProof/>
          <w:sz w:val="24"/>
          <w:szCs w:val="24"/>
          <w:lang w:eastAsia="en-GB"/>
        </w:rPr>
        <w:t>limit their ability to respond mos</w:t>
      </w:r>
      <w:r>
        <w:rPr>
          <w:rFonts w:ascii="Times New Roman" w:eastAsia="Times New Roman" w:hAnsi="Times New Roman" w:cs="Times New Roman"/>
          <w:noProof/>
          <w:sz w:val="24"/>
          <w:szCs w:val="24"/>
          <w:lang w:eastAsia="en-GB"/>
        </w:rPr>
        <w:t>t effectively to employment, educational and social needs. The allocation of funding envelopes for the ESF is not directly linked to the policies it supports, but based mainly on the regional GDP methodology for structural funds. As a result, the ESF lacks</w:t>
      </w:r>
      <w:r>
        <w:rPr>
          <w:rFonts w:ascii="Times New Roman" w:eastAsia="Times New Roman" w:hAnsi="Times New Roman" w:cs="Times New Roman"/>
          <w:noProof/>
          <w:sz w:val="24"/>
          <w:szCs w:val="24"/>
          <w:lang w:eastAsia="en-GB"/>
        </w:rPr>
        <w:t xml:space="preserve"> sufficient resources to address specific target groups in higher-income regions and is restricted in the support it can give to metropolitan hubs in order to develop lower income regions. Also, strict territorial rules on implementation limit the funds’ a</w:t>
      </w:r>
      <w:r>
        <w:rPr>
          <w:rFonts w:ascii="Times New Roman" w:eastAsia="Times New Roman" w:hAnsi="Times New Roman" w:cs="Times New Roman"/>
          <w:noProof/>
          <w:sz w:val="24"/>
          <w:szCs w:val="24"/>
          <w:lang w:eastAsia="en-GB"/>
        </w:rPr>
        <w:t>bility to foster mobility, as programmes cannot (as a rule) support intervention beyond the borders of the region in question.</w:t>
      </w:r>
      <w:r>
        <w:rPr>
          <w:rStyle w:val="FootnoteReference"/>
          <w:rFonts w:ascii="Times New Roman" w:eastAsia="Times New Roman" w:hAnsi="Times New Roman" w:cs="Times New Roman"/>
          <w:noProof/>
          <w:sz w:val="24"/>
          <w:szCs w:val="24"/>
          <w:lang w:eastAsia="en-GB"/>
        </w:rPr>
        <w:footnoteReference w:id="77"/>
      </w:r>
      <w:r>
        <w:rPr>
          <w:rFonts w:ascii="Times New Roman" w:eastAsia="Times New Roman" w:hAnsi="Times New Roman" w:cs="Times New Roman"/>
          <w:noProof/>
          <w:sz w:val="24"/>
          <w:szCs w:val="24"/>
          <w:lang w:eastAsia="en-GB"/>
        </w:rPr>
        <w:t xml:space="preserve">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 flexibility, t</w:t>
      </w:r>
      <w:r>
        <w:rPr>
          <w:rFonts w:ascii="Times New Roman" w:hAnsi="Times New Roman" w:cs="Times New Roman"/>
          <w:noProof/>
          <w:sz w:val="24"/>
          <w:szCs w:val="24"/>
        </w:rPr>
        <w:t>he structure of the ESF does not allow programmes to adjust swiftly to changing priorities. The long-t</w:t>
      </w:r>
      <w:r>
        <w:rPr>
          <w:rFonts w:ascii="Times New Roman" w:hAnsi="Times New Roman" w:cs="Times New Roman"/>
          <w:noProof/>
          <w:sz w:val="24"/>
          <w:szCs w:val="24"/>
        </w:rPr>
        <w:t>erm nature of funding, and the need to set intervention targets and content in advance mean that it is difficult to revise these subsequently, where necessary. In addition, long and heavy adoption and amendment procedures make programmes relatively rigid.</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w:t>
      </w:r>
      <w:r>
        <w:rPr>
          <w:rFonts w:ascii="Times New Roman" w:hAnsi="Times New Roman" w:cs="Times New Roman"/>
          <w:noProof/>
          <w:sz w:val="24"/>
          <w:szCs w:val="24"/>
        </w:rPr>
        <w:t>transnational cooperation under the ESF, its current design is not conducive to the general dissemination and mainstreaming of successful policy interventions or work on common issues. In 2014-2020, Member States have made limited use of the tra</w:t>
      </w:r>
      <w:r>
        <w:rPr>
          <w:rFonts w:ascii="Times New Roman" w:hAnsi="Times New Roman" w:cs="Times New Roman"/>
          <w:noProof/>
          <w:sz w:val="24"/>
          <w:szCs w:val="24"/>
        </w:rPr>
        <w:t>nsnational approach option, despite the provision by the Commission of an implementation framework in the form of a transnational platform supported by the EC’s technical assistance budget.</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This fact has been criticised by stakeholders as a lost opportuni</w:t>
      </w:r>
      <w:r>
        <w:rPr>
          <w:rFonts w:ascii="Times New Roman" w:hAnsi="Times New Roman" w:cs="Times New Roman"/>
          <w:noProof/>
          <w:sz w:val="24"/>
          <w:szCs w:val="24"/>
        </w:rPr>
        <w:t xml:space="preserve">ty for transferring solutions across borders. Underlying drivers include a lack of coordination in terms of common themes and the time needed to launch coordinated calls for projects. Effective learning requires indeed evidence-based understanding of what </w:t>
      </w:r>
      <w:r>
        <w:rPr>
          <w:rFonts w:ascii="Times New Roman" w:hAnsi="Times New Roman" w:cs="Times New Roman"/>
          <w:noProof/>
          <w:sz w:val="24"/>
          <w:szCs w:val="24"/>
        </w:rPr>
        <w:t>works and how, what does not work and why, and of the enabling and impeding conditions and national specificities. This requires professional facilitators and financial resources to validate the transferability potential and adapting the beneficial solutio</w:t>
      </w:r>
      <w:r>
        <w:rPr>
          <w:rFonts w:ascii="Times New Roman" w:hAnsi="Times New Roman" w:cs="Times New Roman"/>
          <w:noProof/>
          <w:sz w:val="24"/>
          <w:szCs w:val="24"/>
        </w:rPr>
        <w:t>n to other regional or sectoral contexts. This role cannot easily be pursued at the national level, as the evidence has largely demonstrated.</w:t>
      </w:r>
    </w:p>
    <w:p w:rsidR="003A1527" w:rsidRDefault="00742A12">
      <w:pPr>
        <w:pStyle w:val="Body"/>
        <w:spacing w:before="120" w:after="0" w:line="240" w:lineRule="auto"/>
        <w:jc w:val="both"/>
        <w:rPr>
          <w:rFonts w:ascii="Times New Roman" w:eastAsiaTheme="minorHAnsi" w:hAnsi="Times New Roman"/>
          <w:noProof/>
          <w:sz w:val="24"/>
          <w:lang w:eastAsia="en-GB"/>
        </w:rPr>
      </w:pPr>
      <w:r>
        <w:rPr>
          <w:rFonts w:ascii="Times New Roman" w:hAnsi="Times New Roman"/>
          <w:noProof/>
          <w:sz w:val="24"/>
          <w:szCs w:val="24"/>
        </w:rPr>
        <w:t xml:space="preserve">Despite important improvements </w:t>
      </w:r>
      <w:r>
        <w:rPr>
          <w:rFonts w:ascii="Times New Roman" w:eastAsiaTheme="minorHAnsi" w:hAnsi="Times New Roman"/>
          <w:noProof/>
          <w:sz w:val="24"/>
          <w:szCs w:val="24"/>
        </w:rPr>
        <w:t>in the legislative framework for the 2014-2020 ESI funds</w:t>
      </w:r>
      <w:r>
        <w:rPr>
          <w:rStyle w:val="FootnoteReference"/>
          <w:rFonts w:ascii="Times New Roman" w:eastAsiaTheme="minorHAnsi" w:hAnsi="Times New Roman"/>
          <w:noProof/>
          <w:sz w:val="24"/>
          <w:szCs w:val="24"/>
        </w:rPr>
        <w:footnoteReference w:id="79"/>
      </w:r>
      <w:r>
        <w:rPr>
          <w:rFonts w:ascii="Times New Roman" w:eastAsiaTheme="minorHAnsi" w:hAnsi="Times New Roman"/>
          <w:noProof/>
          <w:sz w:val="24"/>
          <w:szCs w:val="24"/>
        </w:rPr>
        <w:t xml:space="preserve"> as regards the partnership principle, mobilising partners across a broad range of countries and programmes is still a challenge, especially in the implementation phase.</w:t>
      </w:r>
      <w:r>
        <w:rPr>
          <w:rStyle w:val="FootnoteReference"/>
          <w:rFonts w:ascii="Times New Roman" w:eastAsiaTheme="minorHAnsi" w:hAnsi="Times New Roman"/>
          <w:noProof/>
          <w:sz w:val="24"/>
          <w:szCs w:val="24"/>
        </w:rPr>
        <w:footnoteReference w:id="80"/>
      </w:r>
      <w:r>
        <w:rPr>
          <w:rFonts w:ascii="Times New Roman" w:eastAsiaTheme="minorHAnsi" w:hAnsi="Times New Roman"/>
          <w:noProof/>
          <w:sz w:val="24"/>
          <w:szCs w:val="24"/>
        </w:rPr>
        <w:t xml:space="preserve"> The massive changes in society that lie ahead are expected to strengthen the need for</w:t>
      </w:r>
      <w:r>
        <w:rPr>
          <w:rFonts w:ascii="Times New Roman" w:eastAsiaTheme="minorHAnsi" w:hAnsi="Times New Roman"/>
          <w:noProof/>
          <w:sz w:val="24"/>
          <w:szCs w:val="24"/>
        </w:rPr>
        <w:t xml:space="preserve"> partnership in order to build ownership and acceptance of reforms on the ground. </w:t>
      </w:r>
    </w:p>
    <w:p w:rsidR="003A1527" w:rsidRDefault="003A1527">
      <w:pPr>
        <w:pStyle w:val="Body"/>
        <w:spacing w:after="0" w:line="240" w:lineRule="auto"/>
        <w:jc w:val="both"/>
        <w:rPr>
          <w:rFonts w:ascii="Times New Roman" w:hAnsi="Times New Roman"/>
          <w:noProof/>
          <w:sz w:val="24"/>
          <w:szCs w:val="24"/>
          <w:lang w:eastAsia="en-GB"/>
        </w:rPr>
      </w:pPr>
    </w:p>
    <w:p w:rsidR="003A1527" w:rsidRDefault="00742A12">
      <w:pPr>
        <w:pStyle w:val="DGEMPLStandard"/>
        <w:spacing w:before="0" w:after="0" w:line="240" w:lineRule="auto"/>
        <w:rPr>
          <w:rFonts w:ascii="Times New Roman" w:hAnsi="Times New Roman"/>
          <w:noProof/>
          <w:sz w:val="24"/>
          <w:szCs w:val="24"/>
          <w:lang w:eastAsia="en-GB"/>
        </w:rPr>
      </w:pPr>
      <w:r>
        <w:rPr>
          <w:rFonts w:ascii="Times New Roman" w:hAnsi="Times New Roman"/>
          <w:noProof/>
          <w:sz w:val="24"/>
          <w:szCs w:val="24"/>
          <w:lang w:eastAsia="en-GB"/>
        </w:rPr>
        <w:t xml:space="preserve">In FEAD, restrictions as to the types of intervention that can be financed reduce the </w:t>
      </w:r>
      <w:r>
        <w:rPr>
          <w:rFonts w:ascii="Times New Roman" w:hAnsi="Times New Roman"/>
          <w:noProof/>
          <w:sz w:val="24"/>
          <w:szCs w:val="24"/>
        </w:rPr>
        <w:t>sustainability of food aid and material support, in particular due to the lack of reso</w:t>
      </w:r>
      <w:r>
        <w:rPr>
          <w:rFonts w:ascii="Times New Roman" w:hAnsi="Times New Roman"/>
          <w:noProof/>
          <w:sz w:val="24"/>
          <w:szCs w:val="24"/>
        </w:rPr>
        <w:t>urces to support accompanying measures in order to achieve long-term poverty alleviation and social inclusion.</w:t>
      </w:r>
      <w:r>
        <w:rPr>
          <w:rStyle w:val="FootnoteReference"/>
          <w:rFonts w:ascii="Times New Roman" w:hAnsi="Times New Roman"/>
          <w:noProof/>
          <w:sz w:val="24"/>
          <w:szCs w:val="24"/>
        </w:rPr>
        <w:footnoteReference w:id="81"/>
      </w:r>
      <w:r>
        <w:rPr>
          <w:rFonts w:ascii="Times New Roman" w:hAnsi="Times New Roman"/>
          <w:noProof/>
          <w:sz w:val="24"/>
          <w:szCs w:val="24"/>
        </w:rPr>
        <w:t xml:space="preserve"> </w:t>
      </w:r>
    </w:p>
    <w:p w:rsidR="003A1527" w:rsidRDefault="003A1527">
      <w:pPr>
        <w:pStyle w:val="DGEMPLStandard"/>
        <w:spacing w:before="0" w:after="0" w:line="240" w:lineRule="auto"/>
        <w:rPr>
          <w:noProof/>
        </w:rPr>
      </w:pPr>
    </w:p>
    <w:p w:rsidR="003A1527" w:rsidRDefault="00742A1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current funding structure for the EaSI - with relatively rigid allocation between and within axes – makes it difficult to adjust swiftly a</w:t>
      </w:r>
      <w:r>
        <w:rPr>
          <w:rFonts w:ascii="Times New Roman" w:eastAsia="Times New Roman" w:hAnsi="Times New Roman" w:cs="Times New Roman"/>
          <w:noProof/>
          <w:sz w:val="24"/>
          <w:szCs w:val="24"/>
          <w:lang w:eastAsia="en-GB"/>
        </w:rPr>
        <w:t xml:space="preserve">nd efficiently to emerging priorities. </w:t>
      </w:r>
      <w:r>
        <w:rPr>
          <w:rFonts w:ascii="Times New Roman" w:hAnsi="Times New Roman" w:cs="Times New Roman"/>
          <w:noProof/>
          <w:sz w:val="24"/>
          <w:szCs w:val="24"/>
        </w:rPr>
        <w:t>Although this issue was considered in the context of the ‘Omnibus’ Regulation</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greater flexibility would ensure more room for manoeuvre in the transfer of budgets between axes where needed. </w:t>
      </w:r>
    </w:p>
    <w:p w:rsidR="003A1527" w:rsidRDefault="003A1527">
      <w:pPr>
        <w:spacing w:after="0" w:line="240" w:lineRule="auto"/>
        <w:jc w:val="both"/>
        <w:rPr>
          <w:rFonts w:ascii="Times New Roman" w:eastAsia="Times New Roman" w:hAnsi="Times New Roman" w:cs="Times New Roman"/>
          <w:noProof/>
          <w:sz w:val="24"/>
          <w:szCs w:val="24"/>
          <w:lang w:eastAsia="en-GB"/>
        </w:rPr>
      </w:pPr>
    </w:p>
    <w:p w:rsidR="003A1527" w:rsidRDefault="00742A1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EGF eligibility criteria of funding require that it be used in response to redundancies due to globalisation or the financial and economic crisis. </w:t>
      </w:r>
      <w:r>
        <w:rPr>
          <w:rFonts w:ascii="Times New Roman" w:hAnsi="Times New Roman" w:cs="Times New Roman"/>
          <w:noProof/>
          <w:sz w:val="24"/>
          <w:szCs w:val="24"/>
        </w:rPr>
        <w:t>As a result the EGF currently does not cover other major economic developments. Workers made redundant fo</w:t>
      </w:r>
      <w:r>
        <w:rPr>
          <w:rFonts w:ascii="Times New Roman" w:hAnsi="Times New Roman" w:cs="Times New Roman"/>
          <w:noProof/>
          <w:sz w:val="24"/>
          <w:szCs w:val="24"/>
        </w:rPr>
        <w:t>r other reasons, e.g. automation or robotisation, face very similar challenges but cannot currently benefit from support.</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Furthermore, in a globalised world, all these developments go hand in hand and reinforce each other, so that it is increasingly hard </w:t>
      </w:r>
      <w:r>
        <w:rPr>
          <w:rFonts w:ascii="Times New Roman" w:hAnsi="Times New Roman" w:cs="Times New Roman"/>
          <w:noProof/>
          <w:sz w:val="24"/>
          <w:szCs w:val="24"/>
        </w:rPr>
        <w:t xml:space="preserve">and artificial to single out a specific reason that triggered a restructuring event.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rsidR="003A1527" w:rsidRDefault="00742A12">
      <w:pPr>
        <w:spacing w:before="60" w:after="24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2.1.2.2.3 Complex requirements and high costs in management and delivery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conclusions of the high-level group on simplification</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xml:space="preserve"> and relevant studies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acknowledge the progress made in terms of simplifying the ESF. Nevertheless ESF management and delivery remain complex for a number of reasons: </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different rules with funds addressing the same policy objectives, making it difficult to establish synergies;</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detailed and complex regulations and guidelines;</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complex programming arrangements – excessively detailed partnership agreements and programmes</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resulting in burdensome adoption and amendment processes and complex  management of multi-fund programmes;</w:t>
      </w:r>
      <w:r>
        <w:rPr>
          <w:rStyle w:val="FootnoteReference"/>
          <w:rFonts w:ascii="Times New Roman" w:hAnsi="Times New Roman" w:cs="Times New Roman"/>
          <w:noProof/>
          <w:sz w:val="24"/>
          <w:szCs w:val="24"/>
        </w:rPr>
        <w:footnoteReference w:id="87"/>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rPr>
        <w:t>application of strict territorial rules to the ESF (e.g. division by categories of NUTS2 regions and the associated funding allocation and implementation rules);</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disproportionate regulatory and audit arrangements (e.g. well-functioning systems are subject </w:t>
      </w:r>
      <w:r>
        <w:rPr>
          <w:rFonts w:ascii="Times New Roman" w:hAnsi="Times New Roman" w:cs="Times New Roman"/>
          <w:noProof/>
          <w:sz w:val="24"/>
          <w:szCs w:val="24"/>
        </w:rPr>
        <w:t>to the same management and control systems as other less effective  systems and 'double checks');</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requirements linked to </w:t>
      </w:r>
      <w:r>
        <w:rPr>
          <w:rFonts w:ascii="Times New Roman" w:hAnsi="Times New Roman" w:cs="Times New Roman"/>
          <w:i/>
          <w:noProof/>
          <w:sz w:val="24"/>
          <w:szCs w:val="24"/>
        </w:rPr>
        <w:t xml:space="preserve">ex-ante </w:t>
      </w:r>
      <w:r>
        <w:rPr>
          <w:rFonts w:ascii="Times New Roman" w:hAnsi="Times New Roman" w:cs="Times New Roman"/>
          <w:noProof/>
          <w:sz w:val="24"/>
          <w:szCs w:val="24"/>
        </w:rPr>
        <w:t>conditionalities, including numerous assessment criteria and duplication of their assessment in the partnership agreement and p</w:t>
      </w:r>
      <w:r>
        <w:rPr>
          <w:rFonts w:ascii="Times New Roman" w:hAnsi="Times New Roman" w:cs="Times New Roman"/>
          <w:noProof/>
          <w:sz w:val="24"/>
          <w:szCs w:val="24"/>
        </w:rPr>
        <w:t>rogrammes;</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institutional arrangements - cumbersome process for the designation of the authorities in particular due to the required IT structures;</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burdensome monitoring due to </w:t>
      </w:r>
      <w:r>
        <w:rPr>
          <w:rFonts w:ascii="Times New Roman" w:eastAsia="Times New Roman" w:hAnsi="Times New Roman" w:cs="Times New Roman"/>
          <w:noProof/>
          <w:sz w:val="24"/>
          <w:szCs w:val="24"/>
          <w:lang w:eastAsia="en-GB"/>
        </w:rPr>
        <w:t>complex data-collection requirements and the limited use of administrative regis</w:t>
      </w:r>
      <w:r>
        <w:rPr>
          <w:rFonts w:ascii="Times New Roman" w:eastAsia="Times New Roman" w:hAnsi="Times New Roman" w:cs="Times New Roman"/>
          <w:noProof/>
          <w:sz w:val="24"/>
          <w:szCs w:val="24"/>
          <w:lang w:eastAsia="en-GB"/>
        </w:rPr>
        <w:t>ters for the collection of participants' data; and</w:t>
      </w:r>
    </w:p>
    <w:p w:rsidR="003A1527" w:rsidRDefault="00742A12">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administrative burden of a system that relies mainly on real costs, and the associated documentation and archiving requirements.</w:t>
      </w:r>
    </w:p>
    <w:p w:rsidR="003A1527" w:rsidRDefault="00742A12">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These views were confirmed also by the public consultation: complex proc</w:t>
      </w:r>
      <w:r>
        <w:rPr>
          <w:rFonts w:ascii="Times New Roman" w:hAnsi="Times New Roman" w:cs="Times New Roman"/>
          <w:noProof/>
          <w:sz w:val="24"/>
          <w:szCs w:val="24"/>
        </w:rPr>
        <w:t>edures and heavy audit and control requirements were seen as the most important obstacles that prevented the current programmes/funds from successfully achieving their objectives.</w:t>
      </w:r>
    </w:p>
    <w:p w:rsidR="003A1527" w:rsidRDefault="003A1527">
      <w:pPr>
        <w:spacing w:line="240" w:lineRule="auto"/>
        <w:contextualSpacing/>
        <w:jc w:val="both"/>
        <w:rPr>
          <w:rFonts w:ascii="Times New Roman" w:hAnsi="Times New Roman" w:cs="Times New Roman"/>
          <w:noProof/>
          <w:sz w:val="24"/>
          <w:szCs w:val="24"/>
        </w:rPr>
      </w:pPr>
    </w:p>
    <w:p w:rsidR="003A1527" w:rsidRDefault="00742A12">
      <w:pPr>
        <w:spacing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In some cases, the burden arises from the Member States' own regulations an</w:t>
      </w:r>
      <w:r>
        <w:rPr>
          <w:rFonts w:ascii="Times New Roman" w:hAnsi="Times New Roman" w:cs="Times New Roman"/>
          <w:noProof/>
          <w:sz w:val="24"/>
          <w:szCs w:val="24"/>
        </w:rPr>
        <w:t xml:space="preserve">d requirements (gold-plating). In addition, </w:t>
      </w:r>
      <w:r>
        <w:rPr>
          <w:rFonts w:ascii="Times New Roman" w:eastAsia="Times New Roman" w:hAnsi="Times New Roman" w:cs="Times New Roman"/>
          <w:noProof/>
          <w:sz w:val="24"/>
          <w:szCs w:val="24"/>
          <w:lang w:eastAsia="en-GB"/>
        </w:rPr>
        <w:t xml:space="preserve">the uptake of simplification measures, such as joint action plans (JAPs) or the many types of voluntary simplified cost option </w:t>
      </w:r>
      <w:r>
        <w:rPr>
          <w:rFonts w:ascii="Times New Roman" w:eastAsia="Times New Roman" w:hAnsi="Times New Roman" w:cs="Times New Roman"/>
          <w:noProof/>
          <w:sz w:val="24"/>
          <w:szCs w:val="24"/>
        </w:rPr>
        <w:t>(SCO)</w:t>
      </w:r>
      <w:r>
        <w:rPr>
          <w:rFonts w:ascii="Times New Roman" w:eastAsia="Times New Roman" w:hAnsi="Times New Roman" w:cs="Times New Roman"/>
          <w:noProof/>
          <w:sz w:val="24"/>
          <w:szCs w:val="24"/>
          <w:lang w:eastAsia="en-GB"/>
        </w:rPr>
        <w:t xml:space="preserve"> has been slower than was hoped for, as Member States prefer stability and legal</w:t>
      </w:r>
      <w:r>
        <w:rPr>
          <w:rFonts w:ascii="Times New Roman" w:eastAsia="Times New Roman" w:hAnsi="Times New Roman" w:cs="Times New Roman"/>
          <w:noProof/>
          <w:sz w:val="24"/>
          <w:szCs w:val="24"/>
          <w:lang w:eastAsia="en-GB"/>
        </w:rPr>
        <w:t xml:space="preserve"> and financial certainty.</w:t>
      </w:r>
      <w:r>
        <w:rPr>
          <w:rStyle w:val="FootnoteReference"/>
          <w:rFonts w:ascii="Times New Roman" w:eastAsia="Times New Roman" w:hAnsi="Times New Roman" w:cs="Times New Roman"/>
          <w:noProof/>
          <w:sz w:val="24"/>
          <w:szCs w:val="24"/>
          <w:lang w:eastAsia="en-GB"/>
        </w:rPr>
        <w:footnoteReference w:id="88"/>
      </w:r>
      <w:r>
        <w:rPr>
          <w:rFonts w:ascii="Times New Roman" w:eastAsia="Times New Roman" w:hAnsi="Times New Roman" w:cs="Times New Roman"/>
          <w:noProof/>
          <w:sz w:val="24"/>
          <w:szCs w:val="24"/>
        </w:rPr>
        <w:t xml:space="preserve"> </w:t>
      </w:r>
    </w:p>
    <w:p w:rsidR="003A1527" w:rsidRDefault="003A1527">
      <w:pPr>
        <w:spacing w:line="240" w:lineRule="auto"/>
        <w:contextualSpacing/>
        <w:jc w:val="both"/>
        <w:rPr>
          <w:rFonts w:ascii="Times New Roman" w:eastAsia="Times New Roman" w:hAnsi="Times New Roman" w:cs="Times New Roman"/>
          <w:noProof/>
          <w:sz w:val="24"/>
          <w:szCs w:val="24"/>
        </w:rPr>
      </w:pP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In combination with the current ‘n+3’ rule for de-commitment</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these factors result in delays to the start of programme implementation at the beginning of the funding cycle.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FEAD, stakeholders at all levels recognise that the requirements in the basic EU Regulation are lighter than those for other shared management funds (especially the ESF). They argue that the administrative burden stems mostly from national regulations </w:t>
      </w:r>
      <w:r>
        <w:rPr>
          <w:rFonts w:ascii="Times New Roman" w:eastAsia="Times New Roman" w:hAnsi="Times New Roman" w:cs="Times New Roman"/>
          <w:noProof/>
          <w:sz w:val="24"/>
          <w:szCs w:val="24"/>
          <w:lang w:eastAsia="en-GB"/>
        </w:rPr>
        <w:t xml:space="preserve">and requirements, which relate, </w:t>
      </w:r>
      <w:r>
        <w:rPr>
          <w:rFonts w:ascii="Times New Roman" w:eastAsia="Times New Roman" w:hAnsi="Times New Roman" w:cs="Times New Roman"/>
          <w:i/>
          <w:noProof/>
          <w:sz w:val="24"/>
          <w:szCs w:val="24"/>
          <w:lang w:eastAsia="en-GB"/>
        </w:rPr>
        <w:t>inter alia</w:t>
      </w:r>
      <w:r>
        <w:rPr>
          <w:rFonts w:ascii="Times New Roman" w:eastAsia="Times New Roman" w:hAnsi="Times New Roman" w:cs="Times New Roman"/>
          <w:noProof/>
          <w:sz w:val="24"/>
          <w:szCs w:val="24"/>
          <w:lang w:eastAsia="en-GB"/>
        </w:rPr>
        <w:t xml:space="preserve">, to: recording data/information on operations and end-recipients for monitoring purposes; bulky documentation for procedures and instructions; and excessive procedures for the certification of end-recipients.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For</w:t>
      </w:r>
      <w:r>
        <w:rPr>
          <w:rFonts w:ascii="Times New Roman" w:hAnsi="Times New Roman" w:cs="Times New Roman"/>
          <w:noProof/>
          <w:sz w:val="24"/>
          <w:szCs w:val="24"/>
        </w:rPr>
        <w:t xml:space="preserve"> EaSI, stakeholders indicate that administrative requirements under direct and indirect management are much simpler than under shared management. The challenges in direct and indirect management include the need for continuous improvement of the applicatio</w:t>
      </w:r>
      <w:r>
        <w:rPr>
          <w:rFonts w:ascii="Times New Roman" w:hAnsi="Times New Roman" w:cs="Times New Roman"/>
          <w:noProof/>
          <w:sz w:val="24"/>
          <w:szCs w:val="24"/>
        </w:rPr>
        <w:t>n and project selection and implementation procedures.</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As regards EGF, the extensive documentation required to apply for support contributes to a long approval process. The most difficult part to document is the reasoned analysis of the cause that triggere</w:t>
      </w:r>
      <w:r>
        <w:rPr>
          <w:rFonts w:ascii="Times New Roman" w:eastAsia="Times New Roman" w:hAnsi="Times New Roman" w:cs="Times New Roman"/>
          <w:noProof/>
          <w:sz w:val="24"/>
          <w:szCs w:val="24"/>
          <w:lang w:eastAsia="en-GB"/>
        </w:rPr>
        <w:t xml:space="preserve">d the restructuring event (globalisation or crisis). </w:t>
      </w:r>
      <w:r>
        <w:rPr>
          <w:rFonts w:ascii="Times New Roman" w:hAnsi="Times New Roman" w:cs="Times New Roman"/>
          <w:noProof/>
          <w:sz w:val="24"/>
          <w:szCs w:val="24"/>
        </w:rPr>
        <w:t xml:space="preserve">Member States submit applications to the Commission, which makes a proposal to the budgetary authority for the mobilisation of funds. The budgetary authority then takes the actual decision. </w:t>
      </w:r>
      <w:r>
        <w:rPr>
          <w:rFonts w:ascii="Times New Roman" w:eastAsia="Times New Roman" w:hAnsi="Times New Roman" w:cs="Times New Roman"/>
          <w:noProof/>
          <w:sz w:val="24"/>
          <w:szCs w:val="24"/>
        </w:rPr>
        <w:t>In</w:t>
      </w:r>
      <w:r>
        <w:rPr>
          <w:rFonts w:ascii="Times New Roman" w:hAnsi="Times New Roman" w:cs="Times New Roman"/>
          <w:noProof/>
          <w:sz w:val="24"/>
          <w:szCs w:val="24"/>
        </w:rPr>
        <w:t xml:space="preserve"> 2007-2013,</w:t>
      </w:r>
      <w:r>
        <w:rPr>
          <w:rFonts w:ascii="Times New Roman" w:hAnsi="Times New Roman" w:cs="Times New Roman"/>
          <w:noProof/>
          <w:sz w:val="24"/>
          <w:szCs w:val="24"/>
        </w:rPr>
        <w:t xml:space="preserve"> the process took around 300 days on average.</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Despite substantially shorter timing and stricter deadlines for the Commission and Member States in 2014-2020, which brought the average down to 200 days,</w:t>
      </w:r>
      <w:r>
        <w:rPr>
          <w:rStyle w:val="FootnoteReference"/>
          <w:rFonts w:ascii="Times New Roman" w:eastAsia="Times New Roman" w:hAnsi="Times New Roman" w:cs="Times New Roman"/>
          <w:noProof/>
          <w:sz w:val="24"/>
          <w:szCs w:val="24"/>
        </w:rPr>
        <w:footnoteReference w:id="91"/>
      </w:r>
      <w:r>
        <w:rPr>
          <w:rFonts w:ascii="Times New Roman" w:eastAsia="Times New Roman" w:hAnsi="Times New Roman" w:cs="Times New Roman"/>
          <w:noProof/>
          <w:sz w:val="24"/>
          <w:szCs w:val="24"/>
        </w:rPr>
        <w:t xml:space="preserve"> this is still regarded as far too long for an emergen</w:t>
      </w:r>
      <w:r>
        <w:rPr>
          <w:rFonts w:ascii="Times New Roman" w:eastAsia="Times New Roman" w:hAnsi="Times New Roman" w:cs="Times New Roman"/>
          <w:noProof/>
          <w:sz w:val="24"/>
          <w:szCs w:val="24"/>
        </w:rPr>
        <w:t xml:space="preserve">cy response instrument. The </w:t>
      </w:r>
      <w:hyperlink r:id="rId27" w:history="1">
        <w:r>
          <w:rPr>
            <w:rStyle w:val="Hyperlink"/>
            <w:rFonts w:ascii="Times New Roman" w:eastAsia="Times New Roman" w:hAnsi="Times New Roman" w:cs="Times New Roman"/>
            <w:i/>
            <w:noProof/>
            <w:color w:val="auto"/>
            <w:sz w:val="24"/>
            <w:szCs w:val="24"/>
          </w:rPr>
          <w:t>Reflection Paper on Harnessing Globalisation</w:t>
        </w:r>
      </w:hyperlink>
      <w:r>
        <w:rPr>
          <w:rFonts w:ascii="Times New Roman" w:eastAsia="Times New Roman" w:hAnsi="Times New Roman" w:cs="Times New Roman"/>
          <w:noProof/>
          <w:sz w:val="24"/>
          <w:szCs w:val="24"/>
        </w:rPr>
        <w:t xml:space="preserve"> argues that consideration should be given to making the instrument </w:t>
      </w:r>
      <w:r>
        <w:rPr>
          <w:rFonts w:ascii="Times New Roman" w:eastAsia="Times New Roman" w:hAnsi="Times New Roman" w:cs="Times New Roman"/>
          <w:i/>
          <w:noProof/>
          <w:sz w:val="24"/>
          <w:szCs w:val="24"/>
        </w:rPr>
        <w:t xml:space="preserve">more </w:t>
      </w:r>
      <w:r>
        <w:rPr>
          <w:rFonts w:ascii="Times New Roman" w:eastAsia="Times New Roman" w:hAnsi="Times New Roman" w:cs="Times New Roman"/>
          <w:i/>
          <w:noProof/>
          <w:sz w:val="24"/>
          <w:szCs w:val="24"/>
        </w:rPr>
        <w:t>operational</w:t>
      </w:r>
      <w:r>
        <w:rPr>
          <w:rFonts w:ascii="Times New Roman" w:eastAsia="Times New Roman" w:hAnsi="Times New Roman" w:cs="Times New Roman"/>
          <w:noProof/>
          <w:sz w:val="24"/>
          <w:szCs w:val="24"/>
        </w:rPr>
        <w:t xml:space="preserve">, in order to ensure a </w:t>
      </w:r>
      <w:r>
        <w:rPr>
          <w:rFonts w:ascii="Times New Roman" w:eastAsia="Times New Roman" w:hAnsi="Times New Roman" w:cs="Times New Roman"/>
          <w:i/>
          <w:noProof/>
          <w:sz w:val="24"/>
          <w:szCs w:val="24"/>
        </w:rPr>
        <w:t>faster deployment</w:t>
      </w:r>
      <w:r>
        <w:rPr>
          <w:rFonts w:ascii="Times New Roman" w:eastAsia="Times New Roman" w:hAnsi="Times New Roman" w:cs="Times New Roman"/>
          <w:noProof/>
          <w:sz w:val="24"/>
          <w:szCs w:val="24"/>
        </w:rPr>
        <w:t xml:space="preserve"> in response to a major restructuring event.</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2.1.2.2.</w:t>
      </w:r>
      <w:r>
        <w:rPr>
          <w:rFonts w:ascii="Times New Roman" w:hAnsi="Times New Roman" w:cs="Times New Roman"/>
          <w:b/>
          <w:noProof/>
          <w:sz w:val="24"/>
          <w:szCs w:val="24"/>
          <w:lang w:eastAsia="en-GB"/>
        </w:rPr>
        <w:t xml:space="preserve">4 Performance and results orientation </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funds</w:t>
      </w:r>
      <w:r>
        <w:rPr>
          <w:rFonts w:ascii="Times New Roman" w:hAnsi="Times New Roman" w:cs="Times New Roman"/>
          <w:noProof/>
          <w:sz w:val="24"/>
          <w:szCs w:val="24"/>
        </w:rPr>
        <w:t xml:space="preserve"> have made considerable steps to improve their focus on (measurable) results. Nevertheless, one has yet to see a full paradigm shift in this respect.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For the ESF, results-orientation improved in 2014-2020 through a clearer programme intervention logic, in</w:t>
      </w:r>
      <w:r>
        <w:rPr>
          <w:rFonts w:ascii="Times New Roman" w:eastAsia="Times New Roman" w:hAnsi="Times New Roman" w:cs="Times New Roman"/>
          <w:noProof/>
          <w:sz w:val="24"/>
          <w:szCs w:val="24"/>
          <w:lang w:eastAsia="en-GB"/>
        </w:rPr>
        <w:t>cluding specific objectives and quantified targets with baselines.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 addition, systematic impact evaluations have been required. Thanks to the continued promotion of counterfactual methods for quantifying net effects, MAs have made more use of such method</w:t>
      </w:r>
      <w:r>
        <w:rPr>
          <w:rFonts w:ascii="Times New Roman" w:eastAsia="Times New Roman" w:hAnsi="Times New Roman" w:cs="Times New Roman"/>
          <w:noProof/>
          <w:sz w:val="24"/>
          <w:szCs w:val="24"/>
          <w:lang w:eastAsia="en-GB"/>
        </w:rPr>
        <w:t xml:space="preserve">s, but this could still be increased. </w:t>
      </w:r>
      <w:r>
        <w:rPr>
          <w:rFonts w:ascii="Times New Roman" w:hAnsi="Times New Roman" w:cs="Times New Roman"/>
          <w:noProof/>
          <w:sz w:val="24"/>
          <w:szCs w:val="24"/>
        </w:rPr>
        <w:t>Payments are still largely based on financial inputs/costs rather than on results, as uptake of SCOs based on results</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has been slow</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Programme performance is still principally assessed on the basis of absorption of funds, and only secondarily on the basis of contribution to objectives and results achieved. This ‘input orientation’ is the direct consequence of having to meet financial im</w:t>
      </w:r>
      <w:r>
        <w:rPr>
          <w:rFonts w:ascii="Times New Roman" w:hAnsi="Times New Roman" w:cs="Times New Roman"/>
          <w:noProof/>
          <w:sz w:val="24"/>
          <w:szCs w:val="24"/>
        </w:rPr>
        <w:t xml:space="preserve">plementation target, which remains a precondition for the release of allocated budgets to the performance reserve. </w:t>
      </w:r>
      <w:r>
        <w:rPr>
          <w:rFonts w:ascii="Times New Roman" w:hAnsi="Times New Roman" w:cs="Times New Roman"/>
          <w:noProof/>
          <w:sz w:val="24"/>
          <w:szCs w:val="24"/>
          <w:lang w:val="en-US"/>
        </w:rPr>
        <w:t>The regulatory framework has led MAs to prioritise absorption and the approval of projects over achieving the best possible results in addres</w:t>
      </w:r>
      <w:r>
        <w:rPr>
          <w:rFonts w:ascii="Times New Roman" w:hAnsi="Times New Roman" w:cs="Times New Roman"/>
          <w:noProof/>
          <w:sz w:val="24"/>
          <w:szCs w:val="24"/>
          <w:lang w:val="en-US"/>
        </w:rPr>
        <w:t>sing European priorities.</w:t>
      </w:r>
      <w:r>
        <w:rPr>
          <w:rStyle w:val="FootnoteReference"/>
          <w:rFonts w:ascii="Times New Roman" w:hAnsi="Times New Roman" w:cs="Times New Roman"/>
          <w:noProof/>
          <w:sz w:val="24"/>
          <w:szCs w:val="24"/>
          <w:lang w:val="en-US"/>
        </w:rPr>
        <w:footnoteReference w:id="93"/>
      </w:r>
      <w:r>
        <w:rPr>
          <w:rFonts w:ascii="Times New Roman" w:hAnsi="Times New Roman" w:cs="Times New Roman"/>
          <w:noProof/>
          <w:sz w:val="24"/>
          <w:szCs w:val="24"/>
          <w:lang w:val="en-US"/>
        </w:rPr>
        <w:t xml:space="preserve"> This aspect has also been visible in the context of YEI implementation whereby the frontloading of funding and the political imperative to absorb YEI funding fast has often led to prioritising the easy-to-reach NEETs over groups </w:t>
      </w:r>
      <w:r>
        <w:rPr>
          <w:rFonts w:ascii="Times New Roman" w:hAnsi="Times New Roman" w:cs="Times New Roman"/>
          <w:noProof/>
          <w:sz w:val="24"/>
          <w:szCs w:val="24"/>
          <w:lang w:val="en-US"/>
        </w:rPr>
        <w:t>requiring more tailored policy interventions.</w:t>
      </w:r>
      <w:r>
        <w:rPr>
          <w:rStyle w:val="FootnoteReference"/>
          <w:rFonts w:ascii="Times New Roman" w:hAnsi="Times New Roman" w:cs="Times New Roman"/>
          <w:noProof/>
          <w:sz w:val="24"/>
          <w:szCs w:val="24"/>
          <w:lang w:val="en-US"/>
        </w:rPr>
        <w:footnoteReference w:id="94"/>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JAP approach was introduced for the 2014-2020</w:t>
      </w:r>
      <w:r>
        <w:rPr>
          <w:rStyle w:val="FootnoteReference"/>
          <w:rFonts w:ascii="Times New Roman" w:eastAsia="Times New Roman" w:hAnsi="Times New Roman" w:cs="Times New Roman"/>
          <w:noProof/>
          <w:sz w:val="24"/>
          <w:szCs w:val="24"/>
        </w:rPr>
        <w:footnoteReference w:id="95"/>
      </w:r>
      <w:r>
        <w:rPr>
          <w:rFonts w:ascii="Times New Roman" w:eastAsia="Times New Roman" w:hAnsi="Times New Roman" w:cs="Times New Roman"/>
          <w:noProof/>
          <w:sz w:val="24"/>
          <w:szCs w:val="24"/>
        </w:rPr>
        <w:t xml:space="preserve"> period. JAPs enable Member States to implement parts of one or more programmes using a results-oriented approach with a predefined goal. Focus on results is e</w:t>
      </w:r>
      <w:r>
        <w:rPr>
          <w:rFonts w:ascii="Times New Roman" w:eastAsia="Times New Roman" w:hAnsi="Times New Roman" w:cs="Times New Roman"/>
          <w:noProof/>
          <w:sz w:val="24"/>
          <w:szCs w:val="24"/>
        </w:rPr>
        <w:t>nsured through a coherent intervention logic and the reimbursement of expenditure through SCOs only when the defined output or result indicators are achieved. However, Member States and regions have in general chosen not to implement JAPs.</w:t>
      </w:r>
      <w:r>
        <w:rPr>
          <w:rStyle w:val="FootnoteReference"/>
          <w:rFonts w:ascii="Times New Roman" w:eastAsia="Times New Roman" w:hAnsi="Times New Roman" w:cs="Times New Roman"/>
          <w:noProof/>
          <w:sz w:val="24"/>
          <w:szCs w:val="24"/>
        </w:rPr>
        <w:footnoteReference w:id="96"/>
      </w:r>
      <w:r>
        <w:rPr>
          <w:rFonts w:ascii="Times New Roman" w:eastAsia="Times New Roman" w:hAnsi="Times New Roman" w:cs="Times New Roman"/>
          <w:noProof/>
          <w:sz w:val="24"/>
          <w:szCs w:val="24"/>
        </w:rPr>
        <w:t xml:space="preserve"> The reasons for</w:t>
      </w:r>
      <w:r>
        <w:rPr>
          <w:rFonts w:ascii="Times New Roman" w:eastAsia="Times New Roman" w:hAnsi="Times New Roman" w:cs="Times New Roman"/>
          <w:noProof/>
          <w:sz w:val="24"/>
          <w:szCs w:val="24"/>
        </w:rPr>
        <w:t xml:space="preserve"> low uptake include: concerns over introducing a new layer of programming; risk aversion; an overly complicated adoption procedure; the difficulty of determining output and results indicators to which to link disbursements based on unit costs or lump sums;</w:t>
      </w:r>
      <w:r>
        <w:rPr>
          <w:rFonts w:ascii="Times New Roman" w:eastAsia="Times New Roman" w:hAnsi="Times New Roman" w:cs="Times New Roman"/>
          <w:noProof/>
          <w:sz w:val="24"/>
          <w:szCs w:val="24"/>
        </w:rPr>
        <w:t xml:space="preserve"> and the fact that Member States see the option of using Article 14(1) of the ESF Regulation</w:t>
      </w:r>
      <w:r>
        <w:rPr>
          <w:rStyle w:val="FootnoteReference"/>
          <w:rFonts w:ascii="Times New Roman" w:eastAsia="Times New Roman" w:hAnsi="Times New Roman" w:cs="Times New Roman"/>
          <w:noProof/>
          <w:sz w:val="24"/>
          <w:szCs w:val="24"/>
        </w:rPr>
        <w:footnoteReference w:id="97"/>
      </w:r>
      <w:r>
        <w:rPr>
          <w:rFonts w:ascii="Times New Roman" w:eastAsia="Times New Roman" w:hAnsi="Times New Roman" w:cs="Times New Roman"/>
          <w:noProof/>
          <w:sz w:val="24"/>
          <w:szCs w:val="24"/>
        </w:rPr>
        <w:t xml:space="preserve"> as more efficient for setting simplified costs linked to a single operation.  </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lang w:eastAsia="en-GB"/>
        </w:rPr>
        <w:t xml:space="preserve">For FEAD, proportionate monitoring </w:t>
      </w:r>
      <w:r>
        <w:rPr>
          <w:rFonts w:ascii="Times New Roman" w:hAnsi="Times New Roman"/>
          <w:noProof/>
          <w:sz w:val="24"/>
          <w:szCs w:val="24"/>
        </w:rPr>
        <w:t xml:space="preserve">and </w:t>
      </w:r>
      <w:r>
        <w:rPr>
          <w:rFonts w:ascii="Times New Roman" w:hAnsi="Times New Roman"/>
          <w:noProof/>
          <w:sz w:val="24"/>
          <w:szCs w:val="24"/>
          <w:lang w:eastAsia="en-GB"/>
        </w:rPr>
        <w:t>evaluation have been put in place in line wi</w:t>
      </w:r>
      <w:r>
        <w:rPr>
          <w:rFonts w:ascii="Times New Roman" w:hAnsi="Times New Roman"/>
          <w:noProof/>
          <w:sz w:val="24"/>
          <w:szCs w:val="24"/>
          <w:lang w:eastAsia="en-GB"/>
        </w:rPr>
        <w:t>th the requirement to respect the dignity of the most deprived. For the food support / basic material assistance strand this has resulted in the absence of fixed baselines and targets in the programme. For this strand, it seems that some common output indi</w:t>
      </w:r>
      <w:r>
        <w:rPr>
          <w:rFonts w:ascii="Times New Roman" w:hAnsi="Times New Roman"/>
          <w:noProof/>
          <w:sz w:val="24"/>
          <w:szCs w:val="24"/>
          <w:lang w:eastAsia="en-GB"/>
        </w:rPr>
        <w:t>cators, notably on the type of food, are not relevant for the budget authorities. The potential of different types of support to address specific target groups depends on: the thorough identification of the group's needs; the capacity of local delivery org</w:t>
      </w:r>
      <w:r>
        <w:rPr>
          <w:rFonts w:ascii="Times New Roman" w:hAnsi="Times New Roman"/>
          <w:noProof/>
          <w:sz w:val="24"/>
          <w:szCs w:val="24"/>
          <w:lang w:eastAsia="en-GB"/>
        </w:rPr>
        <w:t>anisations; and the cooperation/networking between stakeholders involved in the distribution and delivery of assistance. The intangible results of FEAD (improved cooperation, partnership and networking, empowerment, awareness-raising, capacity building) ar</w:t>
      </w:r>
      <w:r>
        <w:rPr>
          <w:rFonts w:ascii="Times New Roman" w:hAnsi="Times New Roman"/>
          <w:noProof/>
          <w:sz w:val="24"/>
          <w:szCs w:val="24"/>
          <w:lang w:eastAsia="en-GB"/>
        </w:rPr>
        <w:t xml:space="preserve">e also important and highly valued by programme stakeholders. </w:t>
      </w:r>
    </w:p>
    <w:p w:rsidR="003A1527" w:rsidRDefault="00742A12">
      <w:pPr>
        <w:spacing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rPr>
        <w:t>For EaSI, a comprehensive performance framework has been successfully set up at EU level, with regular monitoring of the programme implementation and evaluations. T</w:t>
      </w:r>
      <w:r>
        <w:rPr>
          <w:rFonts w:ascii="Times New Roman" w:hAnsi="Times New Roman" w:cs="Times New Roman"/>
          <w:noProof/>
          <w:sz w:val="24"/>
          <w:szCs w:val="24"/>
        </w:rPr>
        <w:t>he monitoring system consists</w:t>
      </w:r>
      <w:r>
        <w:rPr>
          <w:rFonts w:ascii="Times New Roman" w:hAnsi="Times New Roman" w:cs="Times New Roman"/>
          <w:noProof/>
          <w:sz w:val="24"/>
          <w:szCs w:val="24"/>
        </w:rPr>
        <w:t xml:space="preserve"> of a logical framework explaining how EaSI is expected to achieve results and impacts by laying out in detail the whole process from inputs to outputs, and outcomes. It also involves a set of key performance indicators, a system for gathering and storing </w:t>
      </w:r>
      <w:r>
        <w:rPr>
          <w:rFonts w:ascii="Times New Roman" w:hAnsi="Times New Roman" w:cs="Times New Roman"/>
          <w:noProof/>
          <w:sz w:val="24"/>
          <w:szCs w:val="24"/>
        </w:rPr>
        <w:t>information and a methodology for analysing and disseminating information about EaSI-funded projects and organisations. Provisions for the programme mid-term evaluation and ex-post evaluation are also planned in the EaSI Regulation.</w:t>
      </w:r>
    </w:p>
    <w:p w:rsidR="003A1527" w:rsidRDefault="00742A12">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the EGF, t</w:t>
      </w:r>
      <w:r>
        <w:rPr>
          <w:rFonts w:ascii="Times New Roman" w:hAnsi="Times New Roman" w:cs="Times New Roman"/>
          <w:noProof/>
          <w:sz w:val="24"/>
          <w:szCs w:val="24"/>
        </w:rPr>
        <w:t>he curren</w:t>
      </w:r>
      <w:r>
        <w:rPr>
          <w:rFonts w:ascii="Times New Roman" w:hAnsi="Times New Roman" w:cs="Times New Roman"/>
          <w:noProof/>
          <w:sz w:val="24"/>
          <w:szCs w:val="24"/>
        </w:rPr>
        <w:t>t monitoring and evaluation arrangements are basic. In the final report, Member States have to state the type of action and main outcomes, the characteristics of the targeted beneficiaries and their employment status. T</w:t>
      </w:r>
      <w:r>
        <w:rPr>
          <w:rFonts w:ascii="Times New Roman" w:hAnsi="Times New Roman" w:cs="Times New Roman"/>
          <w:noProof/>
          <w:sz w:val="24"/>
          <w:szCs w:val="24"/>
          <w:lang w:val="en-US"/>
        </w:rPr>
        <w:t xml:space="preserve">here are no common indicators to </w:t>
      </w:r>
      <w:r>
        <w:rPr>
          <w:rFonts w:ascii="Times New Roman" w:hAnsi="Times New Roman" w:cs="Times New Roman"/>
          <w:noProof/>
          <w:sz w:val="24"/>
          <w:szCs w:val="24"/>
          <w:lang w:val="en-US"/>
        </w:rPr>
        <w:t>measure output and results</w:t>
      </w:r>
      <w:r>
        <w:rPr>
          <w:rFonts w:ascii="Times New Roman" w:hAnsi="Times New Roman" w:cs="Times New Roman"/>
          <w:noProof/>
          <w:sz w:val="24"/>
          <w:szCs w:val="24"/>
        </w:rPr>
        <w:t>. Similarly</w:t>
      </w:r>
      <w:r>
        <w:rPr>
          <w:rFonts w:ascii="Times New Roman" w:hAnsi="Times New Roman" w:cs="Times New Roman"/>
          <w:noProof/>
          <w:sz w:val="24"/>
          <w:szCs w:val="24"/>
          <w:lang w:val="en-US"/>
        </w:rPr>
        <w:t xml:space="preserve">, no targets are set at the time of the application. </w:t>
      </w:r>
      <w:r>
        <w:rPr>
          <w:rFonts w:ascii="Times New Roman" w:hAnsi="Times New Roman" w:cs="Times New Roman"/>
          <w:noProof/>
          <w:sz w:val="24"/>
          <w:szCs w:val="24"/>
        </w:rPr>
        <w:t>Therefore</w:t>
      </w:r>
      <w:r>
        <w:rPr>
          <w:rFonts w:ascii="Times New Roman" w:hAnsi="Times New Roman" w:cs="Times New Roman"/>
          <w:noProof/>
          <w:sz w:val="24"/>
          <w:szCs w:val="24"/>
          <w:lang w:val="en-US"/>
        </w:rPr>
        <w:t xml:space="preserve"> performance cannot be assessed against planned outcomes.</w:t>
      </w:r>
    </w:p>
    <w:p w:rsidR="003A1527" w:rsidRDefault="00742A12">
      <w:pPr>
        <w:pStyle w:val="Heading2"/>
        <w:tabs>
          <w:tab w:val="num" w:pos="360"/>
        </w:tabs>
        <w:jc w:val="both"/>
        <w:rPr>
          <w:rFonts w:ascii="Times New Roman" w:hAnsi="Times New Roman" w:cs="Times New Roman"/>
          <w:b/>
          <w:noProof/>
          <w:color w:val="auto"/>
          <w:sz w:val="24"/>
          <w:szCs w:val="24"/>
        </w:rPr>
      </w:pPr>
      <w:bookmarkStart w:id="47" w:name="_Toc509831770"/>
      <w:bookmarkStart w:id="48" w:name="_Toc509833362"/>
      <w:bookmarkStart w:id="49" w:name="_Toc509843331"/>
      <w:bookmarkStart w:id="50" w:name="_Toc509848048"/>
      <w:bookmarkStart w:id="51" w:name="_Toc514401935"/>
      <w:r>
        <w:rPr>
          <w:rFonts w:ascii="Times New Roman" w:hAnsi="Times New Roman" w:cs="Times New Roman"/>
          <w:b/>
          <w:noProof/>
          <w:color w:val="auto"/>
          <w:sz w:val="24"/>
          <w:szCs w:val="24"/>
        </w:rPr>
        <w:t>2.2 Objectives of the programmes under the next MFF</w:t>
      </w:r>
      <w:bookmarkEnd w:id="47"/>
      <w:bookmarkEnd w:id="48"/>
      <w:bookmarkEnd w:id="49"/>
      <w:bookmarkEnd w:id="50"/>
      <w:bookmarkEnd w:id="51"/>
    </w:p>
    <w:p w:rsidR="003A1527" w:rsidRDefault="003A1527">
      <w:pPr>
        <w:spacing w:line="240" w:lineRule="auto"/>
        <w:jc w:val="both"/>
        <w:rPr>
          <w:rFonts w:ascii="Times New Roman" w:eastAsia="Times New Roman" w:hAnsi="Times New Roman" w:cs="Times New Roman"/>
          <w:noProof/>
          <w:sz w:val="24"/>
          <w:szCs w:val="24"/>
          <w:lang w:eastAsia="en-GB"/>
        </w:rPr>
      </w:pP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2.2.1 Policy / general objective (for all fund</w:t>
      </w:r>
      <w:r>
        <w:rPr>
          <w:rFonts w:ascii="Times New Roman" w:eastAsia="Times New Roman" w:hAnsi="Times New Roman" w:cs="Times New Roman"/>
          <w:b/>
          <w:noProof/>
          <w:sz w:val="24"/>
          <w:szCs w:val="24"/>
          <w:lang w:eastAsia="en-GB"/>
        </w:rPr>
        <w:t>s)</w:t>
      </w:r>
    </w:p>
    <w:p w:rsidR="003A1527" w:rsidRDefault="00742A12">
      <w:pPr>
        <w:spacing w:line="240" w:lineRule="auto"/>
        <w:jc w:val="both"/>
        <w:rPr>
          <w:rFonts w:ascii="Times New Roman" w:eastAsia="Times New Roman" w:hAnsi="Times New Roman"/>
          <w:noProof/>
          <w:sz w:val="24"/>
          <w:lang w:eastAsia="en-GB"/>
        </w:rPr>
      </w:pPr>
      <w:r>
        <w:rPr>
          <w:rFonts w:ascii="Times New Roman" w:eastAsia="Times New Roman" w:hAnsi="Times New Roman" w:cs="Times New Roman"/>
          <w:noProof/>
          <w:sz w:val="24"/>
          <w:szCs w:val="24"/>
          <w:lang w:eastAsia="en-GB"/>
        </w:rPr>
        <w:t xml:space="preserve">In light of the challenges outlined above, the </w:t>
      </w:r>
      <w:r>
        <w:rPr>
          <w:rFonts w:ascii="Times New Roman" w:eastAsia="Times New Roman" w:hAnsi="Times New Roman"/>
          <w:noProof/>
          <w:sz w:val="24"/>
          <w:lang w:eastAsia="en-GB"/>
        </w:rPr>
        <w:t>policy objective</w:t>
      </w:r>
      <w:r>
        <w:rPr>
          <w:rStyle w:val="FootnoteReference"/>
          <w:rFonts w:ascii="Times New Roman" w:eastAsia="Times New Roman" w:hAnsi="Times New Roman" w:cs="Times New Roman"/>
          <w:b/>
          <w:noProof/>
          <w:sz w:val="24"/>
          <w:szCs w:val="24"/>
          <w:lang w:eastAsia="en-GB"/>
        </w:rPr>
        <w:footnoteReference w:id="98"/>
      </w:r>
      <w:r>
        <w:rPr>
          <w:rFonts w:ascii="Times New Roman" w:eastAsia="Times New Roman" w:hAnsi="Times New Roman" w:cs="Times New Roman"/>
          <w:noProof/>
          <w:sz w:val="24"/>
          <w:szCs w:val="24"/>
          <w:lang w:eastAsia="en-GB"/>
        </w:rPr>
        <w:t xml:space="preserve"> of the proposal is to contribute to </w:t>
      </w:r>
      <w:r>
        <w:rPr>
          <w:rFonts w:ascii="Times New Roman" w:eastAsia="Times New Roman" w:hAnsi="Times New Roman"/>
          <w:b/>
          <w:noProof/>
          <w:sz w:val="24"/>
          <w:lang w:eastAsia="en-GB"/>
        </w:rPr>
        <w:t>a more Social Europe</w:t>
      </w:r>
      <w:r>
        <w:rPr>
          <w:rFonts w:ascii="Times New Roman" w:eastAsia="Times New Roman" w:hAnsi="Times New Roman" w:cs="Times New Roman"/>
          <w:b/>
          <w:noProof/>
          <w:sz w:val="24"/>
          <w:szCs w:val="24"/>
          <w:lang w:eastAsia="en-GB"/>
        </w:rPr>
        <w:t>,</w:t>
      </w:r>
      <w:r>
        <w:rPr>
          <w:rFonts w:ascii="Times New Roman" w:eastAsia="Times New Roman" w:hAnsi="Times New Roman"/>
          <w:b/>
          <w:noProof/>
          <w:sz w:val="24"/>
          <w:lang w:eastAsia="en-GB"/>
        </w:rPr>
        <w:t xml:space="preserve"> implementing the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European Pillar of Social Rights.</w:t>
      </w:r>
      <w:r>
        <w:rPr>
          <w:rStyle w:val="FootnoteReference"/>
          <w:rFonts w:ascii="Times New Roman" w:eastAsia="Times New Roman" w:hAnsi="Times New Roman" w:cs="Times New Roman"/>
          <w:b/>
          <w:noProof/>
          <w:sz w:val="24"/>
          <w:szCs w:val="24"/>
          <w:lang w:eastAsia="en-GB"/>
        </w:rPr>
        <w:footnoteReference w:id="99"/>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The initiative therefore makes the link between the missions of the ESF+ and t</w:t>
      </w:r>
      <w:r>
        <w:rPr>
          <w:rFonts w:ascii="Times New Roman" w:eastAsia="Times New Roman" w:hAnsi="Times New Roman" w:cs="Times New Roman"/>
          <w:noProof/>
          <w:sz w:val="24"/>
          <w:szCs w:val="24"/>
          <w:lang w:eastAsia="en-GB"/>
        </w:rPr>
        <w:t>he clusters and principles of the Pillar by contributing to:  equal opportunities and access to the labour market (including quality and inclusive education and training systems), fair working conditions and social protection and inclusion. It will also co</w:t>
      </w:r>
      <w:r>
        <w:rPr>
          <w:rFonts w:ascii="Times New Roman" w:eastAsia="Times New Roman" w:hAnsi="Times New Roman" w:cs="Times New Roman"/>
          <w:noProof/>
          <w:sz w:val="24"/>
          <w:szCs w:val="24"/>
          <w:lang w:eastAsia="en-GB"/>
        </w:rPr>
        <w:t>ntribute to the employment guidelines and to the overall objective of smart, inclusive and sustainable growth beyond 2020 (UN’s sustainable development goals)</w:t>
      </w:r>
      <w:r>
        <w:rPr>
          <w:rStyle w:val="FootnoteReference"/>
          <w:rFonts w:ascii="Times New Roman" w:eastAsia="Times New Roman" w:hAnsi="Times New Roman" w:cs="Times New Roman"/>
          <w:noProof/>
          <w:sz w:val="24"/>
          <w:szCs w:val="24"/>
          <w:lang w:eastAsia="en-GB"/>
        </w:rPr>
        <w:footnoteReference w:id="100"/>
      </w:r>
      <w:r>
        <w:rPr>
          <w:rFonts w:ascii="Times New Roman" w:eastAsia="Times New Roman" w:hAnsi="Times New Roman" w:cs="Times New Roman"/>
          <w:noProof/>
          <w:sz w:val="24"/>
          <w:szCs w:val="24"/>
          <w:lang w:eastAsia="en-GB"/>
        </w:rPr>
        <w:t xml:space="preserve"> and upward convergence</w:t>
      </w:r>
      <w:r>
        <w:rPr>
          <w:rFonts w:ascii="Times New Roman" w:eastAsia="Times New Roman" w:hAnsi="Times New Roman"/>
          <w:noProof/>
          <w:sz w:val="24"/>
          <w:lang w:eastAsia="en-GB"/>
        </w:rPr>
        <w:t>.</w:t>
      </w:r>
      <w:r>
        <w:rPr>
          <w:rFonts w:ascii="Times New Roman" w:hAnsi="Times New Roman" w:cs="Times New Roman"/>
          <w:noProof/>
          <w:sz w:val="24"/>
          <w:szCs w:val="24"/>
          <w:lang w:eastAsia="en-GB"/>
        </w:rPr>
        <w:t xml:space="preserve"> </w:t>
      </w:r>
      <w:r>
        <w:rPr>
          <w:rFonts w:ascii="Times New Roman" w:eastAsia="Times New Roman" w:hAnsi="Times New Roman"/>
          <w:noProof/>
          <w:sz w:val="24"/>
          <w:lang w:eastAsia="en-GB"/>
        </w:rPr>
        <w:t>The initiative will</w:t>
      </w:r>
      <w:r>
        <w:rPr>
          <w:rFonts w:ascii="Times New Roman" w:eastAsia="Times New Roman" w:hAnsi="Times New Roman" w:cs="Times New Roman"/>
          <w:noProof/>
          <w:sz w:val="24"/>
          <w:szCs w:val="24"/>
          <w:lang w:eastAsia="en-GB"/>
        </w:rPr>
        <w:t xml:space="preserve"> thereby contribute to </w:t>
      </w:r>
      <w:r>
        <w:rPr>
          <w:rFonts w:ascii="Times New Roman" w:eastAsia="Times New Roman" w:hAnsi="Times New Roman"/>
          <w:noProof/>
          <w:sz w:val="24"/>
          <w:lang w:eastAsia="en-GB"/>
        </w:rPr>
        <w:t xml:space="preserve">improving employment opportunities, </w:t>
      </w:r>
      <w:r>
        <w:rPr>
          <w:rFonts w:ascii="Times New Roman" w:eastAsia="Times New Roman" w:hAnsi="Times New Roman" w:cs="Times New Roman"/>
          <w:noProof/>
          <w:sz w:val="24"/>
          <w:szCs w:val="24"/>
          <w:lang w:eastAsia="en-GB"/>
        </w:rPr>
        <w:t>raising the standard of living and increasing labour mobility and economic, social and territorial cohesion as set out in the Treaty on the Functioning of the European Union (TFEU)</w:t>
      </w:r>
      <w:r>
        <w:rPr>
          <w:rStyle w:val="FootnoteReference"/>
          <w:rFonts w:ascii="Times New Roman" w:eastAsia="Times New Roman" w:hAnsi="Times New Roman" w:cs="Times New Roman"/>
          <w:noProof/>
          <w:sz w:val="24"/>
          <w:szCs w:val="24"/>
          <w:lang w:eastAsia="en-GB"/>
        </w:rPr>
        <w:footnoteReference w:id="101"/>
      </w:r>
      <w:r>
        <w:rPr>
          <w:rFonts w:ascii="Times New Roman" w:eastAsia="Times New Roman" w:hAnsi="Times New Roman" w:cs="Times New Roman"/>
          <w:noProof/>
          <w:sz w:val="24"/>
          <w:szCs w:val="24"/>
          <w:lang w:eastAsia="en-GB"/>
        </w:rPr>
        <w:t xml:space="preserve"> and the EU Charter of Fundamental Righ</w:t>
      </w:r>
      <w:r>
        <w:rPr>
          <w:rFonts w:ascii="Times New Roman" w:eastAsia="Times New Roman" w:hAnsi="Times New Roman" w:cs="Times New Roman"/>
          <w:noProof/>
          <w:sz w:val="24"/>
          <w:szCs w:val="24"/>
          <w:lang w:eastAsia="en-GB"/>
        </w:rPr>
        <w:t>ts</w:t>
      </w:r>
      <w:r>
        <w:rPr>
          <w:rFonts w:eastAsia="Times New Roman"/>
          <w:noProof/>
          <w:lang w:eastAsia="en-GB"/>
        </w:rPr>
        <w:t xml:space="preserve">. </w:t>
      </w:r>
      <w:r>
        <w:rPr>
          <w:rFonts w:ascii="Times New Roman" w:hAnsi="Times New Roman" w:cs="Times New Roman"/>
          <w:noProof/>
          <w:sz w:val="24"/>
          <w:szCs w:val="24"/>
          <w:lang w:eastAsia="en-GB"/>
        </w:rPr>
        <w:t xml:space="preserve">Finally, the initiative aims at </w:t>
      </w:r>
      <w:r>
        <w:rPr>
          <w:rFonts w:ascii="Times New Roman" w:eastAsia="Times New Roman" w:hAnsi="Times New Roman" w:cs="Times New Roman"/>
          <w:noProof/>
          <w:sz w:val="24"/>
          <w:szCs w:val="24"/>
          <w:lang w:eastAsia="en-GB"/>
        </w:rPr>
        <w:t>enabling actions that are relevant, efficient, effective and coherent and brings maximum added value in delivering the objective of a more Social Europe</w:t>
      </w:r>
      <w:r>
        <w:rPr>
          <w:rFonts w:ascii="Times New Roman" w:eastAsia="Times New Roman" w:hAnsi="Times New Roman"/>
          <w:noProof/>
          <w:sz w:val="24"/>
          <w:lang w:eastAsia="en-GB"/>
        </w:rPr>
        <w:t xml:space="preserve">. </w:t>
      </w:r>
    </w:p>
    <w:p w:rsidR="003A1527" w:rsidRDefault="003A1527">
      <w:pPr>
        <w:spacing w:line="240" w:lineRule="auto"/>
        <w:jc w:val="both"/>
        <w:rPr>
          <w:rFonts w:ascii="Times New Roman" w:eastAsia="Times New Roman" w:hAnsi="Times New Roman" w:cs="Times New Roman"/>
          <w:noProof/>
          <w:sz w:val="24"/>
          <w:szCs w:val="24"/>
          <w:lang w:eastAsia="en-GB"/>
        </w:rPr>
      </w:pPr>
    </w:p>
    <w:p w:rsidR="003A1527" w:rsidRDefault="00742A12">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2.2.2 Specific objectives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above policy objective is transla</w:t>
      </w:r>
      <w:r>
        <w:rPr>
          <w:rFonts w:ascii="Times New Roman" w:hAnsi="Times New Roman" w:cs="Times New Roman"/>
          <w:noProof/>
          <w:sz w:val="24"/>
          <w:szCs w:val="24"/>
        </w:rPr>
        <w:t xml:space="preserve">ted into specific objectives, including by means of structural reforms and administrative capacity building. These objectives are based on the challenges identified in section 2.1.2: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A1527" w:rsidRDefault="00742A12">
      <w:pPr>
        <w:pStyle w:val="ListParagraph"/>
        <w:spacing w:line="240" w:lineRule="auto"/>
        <w:jc w:val="both"/>
        <w:rPr>
          <w:rFonts w:ascii="Times New Roman" w:hAnsi="Times New Roman" w:cs="Times New Roman"/>
          <w:noProof/>
          <w:sz w:val="24"/>
          <w:szCs w:val="24"/>
        </w:rPr>
      </w:pPr>
      <w:r>
        <w:rPr>
          <w:rFonts w:ascii="Times New Roman" w:hAnsi="Times New Roman"/>
          <w:b/>
          <w:noProof/>
          <w:sz w:val="24"/>
        </w:rPr>
        <w:t xml:space="preserve">1. </w:t>
      </w:r>
      <w:r>
        <w:rPr>
          <w:rFonts w:ascii="Times New Roman" w:hAnsi="Times New Roman" w:cs="Times New Roman"/>
          <w:b/>
          <w:noProof/>
          <w:sz w:val="24"/>
          <w:szCs w:val="24"/>
        </w:rPr>
        <w:t>investing in education, training and lifelong learning</w:t>
      </w:r>
      <w:r>
        <w:rPr>
          <w:rFonts w:ascii="Times New Roman" w:hAnsi="Times New Roman" w:cs="Times New Roman"/>
          <w:noProof/>
          <w:sz w:val="24"/>
          <w:szCs w:val="24"/>
        </w:rPr>
        <w:t>: enhancing e</w:t>
      </w:r>
      <w:r>
        <w:rPr>
          <w:rFonts w:ascii="Times New Roman" w:hAnsi="Times New Roman" w:cs="Times New Roman"/>
          <w:noProof/>
          <w:sz w:val="24"/>
          <w:szCs w:val="24"/>
        </w:rPr>
        <w:t>qual access to all levels of high quality and inclusive education and training systems, tackling early school leaving, increasing educational attainment and skills levels, facilitating transitions from education and training to work in particular through v</w:t>
      </w:r>
      <w:r>
        <w:rPr>
          <w:rFonts w:ascii="Times New Roman" w:hAnsi="Times New Roman" w:cs="Times New Roman"/>
          <w:noProof/>
          <w:sz w:val="24"/>
          <w:szCs w:val="24"/>
        </w:rPr>
        <w:t>ocational education and training (VET) and flexible up- and re-skilling opportunities. It also includes increasing the labour market relevance of education, training and lifelong learning through anticipation of skills needs, work-based learning, transpare</w:t>
      </w:r>
      <w:r>
        <w:rPr>
          <w:rFonts w:ascii="Times New Roman" w:hAnsi="Times New Roman" w:cs="Times New Roman"/>
          <w:noProof/>
          <w:sz w:val="24"/>
          <w:szCs w:val="24"/>
        </w:rPr>
        <w:t>ncy and recognition of qualifications, formal and non-formal learning and investments in basic skills and in particular basic digital skills.</w:t>
      </w:r>
    </w:p>
    <w:p w:rsidR="003A1527" w:rsidRDefault="003A1527">
      <w:pPr>
        <w:pStyle w:val="ListParagraph"/>
        <w:spacing w:line="240" w:lineRule="auto"/>
        <w:jc w:val="both"/>
        <w:rPr>
          <w:rFonts w:ascii="Times New Roman" w:hAnsi="Times New Roman" w:cs="Times New Roman"/>
          <w:noProof/>
          <w:sz w:val="24"/>
          <w:szCs w:val="24"/>
        </w:rPr>
      </w:pPr>
    </w:p>
    <w:p w:rsidR="003A1527" w:rsidRDefault="00742A12">
      <w:pPr>
        <w:pStyle w:val="ListParagraph"/>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2. enhancing the effectiveness of labour markets and promoting equal access to quality employment, </w:t>
      </w:r>
      <w:r>
        <w:rPr>
          <w:rFonts w:ascii="Times New Roman" w:hAnsi="Times New Roman" w:cs="Times New Roman"/>
          <w:noProof/>
          <w:sz w:val="24"/>
          <w:szCs w:val="24"/>
        </w:rPr>
        <w:t xml:space="preserve">in line with </w:t>
      </w:r>
      <w:r>
        <w:rPr>
          <w:rFonts w:ascii="Times New Roman" w:hAnsi="Times New Roman" w:cs="Times New Roman"/>
          <w:noProof/>
          <w:sz w:val="24"/>
          <w:szCs w:val="24"/>
        </w:rPr>
        <w:t>the employment guidelines of the EU:</w:t>
      </w:r>
      <w:r>
        <w:rPr>
          <w:rFonts w:ascii="Times New Roman" w:hAnsi="Times New Roman" w:cs="Times New Roman"/>
          <w:b/>
          <w:noProof/>
          <w:sz w:val="24"/>
          <w:szCs w:val="24"/>
        </w:rPr>
        <w:t xml:space="preserve"> </w:t>
      </w:r>
      <w:r>
        <w:rPr>
          <w:rFonts w:ascii="Times New Roman" w:hAnsi="Times New Roman" w:cs="Times New Roman"/>
          <w:noProof/>
          <w:sz w:val="24"/>
          <w:szCs w:val="24"/>
        </w:rPr>
        <w:t>in particular by improving access to employment and labour mobility and active labour market measures, ensuring fair working conditions, modernising labour market institutions including support for public employment ser</w:t>
      </w:r>
      <w:r>
        <w:rPr>
          <w:rFonts w:ascii="Times New Roman" w:hAnsi="Times New Roman" w:cs="Times New Roman"/>
          <w:noProof/>
          <w:sz w:val="24"/>
          <w:szCs w:val="24"/>
        </w:rPr>
        <w:t>vices (PES), introducing new forms of work,  improving work-life balance and reducing gender gaps in employment, addressing health risks including those relating to changing forms of work and helping to increase the capacity of social partners to promote s</w:t>
      </w:r>
      <w:r>
        <w:rPr>
          <w:rFonts w:ascii="Times New Roman" w:hAnsi="Times New Roman" w:cs="Times New Roman"/>
          <w:noProof/>
          <w:sz w:val="24"/>
          <w:szCs w:val="24"/>
        </w:rPr>
        <w:t xml:space="preserve">ocial dialogue.  </w:t>
      </w:r>
    </w:p>
    <w:p w:rsidR="003A1527" w:rsidRDefault="003A1527">
      <w:pPr>
        <w:pStyle w:val="ListParagraph"/>
        <w:spacing w:line="240" w:lineRule="auto"/>
        <w:ind w:left="360"/>
        <w:jc w:val="both"/>
        <w:rPr>
          <w:rFonts w:ascii="Times New Roman" w:hAnsi="Times New Roman" w:cs="Times New Roman"/>
          <w:noProof/>
          <w:sz w:val="24"/>
          <w:szCs w:val="24"/>
        </w:rPr>
      </w:pPr>
    </w:p>
    <w:p w:rsidR="003A1527" w:rsidRDefault="00742A12">
      <w:pPr>
        <w:pStyle w:val="ListParagraph"/>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3. fostering social inclusion and tackling poverty</w:t>
      </w:r>
      <w:r>
        <w:rPr>
          <w:rFonts w:ascii="Times New Roman" w:hAnsi="Times New Roman" w:cs="Times New Roman"/>
          <w:noProof/>
          <w:sz w:val="24"/>
          <w:szCs w:val="24"/>
        </w:rPr>
        <w:t>: this includes promoting active inclusion and equal opportunities, especially for underrepresented groups, ensuring social protection including through accessible and good quality social</w:t>
      </w:r>
      <w:r>
        <w:rPr>
          <w:rFonts w:ascii="Times New Roman" w:hAnsi="Times New Roman" w:cs="Times New Roman"/>
          <w:noProof/>
          <w:sz w:val="24"/>
          <w:szCs w:val="24"/>
        </w:rPr>
        <w:t>, health and care services and systems, addressing health inequalities, promoting the rights of the child,  the social integration of people at risk of, or in, poverty and social exclusion and providing basic material assistance (including food) to the mos</w:t>
      </w:r>
      <w:r>
        <w:rPr>
          <w:rFonts w:ascii="Times New Roman" w:hAnsi="Times New Roman" w:cs="Times New Roman"/>
          <w:noProof/>
          <w:sz w:val="24"/>
          <w:szCs w:val="24"/>
        </w:rPr>
        <w:t xml:space="preserve">t deprived. This also involves supporting the long-term integration of migrants,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through social inclusion measures and basic material assistance.</w:t>
      </w:r>
    </w:p>
    <w:p w:rsidR="003A1527" w:rsidRDefault="003A1527">
      <w:pPr>
        <w:pStyle w:val="ListParagraph"/>
        <w:spacing w:line="240" w:lineRule="auto"/>
        <w:jc w:val="both"/>
        <w:rPr>
          <w:noProof/>
        </w:rPr>
      </w:pPr>
    </w:p>
    <w:p w:rsidR="003A1527" w:rsidRDefault="00742A12">
      <w:pPr>
        <w:pStyle w:val="ListParagraph"/>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4. demonstrating solidarity with displaced workers and self-employed persons whose activity has ce</w:t>
      </w:r>
      <w:r>
        <w:rPr>
          <w:rFonts w:ascii="Times New Roman" w:hAnsi="Times New Roman" w:cs="Times New Roman"/>
          <w:b/>
          <w:noProof/>
          <w:sz w:val="24"/>
          <w:szCs w:val="24"/>
        </w:rPr>
        <w:t xml:space="preserve">ased in the course of unexpected </w:t>
      </w:r>
      <w:r>
        <w:rPr>
          <w:rFonts w:ascii="Times New Roman" w:eastAsia="Times New Roman" w:hAnsi="Times New Roman" w:cs="Times New Roman"/>
          <w:b/>
          <w:noProof/>
          <w:sz w:val="24"/>
          <w:szCs w:val="24"/>
          <w:lang w:eastAsia="en-GB"/>
        </w:rPr>
        <w:t>major restructuring events</w:t>
      </w:r>
      <w:r>
        <w:rPr>
          <w:rFonts w:ascii="Times New Roman" w:hAnsi="Times New Roman" w:cs="Times New Roman"/>
          <w:noProof/>
          <w:sz w:val="24"/>
          <w:szCs w:val="24"/>
        </w:rPr>
        <w:t xml:space="preserve"> with tailor-made support for individuals.</w:t>
      </w:r>
    </w:p>
    <w:p w:rsidR="003A1527" w:rsidRDefault="003A1527">
      <w:pPr>
        <w:pStyle w:val="ListParagraph"/>
        <w:spacing w:line="240" w:lineRule="auto"/>
        <w:jc w:val="both"/>
        <w:rPr>
          <w:rFonts w:ascii="Times New Roman" w:hAnsi="Times New Roman" w:cs="Times New Roman"/>
          <w:noProof/>
          <w:sz w:val="24"/>
          <w:szCs w:val="24"/>
        </w:rPr>
      </w:pPr>
    </w:p>
    <w:p w:rsidR="003A1527" w:rsidRDefault="00742A12">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These objectives represent a continuity of the current objectives of the funds under consideration. The ESF+, including its directly managed strands, will address the objectives 1 to 3 which have an anticipatory dimension and a focus on </w:t>
      </w:r>
      <w:r>
        <w:rPr>
          <w:rFonts w:ascii="Times New Roman" w:hAnsi="Times New Roman" w:cs="Times New Roman"/>
          <w:i/>
          <w:noProof/>
          <w:sz w:val="24"/>
          <w:szCs w:val="24"/>
        </w:rPr>
        <w:t>ex ante</w:t>
      </w:r>
      <w:r>
        <w:rPr>
          <w:rFonts w:ascii="Times New Roman" w:hAnsi="Times New Roman" w:cs="Times New Roman"/>
          <w:noProof/>
          <w:sz w:val="24"/>
          <w:szCs w:val="24"/>
        </w:rPr>
        <w:t xml:space="preserve"> support. Th</w:t>
      </w:r>
      <w:r>
        <w:rPr>
          <w:rFonts w:ascii="Times New Roman" w:hAnsi="Times New Roman" w:cs="Times New Roman"/>
          <w:noProof/>
          <w:sz w:val="24"/>
          <w:szCs w:val="24"/>
        </w:rPr>
        <w:t>e EGF will address objective 4 (</w:t>
      </w:r>
      <w:r>
        <w:rPr>
          <w:rFonts w:ascii="Times New Roman" w:hAnsi="Times New Roman" w:cs="Times New Roman"/>
          <w:i/>
          <w:noProof/>
          <w:sz w:val="24"/>
          <w:szCs w:val="24"/>
        </w:rPr>
        <w:t>ex post</w:t>
      </w:r>
      <w:r>
        <w:rPr>
          <w:rFonts w:ascii="Times New Roman" w:hAnsi="Times New Roman" w:cs="Times New Roman"/>
          <w:noProof/>
          <w:sz w:val="24"/>
          <w:szCs w:val="24"/>
        </w:rPr>
        <w:t xml:space="preserve"> support). All objectives will be addressed in the programme structure and priorities (see section 3).</w:t>
      </w:r>
    </w:p>
    <w:p w:rsidR="003A1527" w:rsidRDefault="003A1527">
      <w:pPr>
        <w:pStyle w:val="ListParagraph"/>
        <w:spacing w:line="240" w:lineRule="auto"/>
        <w:ind w:left="0"/>
        <w:jc w:val="both"/>
        <w:rPr>
          <w:rFonts w:ascii="Times New Roman" w:hAnsi="Times New Roman" w:cs="Times New Roman"/>
          <w:noProof/>
          <w:sz w:val="24"/>
          <w:szCs w:val="24"/>
        </w:rPr>
      </w:pPr>
    </w:p>
    <w:p w:rsidR="003A1527" w:rsidRDefault="00742A12">
      <w:pPr>
        <w:spacing w:before="24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2.2.3. Cross-cutting MFF and fund-specific objectives</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following cross-cutting MFF objectives will be addresse</w:t>
      </w:r>
      <w:r>
        <w:rPr>
          <w:rFonts w:ascii="Times New Roman" w:hAnsi="Times New Roman" w:cs="Times New Roman"/>
          <w:noProof/>
          <w:sz w:val="24"/>
          <w:szCs w:val="24"/>
        </w:rPr>
        <w:t>d through the delivery mechanisms (see section 4):</w:t>
      </w:r>
    </w:p>
    <w:p w:rsidR="003A1527" w:rsidRDefault="00742A12">
      <w:pPr>
        <w:pStyle w:val="ListParagraph"/>
        <w:numPr>
          <w:ilvl w:val="0"/>
          <w:numId w:val="24"/>
        </w:numPr>
        <w:spacing w:before="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enhancing coherence and synergies between complementary funds - </w:t>
      </w:r>
      <w:r>
        <w:rPr>
          <w:rFonts w:ascii="Times New Roman" w:eastAsia="Times New Roman" w:hAnsi="Times New Roman" w:cs="Times New Roman"/>
          <w:noProof/>
          <w:sz w:val="24"/>
          <w:szCs w:val="24"/>
          <w:lang w:eastAsia="en-GB"/>
        </w:rPr>
        <w:t>t</w:t>
      </w:r>
      <w:r>
        <w:rPr>
          <w:rFonts w:ascii="Times New Roman" w:hAnsi="Times New Roman" w:cs="Times New Roman"/>
          <w:noProof/>
          <w:sz w:val="24"/>
          <w:szCs w:val="24"/>
        </w:rPr>
        <w:t>he initiative should develop more shared approaches to programming and implementation so as to pool available resources to support integrate</w:t>
      </w:r>
      <w:r>
        <w:rPr>
          <w:rFonts w:ascii="Times New Roman" w:hAnsi="Times New Roman" w:cs="Times New Roman"/>
          <w:noProof/>
          <w:sz w:val="24"/>
          <w:szCs w:val="24"/>
        </w:rPr>
        <w:t xml:space="preserve">d investments in people and to avoid overlaps. </w:t>
      </w:r>
      <w:r>
        <w:rPr>
          <w:rFonts w:ascii="Times New Roman" w:eastAsia="Times New Roman" w:hAnsi="Times New Roman" w:cs="Times New Roman"/>
          <w:noProof/>
          <w:sz w:val="24"/>
          <w:szCs w:val="24"/>
          <w:lang w:eastAsia="en-GB"/>
        </w:rPr>
        <w:t xml:space="preserve">This involves a two-fold approach: </w:t>
      </w:r>
    </w:p>
    <w:p w:rsidR="003A1527" w:rsidRDefault="00742A12">
      <w:pPr>
        <w:pStyle w:val="ListParagraph"/>
        <w:numPr>
          <w:ilvl w:val="0"/>
          <w:numId w:val="35"/>
        </w:numPr>
        <w:spacing w:before="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streamlining the rules applying to European funds implemented in similar modes (shared or direct management); and</w:t>
      </w:r>
    </w:p>
    <w:p w:rsidR="003A1527" w:rsidRDefault="00742A12">
      <w:pPr>
        <w:pStyle w:val="ListParagraph"/>
        <w:numPr>
          <w:ilvl w:val="0"/>
          <w:numId w:val="35"/>
        </w:numPr>
        <w:spacing w:before="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increasing synergy, coherence and complementarities between</w:t>
      </w:r>
      <w:r>
        <w:rPr>
          <w:rFonts w:ascii="Times New Roman" w:eastAsia="Times New Roman" w:hAnsi="Times New Roman" w:cs="Times New Roman"/>
          <w:noProof/>
          <w:sz w:val="24"/>
          <w:szCs w:val="24"/>
          <w:lang w:eastAsia="en-GB"/>
        </w:rPr>
        <w:t xml:space="preserve"> funds investing in people;</w:t>
      </w:r>
    </w:p>
    <w:p w:rsidR="003A1527" w:rsidRDefault="003A1527">
      <w:pPr>
        <w:pStyle w:val="ListParagraph"/>
        <w:spacing w:before="240" w:line="240" w:lineRule="auto"/>
        <w:ind w:left="1080"/>
        <w:jc w:val="both"/>
        <w:rPr>
          <w:rFonts w:ascii="Times New Roman" w:eastAsia="Times New Roman" w:hAnsi="Times New Roman" w:cs="Times New Roman"/>
          <w:noProof/>
          <w:sz w:val="24"/>
          <w:szCs w:val="24"/>
          <w:lang w:eastAsia="en-GB"/>
        </w:rPr>
      </w:pPr>
    </w:p>
    <w:p w:rsidR="003A1527" w:rsidRDefault="00742A12">
      <w:pPr>
        <w:pStyle w:val="ListParagraph"/>
        <w:numPr>
          <w:ilvl w:val="0"/>
          <w:numId w:val="8"/>
        </w:numPr>
        <w:spacing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 xml:space="preserve">flexibility and policy alignment –  </w:t>
      </w:r>
      <w:r>
        <w:rPr>
          <w:rFonts w:ascii="Times New Roman" w:eastAsia="Times New Roman" w:hAnsi="Times New Roman" w:cs="Times New Roman"/>
          <w:noProof/>
          <w:sz w:val="24"/>
          <w:szCs w:val="24"/>
          <w:lang w:eastAsia="en-GB"/>
        </w:rPr>
        <w:t>this will involve making funds more responsive and strengthening the link to economic governance and EU-level priorities. The funds should be better able to adjust to changing circumstances a</w:t>
      </w:r>
      <w:r>
        <w:rPr>
          <w:rFonts w:ascii="Times New Roman" w:eastAsia="Times New Roman" w:hAnsi="Times New Roman" w:cs="Times New Roman"/>
          <w:noProof/>
          <w:sz w:val="24"/>
          <w:szCs w:val="24"/>
          <w:lang w:eastAsia="en-GB"/>
        </w:rPr>
        <w:t>nd policy priorities and to provide greater support to policy and system reforms;</w:t>
      </w:r>
      <w:r>
        <w:rPr>
          <w:rFonts w:ascii="Times New Roman" w:hAnsi="Times New Roman" w:cs="Times New Roman"/>
          <w:noProof/>
          <w:sz w:val="24"/>
          <w:szCs w:val="24"/>
        </w:rPr>
        <w:t xml:space="preserve">  </w:t>
      </w:r>
    </w:p>
    <w:p w:rsidR="003A1527" w:rsidRDefault="003A1527">
      <w:pPr>
        <w:pStyle w:val="ListParagraph"/>
        <w:spacing w:line="240" w:lineRule="auto"/>
        <w:jc w:val="both"/>
        <w:rPr>
          <w:rFonts w:ascii="Times New Roman" w:hAnsi="Times New Roman" w:cs="Times New Roman"/>
          <w:noProof/>
          <w:sz w:val="24"/>
          <w:szCs w:val="24"/>
        </w:rPr>
      </w:pPr>
    </w:p>
    <w:p w:rsidR="003A1527" w:rsidRDefault="00742A12">
      <w:pPr>
        <w:pStyle w:val="ListParagraph"/>
        <w:numPr>
          <w:ilvl w:val="0"/>
          <w:numId w:val="8"/>
        </w:numPr>
        <w:tabs>
          <w:tab w:val="left" w:pos="0"/>
        </w:tabs>
        <w:spacing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 xml:space="preserve">simplification of fund programming and management </w:t>
      </w:r>
      <w:r>
        <w:rPr>
          <w:rFonts w:ascii="Times New Roman" w:eastAsia="Times New Roman" w:hAnsi="Times New Roman" w:cs="Times New Roman"/>
          <w:noProof/>
          <w:sz w:val="24"/>
          <w:szCs w:val="24"/>
          <w:lang w:eastAsia="en-GB"/>
        </w:rPr>
        <w:t>thus reducing the administrative burden for authorities and beneficiaries; and</w:t>
      </w:r>
    </w:p>
    <w:p w:rsidR="003A1527" w:rsidRDefault="003A1527">
      <w:pPr>
        <w:pStyle w:val="ListParagraph"/>
        <w:spacing w:line="240" w:lineRule="auto"/>
        <w:jc w:val="both"/>
        <w:rPr>
          <w:rFonts w:ascii="Times New Roman" w:eastAsia="Times New Roman" w:hAnsi="Times New Roman" w:cs="Times New Roman"/>
          <w:b/>
          <w:noProof/>
          <w:sz w:val="24"/>
          <w:szCs w:val="24"/>
          <w:lang w:eastAsia="en-GB"/>
        </w:rPr>
      </w:pPr>
    </w:p>
    <w:p w:rsidR="003A1527" w:rsidRDefault="00742A12">
      <w:pPr>
        <w:pStyle w:val="ListParagraph"/>
        <w:numPr>
          <w:ilvl w:val="0"/>
          <w:numId w:val="8"/>
        </w:numPr>
        <w:tabs>
          <w:tab w:val="left" w:pos="0"/>
        </w:tabs>
        <w:spacing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performance- and results-orientation</w:t>
      </w:r>
      <w:r>
        <w:rPr>
          <w:rFonts w:ascii="Times New Roman" w:eastAsia="Times New Roman" w:hAnsi="Times New Roman" w:cs="Times New Roman"/>
          <w:noProof/>
          <w:sz w:val="24"/>
          <w:szCs w:val="24"/>
          <w:lang w:eastAsia="en-GB"/>
        </w:rPr>
        <w:t xml:space="preserve"> to improve effectiveness and the way programme results and impacts are captured and assessed. </w:t>
      </w:r>
    </w:p>
    <w:p w:rsidR="003A1527" w:rsidRDefault="003A1527">
      <w:pPr>
        <w:pStyle w:val="ListParagraph"/>
        <w:tabs>
          <w:tab w:val="left" w:pos="142"/>
          <w:tab w:val="left" w:pos="851"/>
        </w:tabs>
        <w:spacing w:line="240" w:lineRule="auto"/>
        <w:jc w:val="both"/>
        <w:rPr>
          <w:rFonts w:ascii="Times New Roman" w:eastAsia="Times New Roman" w:hAnsi="Times New Roman" w:cs="Times New Roman"/>
          <w:b/>
          <w:smallCaps/>
          <w:noProof/>
          <w:sz w:val="24"/>
          <w:szCs w:val="24"/>
        </w:rPr>
      </w:pPr>
    </w:p>
    <w:p w:rsidR="003A1527" w:rsidRDefault="00742A12">
      <w:pPr>
        <w:pStyle w:val="Heading1"/>
        <w:tabs>
          <w:tab w:val="num" w:pos="-240"/>
        </w:tabs>
        <w:jc w:val="both"/>
        <w:rPr>
          <w:rFonts w:ascii="Times New Roman" w:eastAsia="Times New Roman" w:hAnsi="Times New Roman" w:cs="Times New Roman"/>
          <w:b/>
          <w:smallCaps/>
          <w:noProof/>
          <w:color w:val="auto"/>
          <w:sz w:val="24"/>
          <w:szCs w:val="24"/>
        </w:rPr>
      </w:pPr>
      <w:bookmarkStart w:id="52" w:name="_Toc509831771"/>
      <w:bookmarkStart w:id="53" w:name="_Toc509833363"/>
      <w:bookmarkStart w:id="54" w:name="_Toc509843332"/>
      <w:bookmarkStart w:id="55" w:name="_Toc509848049"/>
      <w:bookmarkStart w:id="56" w:name="_Toc514401936"/>
      <w:r>
        <w:rPr>
          <w:rFonts w:ascii="Times New Roman" w:eastAsia="Times New Roman" w:hAnsi="Times New Roman" w:cs="Times New Roman"/>
          <w:b/>
          <w:smallCaps/>
          <w:noProof/>
          <w:color w:val="auto"/>
          <w:sz w:val="24"/>
          <w:szCs w:val="24"/>
        </w:rPr>
        <w:t>3.</w:t>
      </w:r>
      <w:r>
        <w:rPr>
          <w:rFonts w:ascii="Times New Roman" w:eastAsia="Times New Roman" w:hAnsi="Times New Roman" w:cs="Times New Roman"/>
          <w:b/>
          <w:smallCaps/>
          <w:noProof/>
          <w:color w:val="auto"/>
          <w:sz w:val="24"/>
          <w:szCs w:val="24"/>
        </w:rPr>
        <w:tab/>
        <w:t xml:space="preserve"> Programme structure and priorities</w:t>
      </w:r>
      <w:bookmarkEnd w:id="52"/>
      <w:bookmarkEnd w:id="53"/>
      <w:bookmarkEnd w:id="54"/>
      <w:bookmarkEnd w:id="55"/>
      <w:bookmarkEnd w:id="56"/>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Articles 46, 149, 153, 162 to 166 and 174 to 175 of the Treaty on the Functioning of the European Union (TFEU) form the legal framework of the legal acts covered by this impact assessment. Titles IX (employment) and X (social policy) TFEU provide the prese</w:t>
      </w:r>
      <w:r>
        <w:rPr>
          <w:rFonts w:ascii="Times New Roman" w:hAnsi="Times New Roman" w:cs="Times New Roman"/>
          <w:noProof/>
          <w:sz w:val="24"/>
          <w:szCs w:val="24"/>
        </w:rPr>
        <w:t xml:space="preserve">nt and future fund's </w:t>
      </w:r>
      <w:r>
        <w:rPr>
          <w:rFonts w:ascii="Times New Roman" w:hAnsi="Times New Roman"/>
          <w:noProof/>
          <w:sz w:val="24"/>
        </w:rPr>
        <w:t>legal and</w:t>
      </w:r>
      <w:r>
        <w:rPr>
          <w:rFonts w:ascii="Times New Roman" w:hAnsi="Times New Roman" w:cs="Times New Roman"/>
          <w:noProof/>
          <w:sz w:val="24"/>
          <w:szCs w:val="24"/>
        </w:rPr>
        <w:t xml:space="preserve"> </w:t>
      </w:r>
      <w:r>
        <w:rPr>
          <w:rFonts w:ascii="Times New Roman" w:hAnsi="Times New Roman"/>
          <w:noProof/>
          <w:sz w:val="24"/>
        </w:rPr>
        <w:t>policy backbone</w:t>
      </w:r>
      <w:r>
        <w:rPr>
          <w:rFonts w:ascii="Times New Roman" w:hAnsi="Times New Roman" w:cs="Times New Roman"/>
          <w:noProof/>
          <w:sz w:val="24"/>
          <w:szCs w:val="24"/>
        </w:rPr>
        <w:t>. The ESF is established by Article 162 of the TFEU. The proposal for the ESF part of the Regulation is based on Article 164 TFEU. The legal basis for the EU Health Programme is Article 168 TFEU. Article 168(5)</w:t>
      </w:r>
      <w:r>
        <w:rPr>
          <w:rFonts w:ascii="Times New Roman" w:hAnsi="Times New Roman" w:cs="Times New Roman"/>
          <w:noProof/>
          <w:sz w:val="24"/>
          <w:szCs w:val="24"/>
        </w:rPr>
        <w:t xml:space="preserve"> is the basis for the part of the regulation on the EU Health Programme. The legal bases for EaSI are Article 46(d), Article 149, Article 153(2)(a) and the third paragraph of Article 175 TFEU.</w:t>
      </w:r>
    </w:p>
    <w:p w:rsidR="003A1527" w:rsidRDefault="00742A12">
      <w:pPr>
        <w:pStyle w:val="Default"/>
        <w:spacing w:line="240" w:lineRule="auto"/>
        <w:jc w:val="both"/>
        <w:rPr>
          <w:noProof/>
          <w:color w:val="auto"/>
        </w:rPr>
      </w:pPr>
      <w:r>
        <w:rPr>
          <w:noProof/>
          <w:color w:val="auto"/>
        </w:rPr>
        <w:t>In the areas of social and employment policy, the EU has either</w:t>
      </w:r>
      <w:r>
        <w:rPr>
          <w:noProof/>
          <w:color w:val="auto"/>
        </w:rPr>
        <w:t xml:space="preserve"> shared competence with Member States (Article 4 TFEU) or competence to lay down arrangements within which they must coordinate their action (Article 5 TFEU). The reflections in this impact assessment will not change the general division of competencies be</w:t>
      </w:r>
      <w:r>
        <w:rPr>
          <w:noProof/>
          <w:color w:val="auto"/>
        </w:rPr>
        <w:t xml:space="preserve">tween the EU and the Member States, or between the Member States and sub-national administrative and political entities. Funds under shared management are underpinned by, and have a strong focus on </w:t>
      </w:r>
      <w:r>
        <w:rPr>
          <w:b/>
          <w:noProof/>
          <w:color w:val="auto"/>
        </w:rPr>
        <w:t xml:space="preserve">subsidiarity and proportionality, </w:t>
      </w:r>
      <w:r>
        <w:rPr>
          <w:noProof/>
          <w:color w:val="auto"/>
        </w:rPr>
        <w:t>whereby the Commission d</w:t>
      </w:r>
      <w:r>
        <w:rPr>
          <w:noProof/>
          <w:color w:val="auto"/>
        </w:rPr>
        <w:t xml:space="preserve">elegates strategic programming and implementation tasks to the most appropriate level, i.e. Member States and regions. </w:t>
      </w:r>
    </w:p>
    <w:p w:rsidR="003A1527" w:rsidRDefault="00742A12">
      <w:pPr>
        <w:pStyle w:val="Default"/>
        <w:spacing w:line="240" w:lineRule="auto"/>
        <w:jc w:val="both"/>
        <w:rPr>
          <w:noProof/>
          <w:color w:val="auto"/>
        </w:rPr>
      </w:pPr>
      <w:r>
        <w:rPr>
          <w:noProof/>
          <w:color w:val="auto"/>
        </w:rPr>
        <w:t>Funding will concentrate on the priorities where Member State action supported by the funds delivers the most EU added value, in particu</w:t>
      </w:r>
      <w:r>
        <w:rPr>
          <w:noProof/>
          <w:color w:val="auto"/>
        </w:rPr>
        <w:t>lar:</w:t>
      </w:r>
      <w:r>
        <w:rPr>
          <w:rStyle w:val="FootnoteReference"/>
          <w:noProof/>
          <w:color w:val="auto"/>
        </w:rPr>
        <w:footnoteReference w:id="102"/>
      </w:r>
    </w:p>
    <w:p w:rsidR="003A1527" w:rsidRDefault="00742A12">
      <w:pPr>
        <w:pStyle w:val="ListParagraph"/>
        <w:numPr>
          <w:ilvl w:val="0"/>
          <w:numId w:val="25"/>
        </w:numPr>
        <w:spacing w:line="240" w:lineRule="auto"/>
        <w:ind w:left="360"/>
        <w:jc w:val="both"/>
        <w:rPr>
          <w:rFonts w:ascii="Times New Roman" w:hAnsi="Times New Roman" w:cs="Times New Roman"/>
          <w:noProof/>
          <w:sz w:val="24"/>
          <w:szCs w:val="24"/>
        </w:rPr>
      </w:pPr>
      <w:r>
        <w:rPr>
          <w:rFonts w:ascii="Times New Roman" w:hAnsi="Times New Roman" w:cs="Times New Roman"/>
          <w:b/>
          <w:noProof/>
          <w:sz w:val="24"/>
          <w:szCs w:val="24"/>
        </w:rPr>
        <w:t>implementing EU policies and priorities</w:t>
      </w:r>
      <w:r>
        <w:rPr>
          <w:rFonts w:ascii="Times New Roman" w:hAnsi="Times New Roman" w:cs="Times New Roman"/>
          <w:noProof/>
          <w:sz w:val="24"/>
          <w:szCs w:val="24"/>
        </w:rPr>
        <w:t xml:space="preserve"> – while the funds cannot work as an automatic stabiliser, evidence shows that they have added value in funding active labour market measures (added value of ESF spending has been close to 1:3  i.e. one euro has triggered close to three euros of social inv</w:t>
      </w:r>
      <w:r>
        <w:rPr>
          <w:rFonts w:ascii="Times New Roman" w:hAnsi="Times New Roman" w:cs="Times New Roman"/>
          <w:noProof/>
          <w:sz w:val="24"/>
          <w:szCs w:val="24"/>
        </w:rPr>
        <w:t>estment at national level)</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There is ample evidence that EU policies supported by the ESF (e.g. gender equality) would not have been implemented or would have been realised to a significantly lesser extent had it not been for EU investment;</w:t>
      </w:r>
    </w:p>
    <w:p w:rsidR="003A1527" w:rsidRDefault="003A1527">
      <w:pPr>
        <w:pStyle w:val="ListParagraph"/>
        <w:spacing w:line="240" w:lineRule="auto"/>
        <w:ind w:left="360"/>
        <w:jc w:val="both"/>
        <w:rPr>
          <w:rFonts w:ascii="Times New Roman" w:hAnsi="Times New Roman" w:cs="Times New Roman"/>
          <w:noProof/>
          <w:sz w:val="24"/>
          <w:szCs w:val="24"/>
        </w:rPr>
      </w:pPr>
    </w:p>
    <w:p w:rsidR="003A1527" w:rsidRDefault="00742A12">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promoting bes</w:t>
      </w:r>
      <w:r>
        <w:rPr>
          <w:rFonts w:ascii="Times New Roman" w:hAnsi="Times New Roman" w:cs="Times New Roman"/>
          <w:b/>
          <w:noProof/>
          <w:sz w:val="24"/>
          <w:szCs w:val="24"/>
        </w:rPr>
        <w:t>t practice and cooperation</w:t>
      </w:r>
      <w:r>
        <w:rPr>
          <w:rFonts w:ascii="Times New Roman" w:hAnsi="Times New Roman" w:cs="Times New Roman"/>
          <w:noProof/>
          <w:sz w:val="24"/>
          <w:szCs w:val="24"/>
        </w:rPr>
        <w:t xml:space="preserve"> - the ESF and EaSI in particular stimulate the promotion of best practices in all participating countries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so that EU citizens benefit from improved policy-making and implementation capacity. Transnational cooperation under the E</w:t>
      </w:r>
      <w:r>
        <w:rPr>
          <w:rFonts w:ascii="Times New Roman" w:hAnsi="Times New Roman" w:cs="Times New Roman"/>
          <w:noProof/>
          <w:sz w:val="24"/>
          <w:szCs w:val="24"/>
        </w:rPr>
        <w:t>SF and the mutual learning/peer reviews organised under EaSI allow participating countries to learn from each other and exchange good practice, thus helping them to develop more effective employment and social policies and improve the delivery of reforms i</w:t>
      </w:r>
      <w:r>
        <w:rPr>
          <w:rFonts w:ascii="Times New Roman" w:hAnsi="Times New Roman" w:cs="Times New Roman"/>
          <w:noProof/>
          <w:sz w:val="24"/>
          <w:szCs w:val="24"/>
        </w:rPr>
        <w:t>n the policy fields in question. The EU Health programme supports the improvement of public health, preventing and managing diseases, mitigating sources of danger to human health, including by harmonising relevant legislation and focuses on improving the h</w:t>
      </w:r>
      <w:r>
        <w:rPr>
          <w:rFonts w:ascii="Times New Roman" w:hAnsi="Times New Roman" w:cs="Times New Roman"/>
          <w:noProof/>
          <w:sz w:val="24"/>
          <w:szCs w:val="24"/>
        </w:rPr>
        <w:t xml:space="preserve">ealth of EU citizens and reducing health inequalities, encouraging innovation in health and increasing the sustainability of health systems and defending the EU against cross-border health threats. These activities will be stepped up in future; </w:t>
      </w:r>
    </w:p>
    <w:p w:rsidR="003A1527" w:rsidRDefault="003A1527">
      <w:pPr>
        <w:pStyle w:val="ListParagraph"/>
        <w:spacing w:line="240" w:lineRule="auto"/>
        <w:ind w:left="360"/>
        <w:jc w:val="both"/>
        <w:rPr>
          <w:rFonts w:ascii="Times New Roman" w:hAnsi="Times New Roman" w:cs="Times New Roman"/>
          <w:noProof/>
          <w:sz w:val="24"/>
          <w:szCs w:val="24"/>
        </w:rPr>
      </w:pPr>
    </w:p>
    <w:p w:rsidR="003A1527" w:rsidRDefault="00742A12">
      <w:pPr>
        <w:pStyle w:val="ListParagraph"/>
        <w:numPr>
          <w:ilvl w:val="0"/>
          <w:numId w:val="14"/>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promoting</w:t>
      </w:r>
      <w:r>
        <w:rPr>
          <w:rFonts w:ascii="Times New Roman" w:hAnsi="Times New Roman" w:cs="Times New Roman"/>
          <w:b/>
          <w:noProof/>
          <w:sz w:val="24"/>
          <w:szCs w:val="24"/>
        </w:rPr>
        <w:t xml:space="preserve"> EU values</w:t>
      </w:r>
      <w:r>
        <w:rPr>
          <w:rFonts w:ascii="Times New Roman" w:hAnsi="Times New Roman" w:cs="Times New Roman"/>
          <w:noProof/>
          <w:sz w:val="24"/>
          <w:szCs w:val="24"/>
        </w:rPr>
        <w:t xml:space="preserve"> - EU added value is also about the promotion of EU values and respect of the EU Charter of Fundamental Rights. According to the Commission Communication on the post 2020 MFF</w:t>
      </w:r>
      <w:r>
        <w:rPr>
          <w:rStyle w:val="FootnoteReference"/>
          <w:noProof/>
          <w:sz w:val="24"/>
          <w:szCs w:val="24"/>
        </w:rPr>
        <w:footnoteReference w:id="105"/>
      </w:r>
      <w:r>
        <w:rPr>
          <w:rFonts w:ascii="Times New Roman" w:hAnsi="Times New Roman" w:cs="Times New Roman"/>
          <w:noProof/>
          <w:sz w:val="24"/>
          <w:szCs w:val="24"/>
        </w:rPr>
        <w:t>, the respect of EU fundamental values is an essential precondition for</w:t>
      </w:r>
      <w:r>
        <w:rPr>
          <w:rFonts w:ascii="Times New Roman" w:hAnsi="Times New Roman" w:cs="Times New Roman"/>
          <w:noProof/>
          <w:sz w:val="24"/>
          <w:szCs w:val="24"/>
        </w:rPr>
        <w:t xml:space="preserve"> sound financial management and effective EU funding for all future MFF funding programmes. Results from the open public consultation indicate that funds such as the ESF, FEAD, EGF and EaSI promote equality and social justice as key factors for sustainable</w:t>
      </w:r>
      <w:r>
        <w:rPr>
          <w:rFonts w:ascii="Times New Roman" w:hAnsi="Times New Roman" w:cs="Times New Roman"/>
          <w:noProof/>
          <w:sz w:val="24"/>
          <w:szCs w:val="24"/>
        </w:rPr>
        <w:t xml:space="preserve"> peace and democracy.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3.1 </w:t>
      </w:r>
      <w:r>
        <w:rPr>
          <w:rFonts w:ascii="Times New Roman" w:hAnsi="Times New Roman" w:cs="Times New Roman"/>
          <w:b/>
          <w:noProof/>
          <w:sz w:val="24"/>
          <w:szCs w:val="24"/>
        </w:rPr>
        <w:tab/>
        <w:t>The ESF+</w:t>
      </w:r>
    </w:p>
    <w:p w:rsidR="003A1527" w:rsidRDefault="00742A12">
      <w:pPr>
        <w:pStyle w:val="SubTitle2"/>
        <w:jc w:val="both"/>
        <w:rPr>
          <w:b w:val="0"/>
          <w:noProof/>
          <w:sz w:val="24"/>
          <w:szCs w:val="24"/>
        </w:rPr>
      </w:pPr>
      <w:r>
        <w:rPr>
          <w:b w:val="0"/>
          <w:noProof/>
          <w:sz w:val="24"/>
          <w:szCs w:val="24"/>
        </w:rPr>
        <w:t>The main reason for merging the funds (ESF, YEI, FEAD, EaSI and EU Health programme) is to streamline and simplify the funding landscape, to ensure synergies through integrated funding approaches in line with the polic</w:t>
      </w:r>
      <w:r>
        <w:rPr>
          <w:b w:val="0"/>
          <w:noProof/>
          <w:sz w:val="24"/>
          <w:szCs w:val="24"/>
        </w:rPr>
        <w:t>ies supported and to demonstrate visibly that the Union invests in its people (a Europe that empowers). Consequently, the merging of the Funds is also expected to reduce the administrative burden linked to the management of different funds. The ESF+ is als</w:t>
      </w:r>
      <w:r>
        <w:rPr>
          <w:b w:val="0"/>
          <w:noProof/>
          <w:sz w:val="24"/>
          <w:szCs w:val="24"/>
        </w:rPr>
        <w:t xml:space="preserve">o largely ensuring continuity of all well performing requirements as Member States have invested significantly in 2014-2020 to set up new systems. </w:t>
      </w:r>
    </w:p>
    <w:p w:rsidR="003A1527" w:rsidRDefault="00742A12">
      <w:pPr>
        <w:pStyle w:val="SubTitle2"/>
        <w:jc w:val="both"/>
        <w:rPr>
          <w:b w:val="0"/>
          <w:noProof/>
          <w:sz w:val="24"/>
          <w:szCs w:val="24"/>
        </w:rPr>
      </w:pPr>
      <w:r>
        <w:rPr>
          <w:b w:val="0"/>
          <w:noProof/>
          <w:sz w:val="24"/>
          <w:szCs w:val="24"/>
        </w:rPr>
        <w:t>The merger is based both on the results of evaluations and on stakeholder consultations. In the view of mana</w:t>
      </w:r>
      <w:r>
        <w:rPr>
          <w:b w:val="0"/>
          <w:noProof/>
          <w:sz w:val="24"/>
          <w:szCs w:val="24"/>
        </w:rPr>
        <w:t>ging authorities, a broad integration of funds would improve their capacities to streamline their strategic intervention across the social policy scope. This would enhance their flexibility in planning interventions, and facilitate the delivery of the prin</w:t>
      </w:r>
      <w:r>
        <w:rPr>
          <w:b w:val="0"/>
          <w:noProof/>
          <w:sz w:val="24"/>
          <w:szCs w:val="24"/>
        </w:rPr>
        <w:t>ciples of the European Pillar of Social Rights. Beneficiaries also confirm that there is still untapped potential to strengthen synergies between programmes and projects funded.</w:t>
      </w: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Scope of the ESF+</w:t>
      </w:r>
    </w:p>
    <w:p w:rsidR="003A1527" w:rsidRDefault="00742A12">
      <w:pPr>
        <w:spacing w:after="0" w:line="240" w:lineRule="auto"/>
        <w:jc w:val="both"/>
        <w:rPr>
          <w:rFonts w:ascii="Times New Roman" w:hAnsi="Times New Roman"/>
          <w:noProof/>
          <w:sz w:val="24"/>
        </w:rPr>
      </w:pPr>
      <w:r>
        <w:rPr>
          <w:rFonts w:ascii="Times New Roman" w:hAnsi="Times New Roman" w:cs="Times New Roman"/>
          <w:noProof/>
          <w:sz w:val="24"/>
          <w:szCs w:val="24"/>
        </w:rPr>
        <w:t>As highlighted in section 2, employment, social, education a</w:t>
      </w:r>
      <w:r>
        <w:rPr>
          <w:rFonts w:ascii="Times New Roman" w:hAnsi="Times New Roman" w:cs="Times New Roman"/>
          <w:noProof/>
          <w:sz w:val="24"/>
          <w:szCs w:val="24"/>
        </w:rPr>
        <w:t>nd training investment needs can be very broad.  Accordingly, and in line with the identified objectives, the thematic scope of the ESF+ requires to – as today - remain broad, since it has to be sufficiently flexible to respond to evolving country-specific</w:t>
      </w:r>
      <w:r>
        <w:rPr>
          <w:rFonts w:ascii="Times New Roman" w:hAnsi="Times New Roman" w:cs="Times New Roman"/>
          <w:noProof/>
          <w:sz w:val="24"/>
          <w:szCs w:val="24"/>
        </w:rPr>
        <w:t xml:space="preserve"> challenges (identified in particular under the European Semester). In view of the principle of subsidiarity, the ESF+ will, in line with the relevant principles of the European Pillar of Social Rights, continue: </w:t>
      </w:r>
      <w:r>
        <w:rPr>
          <w:rFonts w:ascii="Times New Roman" w:hAnsi="Times New Roman"/>
          <w:noProof/>
          <w:sz w:val="24"/>
        </w:rPr>
        <w:t>to improve access to and the quality of edu</w:t>
      </w:r>
      <w:r>
        <w:rPr>
          <w:rFonts w:ascii="Times New Roman" w:hAnsi="Times New Roman"/>
          <w:noProof/>
          <w:sz w:val="24"/>
        </w:rPr>
        <w:t>cation, training and lifelong learning;</w:t>
      </w:r>
      <w:r>
        <w:rPr>
          <w:rFonts w:ascii="Times New Roman" w:hAnsi="Times New Roman" w:cs="Times New Roman"/>
          <w:noProof/>
          <w:sz w:val="24"/>
          <w:szCs w:val="24"/>
        </w:rPr>
        <w:t xml:space="preserve"> </w:t>
      </w:r>
      <w:r>
        <w:rPr>
          <w:rFonts w:ascii="Times New Roman" w:hAnsi="Times New Roman"/>
          <w:noProof/>
          <w:sz w:val="24"/>
        </w:rPr>
        <w:t>to enhance the effectiveness of labour markets and promote equal access to quality employment;  and</w:t>
      </w:r>
      <w:r>
        <w:rPr>
          <w:noProof/>
        </w:rPr>
        <w:t xml:space="preserve"> </w:t>
      </w:r>
      <w:r>
        <w:rPr>
          <w:rFonts w:ascii="Times New Roman" w:hAnsi="Times New Roman"/>
          <w:noProof/>
          <w:sz w:val="24"/>
        </w:rPr>
        <w:t xml:space="preserve">to further support social inclusion and tackle poverty.  </w:t>
      </w:r>
    </w:p>
    <w:p w:rsidR="003A1527" w:rsidRDefault="003A1527">
      <w:pPr>
        <w:pStyle w:val="ListParagraph"/>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ESF+, by integrating the current FEAD, EaSI, and EU H</w:t>
      </w:r>
      <w:r>
        <w:rPr>
          <w:rFonts w:ascii="Times New Roman" w:hAnsi="Times New Roman" w:cs="Times New Roman"/>
          <w:noProof/>
          <w:sz w:val="24"/>
          <w:szCs w:val="24"/>
        </w:rPr>
        <w:t>ealth programmes</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will also provide support to the most deprived through food and basic material assistance, including accompanying measures and support social protection, health and healthcare (aggregating the scope of the different funds but not adding n</w:t>
      </w:r>
      <w:r>
        <w:rPr>
          <w:rFonts w:ascii="Times New Roman" w:hAnsi="Times New Roman" w:cs="Times New Roman"/>
          <w:noProof/>
          <w:sz w:val="24"/>
          <w:szCs w:val="24"/>
        </w:rPr>
        <w:t>ew areas). However, in line with the baseline scenario of budgetary reduction following Brexit, the ESF+ will not support broad administrative reforms in the areas that are not of its policy competence (such as for example the judiciary or e-government sol</w:t>
      </w:r>
      <w:r>
        <w:rPr>
          <w:rFonts w:ascii="Times New Roman" w:hAnsi="Times New Roman" w:cs="Times New Roman"/>
          <w:noProof/>
          <w:sz w:val="24"/>
          <w:szCs w:val="24"/>
        </w:rPr>
        <w:t xml:space="preserve">utions). As a result, </w:t>
      </w:r>
      <w:r>
        <w:rPr>
          <w:rFonts w:ascii="Times New Roman" w:hAnsi="Times New Roman"/>
          <w:noProof/>
          <w:sz w:val="24"/>
        </w:rPr>
        <w:t>the ESF+ will (only) support the parts of the Pillar which fall under its scope: Art 1. Education, training and life-long learning; Art 2 and 9 Gender equality and work-life balance; Art 3 and 17 Equal opportunities &amp; Inclusion of peo</w:t>
      </w:r>
      <w:r>
        <w:rPr>
          <w:rFonts w:ascii="Times New Roman" w:hAnsi="Times New Roman"/>
          <w:noProof/>
          <w:sz w:val="24"/>
        </w:rPr>
        <w:t>ple with disabilities; Art 4, 5 and 10 Active support to employment; Art 11 childcare and support to children; Art 16, 18, 19 and 20 Health care and Long-term care and access to essential services.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Programme structure of the ESF+</w:t>
      </w:r>
    </w:p>
    <w:p w:rsidR="003A1527" w:rsidRDefault="00742A12">
      <w:pPr>
        <w:spacing w:after="0" w:line="240" w:lineRule="auto"/>
        <w:jc w:val="both"/>
        <w:rPr>
          <w:rFonts w:ascii="Times New Roman" w:hAnsi="Times New Roman" w:cs="Times New Roman"/>
          <w:noProof/>
          <w:sz w:val="24"/>
          <w:szCs w:val="24"/>
        </w:rPr>
      </w:pPr>
      <w:r>
        <w:rPr>
          <w:rFonts w:ascii="Times New Roman" w:eastAsiaTheme="minorHAnsi" w:hAnsi="Times New Roman" w:cs="Times New Roman"/>
          <w:noProof/>
          <w:sz w:val="24"/>
          <w:szCs w:val="24"/>
        </w:rPr>
        <w:t>As stated in the introduction, the ESF, YEI, FEAD, EaSI and EU Health programme will be merged in a single Fund, the ESF+. Therefore, the ESF+ Regulation will replace the current ESF, FEAD, EaSI and EU Health programme regulations and will have multiple le</w:t>
      </w:r>
      <w:r>
        <w:rPr>
          <w:rFonts w:ascii="Times New Roman" w:eastAsiaTheme="minorHAnsi" w:hAnsi="Times New Roman" w:cs="Times New Roman"/>
          <w:noProof/>
          <w:sz w:val="24"/>
          <w:szCs w:val="24"/>
        </w:rPr>
        <w:t xml:space="preserve">gal bases.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for the identified objectives will be provided through shared and (in)direct management using various instruments (including grant support, technical assistance and other supporting measures) relating to social innovation, labour mobil</w:t>
      </w:r>
      <w:r>
        <w:rPr>
          <w:rFonts w:ascii="Times New Roman" w:hAnsi="Times New Roman" w:cs="Times New Roman"/>
          <w:noProof/>
          <w:sz w:val="24"/>
          <w:szCs w:val="24"/>
        </w:rPr>
        <w:t xml:space="preserve">ity, transnationality, capacity building, and microfinance and social entrepreneurship.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u w:val="single"/>
        </w:rPr>
        <w:t>Figure 3</w:t>
      </w:r>
      <w:r>
        <w:rPr>
          <w:rFonts w:ascii="Times New Roman" w:hAnsi="Times New Roman" w:cs="Times New Roman"/>
          <w:noProof/>
          <w:sz w:val="24"/>
          <w:szCs w:val="24"/>
        </w:rPr>
        <w:t>: the structure of the ESF+</w:t>
      </w:r>
    </w:p>
    <w:p w:rsidR="003A1527" w:rsidRDefault="00742A12">
      <w:pPr>
        <w:spacing w:after="0" w:line="240" w:lineRule="auto"/>
        <w:jc w:val="center"/>
        <w:rPr>
          <w:noProof/>
          <w:lang w:eastAsia="en-GB"/>
        </w:rPr>
      </w:pPr>
      <w:r>
        <w:rPr>
          <w:noProof/>
          <w:lang w:eastAsia="en-GB"/>
        </w:rPr>
        <w:drawing>
          <wp:inline distT="0" distB="0" distL="0" distR="0" wp14:anchorId="1B8D7588" wp14:editId="1CE2A3AC">
            <wp:extent cx="5472430" cy="3173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72430" cy="3173730"/>
                    </a:xfrm>
                    <a:prstGeom prst="rect">
                      <a:avLst/>
                    </a:prstGeom>
                  </pic:spPr>
                </pic:pic>
              </a:graphicData>
            </a:graphic>
          </wp:inline>
        </w:drawing>
      </w:r>
    </w:p>
    <w:p w:rsidR="003A1527" w:rsidRDefault="00742A12">
      <w:pPr>
        <w:spacing w:after="0" w:line="240" w:lineRule="auto"/>
        <w:jc w:val="both"/>
        <w:rPr>
          <w:rFonts w:ascii="Times New Roman" w:eastAsiaTheme="minorHAnsi" w:hAnsi="Times New Roman" w:cs="Times New Roman"/>
          <w:noProof/>
          <w:sz w:val="24"/>
          <w:szCs w:val="24"/>
        </w:rPr>
      </w:pPr>
      <w:r>
        <w:rPr>
          <w:noProof/>
          <w:lang w:eastAsia="en-GB"/>
        </w:rPr>
        <w:t xml:space="preserve">  </w:t>
      </w:r>
    </w:p>
    <w:p w:rsidR="003A1527" w:rsidRDefault="003A1527">
      <w:pPr>
        <w:pStyle w:val="ListParagraph"/>
        <w:spacing w:after="0" w:line="240" w:lineRule="auto"/>
        <w:jc w:val="both"/>
        <w:rPr>
          <w:rFonts w:ascii="Times New Roman" w:eastAsiaTheme="minorHAnsi" w:hAnsi="Times New Roman" w:cs="Times New Roman"/>
          <w:noProof/>
          <w:sz w:val="24"/>
          <w:szCs w:val="24"/>
        </w:rPr>
      </w:pPr>
    </w:p>
    <w:p w:rsidR="003A1527" w:rsidRDefault="00742A12">
      <w:pPr>
        <w:spacing w:after="20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Beside general provisions applicable to all components of the ESF+, the regulation will establish:</w:t>
      </w:r>
    </w:p>
    <w:p w:rsidR="003A1527" w:rsidRDefault="00742A12">
      <w:pPr>
        <w:pStyle w:val="ListParagraph"/>
        <w:numPr>
          <w:ilvl w:val="0"/>
          <w:numId w:val="25"/>
        </w:numPr>
        <w:spacing w:after="200" w:line="240" w:lineRule="auto"/>
        <w:jc w:val="both"/>
        <w:rPr>
          <w:rFonts w:ascii="Times New Roman" w:eastAsiaTheme="minorHAnsi" w:hAnsi="Times New Roman" w:cs="Times New Roman"/>
          <w:noProof/>
          <w:sz w:val="24"/>
          <w:szCs w:val="24"/>
        </w:rPr>
      </w:pPr>
      <w:r>
        <w:rPr>
          <w:rFonts w:ascii="Times New Roman" w:eastAsiaTheme="minorHAnsi" w:hAnsi="Times New Roman"/>
          <w:noProof/>
          <w:sz w:val="24"/>
        </w:rPr>
        <w:t>common rules for all shar</w:t>
      </w:r>
      <w:r>
        <w:rPr>
          <w:rFonts w:ascii="Times New Roman" w:eastAsiaTheme="minorHAnsi" w:hAnsi="Times New Roman"/>
          <w:noProof/>
          <w:sz w:val="24"/>
        </w:rPr>
        <w:t>ed management components (support addressing material deprivation), also provid</w:t>
      </w:r>
      <w:r>
        <w:rPr>
          <w:rFonts w:ascii="Times New Roman" w:eastAsiaTheme="minorHAnsi" w:hAnsi="Times New Roman" w:cs="Times New Roman"/>
          <w:noProof/>
          <w:sz w:val="24"/>
          <w:szCs w:val="24"/>
        </w:rPr>
        <w:t>ing</w:t>
      </w:r>
      <w:r>
        <w:rPr>
          <w:rFonts w:ascii="Times New Roman" w:eastAsiaTheme="minorHAnsi" w:hAnsi="Times New Roman"/>
          <w:noProof/>
          <w:sz w:val="24"/>
        </w:rPr>
        <w:t xml:space="preserve"> derogations for ex-FEAD type of operations. This is justified by two main reasons: operations for basic material assistance are simpler and standardised and stakeholders hav</w:t>
      </w:r>
      <w:r>
        <w:rPr>
          <w:rFonts w:ascii="Times New Roman" w:eastAsiaTheme="minorHAnsi" w:hAnsi="Times New Roman"/>
          <w:noProof/>
          <w:sz w:val="24"/>
        </w:rPr>
        <w:t>e called for keeping this approach and not imposing more demanding ESF rules (e.g. for reporting of indicators’ data, audit trail).</w:t>
      </w:r>
    </w:p>
    <w:p w:rsidR="003A1527" w:rsidRDefault="00742A12">
      <w:pPr>
        <w:pStyle w:val="ListParagraph"/>
        <w:numPr>
          <w:ilvl w:val="0"/>
          <w:numId w:val="25"/>
        </w:numPr>
        <w:spacing w:after="200" w:line="240" w:lineRule="auto"/>
        <w:jc w:val="both"/>
        <w:rPr>
          <w:rFonts w:ascii="Times New Roman" w:eastAsiaTheme="minorHAnsi" w:hAnsi="Times New Roman"/>
          <w:noProof/>
          <w:sz w:val="24"/>
        </w:rPr>
      </w:pPr>
      <w:r>
        <w:rPr>
          <w:rFonts w:ascii="Times New Roman" w:eastAsiaTheme="minorHAnsi" w:hAnsi="Times New Roman"/>
          <w:noProof/>
          <w:sz w:val="24"/>
        </w:rPr>
        <w:t>rules for (in)direct management (ex-EaSI and EU H</w:t>
      </w:r>
      <w:r>
        <w:rPr>
          <w:rFonts w:ascii="Times New Roman" w:eastAsiaTheme="minorHAnsi" w:hAnsi="Times New Roman" w:cs="Times New Roman"/>
          <w:noProof/>
          <w:sz w:val="24"/>
          <w:szCs w:val="24"/>
        </w:rPr>
        <w:t xml:space="preserve">ealth programme and </w:t>
      </w:r>
      <w:r>
        <w:rPr>
          <w:rFonts w:ascii="Times New Roman" w:eastAsiaTheme="minorHAnsi" w:hAnsi="Times New Roman"/>
          <w:noProof/>
          <w:sz w:val="24"/>
        </w:rPr>
        <w:t>specific ex-ESF parts, e.g. transnationality actions) .</w:t>
      </w:r>
      <w:r>
        <w:rPr>
          <w:rFonts w:ascii="Times New Roman" w:eastAsiaTheme="minorHAnsi" w:hAnsi="Times New Roman"/>
          <w:noProof/>
          <w:sz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Prioritisation</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future ESF+ Regulation will ensure that resources are concentrated on the key challenges identified (see section 2): </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w:t>
      </w:r>
    </w:p>
    <w:p w:rsidR="003A1527" w:rsidRDefault="00742A12">
      <w:pPr>
        <w:pStyle w:val="ListParagraph"/>
        <w:numPr>
          <w:ilvl w:val="0"/>
          <w:numId w:val="28"/>
        </w:numPr>
        <w:spacing w:line="240" w:lineRule="auto"/>
        <w:ind w:left="714" w:hanging="357"/>
        <w:jc w:val="both"/>
        <w:rPr>
          <w:rFonts w:ascii="Times New Roman" w:hAnsi="Times New Roman" w:cs="Times New Roman"/>
          <w:noProof/>
          <w:sz w:val="24"/>
          <w:szCs w:val="24"/>
        </w:rPr>
      </w:pPr>
      <w:r>
        <w:rPr>
          <w:rFonts w:ascii="Times New Roman" w:hAnsi="Times New Roman" w:cs="Times New Roman"/>
          <w:b/>
          <w:noProof/>
          <w:sz w:val="24"/>
          <w:szCs w:val="24"/>
        </w:rPr>
        <w:t xml:space="preserve">European Pillar of Social Rights and European Semester: </w:t>
      </w:r>
      <w:r>
        <w:rPr>
          <w:rFonts w:ascii="Times New Roman" w:hAnsi="Times New Roman" w:cs="Times New Roman"/>
          <w:noProof/>
          <w:sz w:val="24"/>
          <w:szCs w:val="24"/>
        </w:rPr>
        <w:t xml:space="preserve">building on the objectives described in section 2, much of the ESF+ should be focused on the </w:t>
      </w:r>
      <w:r>
        <w:rPr>
          <w:rFonts w:ascii="Times New Roman" w:hAnsi="Times New Roman"/>
          <w:noProof/>
          <w:sz w:val="24"/>
        </w:rPr>
        <w:t>priorities and actions set out in the European Pillar of Social Rights, as well as the employment guidelines.</w:t>
      </w:r>
      <w:r>
        <w:rPr>
          <w:rStyle w:val="FootnoteReference"/>
          <w:rFonts w:ascii="Times New Roman" w:hAnsi="Times New Roman" w:cs="Times New Roman"/>
          <w:noProof/>
          <w:sz w:val="24"/>
          <w:szCs w:val="24"/>
        </w:rPr>
        <w:footnoteReference w:id="108"/>
      </w:r>
      <w:r>
        <w:rPr>
          <w:rFonts w:ascii="Times New Roman" w:hAnsi="Times New Roman"/>
          <w:noProof/>
          <w:sz w:val="24"/>
        </w:rPr>
        <w:t xml:space="preserve"> As the Pillar will be the main compass in the formul</w:t>
      </w:r>
      <w:r>
        <w:rPr>
          <w:rFonts w:ascii="Times New Roman" w:hAnsi="Times New Roman"/>
          <w:noProof/>
          <w:sz w:val="24"/>
        </w:rPr>
        <w:t xml:space="preserve">ating of country specific recommendations and key challenges identified within the European Semester, </w:t>
      </w:r>
      <w:r>
        <w:rPr>
          <w:rFonts w:ascii="Times New Roman" w:hAnsi="Times New Roman" w:cs="Times New Roman"/>
          <w:noProof/>
          <w:sz w:val="24"/>
          <w:szCs w:val="24"/>
        </w:rPr>
        <w:t xml:space="preserve">Member States are expected to concentrate an adequate amount of shared management funds under the ESF+ for their implementation. Programming arrangements </w:t>
      </w:r>
      <w:r>
        <w:rPr>
          <w:rFonts w:ascii="Times New Roman" w:hAnsi="Times New Roman" w:cs="Times New Roman"/>
          <w:noProof/>
          <w:sz w:val="24"/>
          <w:szCs w:val="24"/>
        </w:rPr>
        <w:t>for the ESF+ would also be designed with a view to clearly identifiable financial allocations to the key reforms and challenges as set out in country-specific recommendations and more broadly in the context of the European Semester.</w:t>
      </w:r>
    </w:p>
    <w:p w:rsidR="003A1527" w:rsidRDefault="00742A12">
      <w:pPr>
        <w:pStyle w:val="ListParagraph"/>
        <w:numPr>
          <w:ilvl w:val="0"/>
          <w:numId w:val="28"/>
        </w:numPr>
        <w:spacing w:line="240" w:lineRule="auto"/>
        <w:ind w:left="714" w:hanging="357"/>
        <w:jc w:val="both"/>
        <w:rPr>
          <w:rFonts w:ascii="Times New Roman" w:hAnsi="Times New Roman" w:cs="Times New Roman"/>
          <w:noProof/>
          <w:sz w:val="24"/>
          <w:szCs w:val="24"/>
        </w:rPr>
      </w:pPr>
      <w:r>
        <w:rPr>
          <w:rFonts w:ascii="Times New Roman" w:hAnsi="Times New Roman" w:cs="Times New Roman"/>
          <w:b/>
          <w:noProof/>
          <w:sz w:val="24"/>
          <w:szCs w:val="24"/>
        </w:rPr>
        <w:t>Youth employment</w:t>
      </w:r>
      <w:r>
        <w:rPr>
          <w:rFonts w:ascii="Times New Roman" w:hAnsi="Times New Roman" w:cs="Times New Roman"/>
          <w:noProof/>
          <w:sz w:val="24"/>
          <w:szCs w:val="24"/>
        </w:rPr>
        <w:t>: to en</w:t>
      </w:r>
      <w:r>
        <w:rPr>
          <w:rFonts w:ascii="Times New Roman" w:hAnsi="Times New Roman" w:cs="Times New Roman"/>
          <w:noProof/>
          <w:sz w:val="24"/>
          <w:szCs w:val="24"/>
        </w:rPr>
        <w:t>sure that sufficient efforts are made in the post-2020 programming period (as is currently the case with the YEI), Member States with a NEET rate above a given threshold will be required to dedicate a set proportion of their shared management strand of ESF</w:t>
      </w:r>
      <w:r>
        <w:rPr>
          <w:rFonts w:ascii="Times New Roman" w:hAnsi="Times New Roman" w:cs="Times New Roman"/>
          <w:noProof/>
          <w:sz w:val="24"/>
          <w:szCs w:val="24"/>
        </w:rPr>
        <w:t>+ allocations to targeted action and structural reforms to support youth employment and school-to-work transition, giving priority to long-term unemployed and inactive young people. This would ensure that Member States facing challenges in this policy area</w:t>
      </w:r>
      <w:r>
        <w:rPr>
          <w:rFonts w:ascii="Times New Roman" w:hAnsi="Times New Roman" w:cs="Times New Roman"/>
          <w:noProof/>
          <w:sz w:val="24"/>
          <w:szCs w:val="24"/>
        </w:rPr>
        <w:t xml:space="preserve"> programme an adequate share of ESF resources to support vulnerable young people who need assistance. Stakeholders and the European Parliament are very keen to see a dedicated budget for youth employment being maintained post-2020 and action in this area b</w:t>
      </w:r>
      <w:r>
        <w:rPr>
          <w:rFonts w:ascii="Times New Roman" w:hAnsi="Times New Roman" w:cs="Times New Roman"/>
          <w:noProof/>
          <w:sz w:val="24"/>
          <w:szCs w:val="24"/>
        </w:rPr>
        <w:t>uilding on the lessons learned from the YEI. This also reflects the policy direction of the Youth Guarantee schemes that the Commission is working with Member States to promote, and is based on the recommendations of the European Court of Auditors to enhan</w:t>
      </w:r>
      <w:r>
        <w:rPr>
          <w:rFonts w:ascii="Times New Roman" w:hAnsi="Times New Roman" w:cs="Times New Roman"/>
          <w:noProof/>
          <w:sz w:val="24"/>
          <w:szCs w:val="24"/>
        </w:rPr>
        <w:t>ce the focus on outreach measures to the vulnerable young NEETs and improve the quality of services and job offers.</w:t>
      </w:r>
    </w:p>
    <w:p w:rsidR="003A1527" w:rsidRDefault="00742A12">
      <w:pPr>
        <w:pStyle w:val="ListParagraph"/>
        <w:numPr>
          <w:ilvl w:val="0"/>
          <w:numId w:val="28"/>
        </w:numPr>
        <w:spacing w:before="120" w:line="240" w:lineRule="auto"/>
        <w:jc w:val="both"/>
        <w:rPr>
          <w:rFonts w:ascii="Times New Roman" w:hAnsi="Times New Roman"/>
          <w:noProof/>
          <w:sz w:val="24"/>
          <w:szCs w:val="24"/>
        </w:rPr>
      </w:pPr>
      <w:r>
        <w:rPr>
          <w:rFonts w:ascii="Times New Roman" w:hAnsi="Times New Roman" w:cs="Times New Roman"/>
          <w:b/>
          <w:noProof/>
          <w:sz w:val="24"/>
          <w:szCs w:val="24"/>
        </w:rPr>
        <w:t>Social inclusion</w:t>
      </w:r>
      <w:r>
        <w:rPr>
          <w:rFonts w:ascii="Times New Roman" w:hAnsi="Times New Roman" w:cs="Times New Roman"/>
          <w:noProof/>
          <w:sz w:val="24"/>
          <w:szCs w:val="24"/>
        </w:rPr>
        <w:t>: at least 25% of the ESF+ will be allocated to fostering social inclusion</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to ensure that the social dimension of Europe as</w:t>
      </w:r>
      <w:r>
        <w:rPr>
          <w:rFonts w:ascii="Times New Roman" w:hAnsi="Times New Roman" w:cs="Times New Roman"/>
          <w:noProof/>
          <w:sz w:val="24"/>
          <w:szCs w:val="24"/>
        </w:rPr>
        <w:t xml:space="preserve"> set out in the Pillar is duly put forward and that a minimum amount of resources is targeting those most in need. This will include promoting the social integration of people at risk of, or in, poverty and social exclusion and tackling material deprivatio</w:t>
      </w:r>
      <w:r>
        <w:rPr>
          <w:rFonts w:ascii="Times New Roman" w:hAnsi="Times New Roman" w:cs="Times New Roman"/>
          <w:noProof/>
          <w:sz w:val="24"/>
          <w:szCs w:val="24"/>
        </w:rPr>
        <w:t xml:space="preserve">n through food and/or basic material assistance for the most deprived (ex-FEAD). For the latter, </w:t>
      </w:r>
      <w:r>
        <w:rPr>
          <w:rFonts w:ascii="Times New Roman" w:hAnsi="Times New Roman" w:cs="Times New Roman"/>
          <w:bCs/>
          <w:noProof/>
          <w:sz w:val="24"/>
          <w:szCs w:val="24"/>
        </w:rPr>
        <w:t>Member States</w:t>
      </w:r>
      <w:r>
        <w:rPr>
          <w:rFonts w:ascii="Times New Roman" w:hAnsi="Times New Roman" w:cs="Times New Roman"/>
          <w:noProof/>
          <w:sz w:val="24"/>
          <w:szCs w:val="24"/>
        </w:rPr>
        <w:t xml:space="preserve"> should allocate a minimum amount to this priority. </w:t>
      </w:r>
    </w:p>
    <w:p w:rsidR="003A1527" w:rsidRDefault="00742A12">
      <w:pPr>
        <w:spacing w:before="120" w:line="240" w:lineRule="auto"/>
        <w:jc w:val="both"/>
        <w:rPr>
          <w:rFonts w:ascii="Times New Roman" w:hAnsi="Times New Roman"/>
          <w:noProof/>
          <w:sz w:val="24"/>
        </w:rPr>
      </w:pPr>
      <w:r>
        <w:rPr>
          <w:rFonts w:ascii="Times New Roman" w:eastAsiaTheme="minorHAnsi" w:hAnsi="Times New Roman"/>
          <w:noProof/>
          <w:sz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(in)direct management strand (ex-EaSI and EU Health programmes and some ex-ESF parts), the ESF+ will include a series of improvements, including a sharper focus on disadvantaged groups and gender equality, greater budgetary flexibility and better</w:t>
      </w:r>
      <w:r>
        <w:rPr>
          <w:rFonts w:ascii="Times New Roman" w:hAnsi="Times New Roman" w:cs="Times New Roman"/>
          <w:noProof/>
          <w:sz w:val="24"/>
          <w:szCs w:val="24"/>
        </w:rPr>
        <w:t xml:space="preserve"> integration between the current activities. The complementarities between social experimentation, analytical work, capacity-building, transnational activities and greater upscaling/deployment at national level will become clearer within the simplified ESF</w:t>
      </w:r>
      <w:r>
        <w:rPr>
          <w:rFonts w:ascii="Times New Roman" w:hAnsi="Times New Roman" w:cs="Times New Roman"/>
          <w:noProof/>
          <w:sz w:val="24"/>
          <w:szCs w:val="24"/>
        </w:rPr>
        <w:t xml:space="preserve">+ structure.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u w:val="single"/>
        </w:rPr>
      </w:pPr>
      <w:r>
        <w:rPr>
          <w:rFonts w:ascii="Times New Roman" w:hAnsi="Times New Roman" w:cs="Times New Roman"/>
          <w:b/>
          <w:noProof/>
          <w:sz w:val="24"/>
          <w:szCs w:val="24"/>
        </w:rPr>
        <w:t xml:space="preserve">3.2 </w:t>
      </w:r>
      <w:r>
        <w:rPr>
          <w:rFonts w:ascii="Times New Roman" w:hAnsi="Times New Roman" w:cs="Times New Roman"/>
          <w:b/>
          <w:noProof/>
          <w:sz w:val="24"/>
          <w:szCs w:val="24"/>
        </w:rPr>
        <w:tab/>
        <w:t xml:space="preserve">EGF </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Primarily, the EGF will continue to support the principles of the European Pillar of Social Rights of equal opportunities and access to the labour market by co-financing measures that help improve the employability of workers made </w:t>
      </w:r>
      <w:r>
        <w:rPr>
          <w:rFonts w:ascii="Times New Roman" w:eastAsia="Times New Roman" w:hAnsi="Times New Roman" w:cs="Times New Roman"/>
          <w:noProof/>
          <w:sz w:val="24"/>
          <w:szCs w:val="24"/>
          <w:lang w:eastAsia="en-GB"/>
        </w:rPr>
        <w:t>redundant in the course of large-scale restructuring events.</w:t>
      </w:r>
      <w:r>
        <w:rPr>
          <w:rStyle w:val="FootnoteReference"/>
          <w:rFonts w:ascii="Times New Roman" w:eastAsia="Times New Roman" w:hAnsi="Times New Roman" w:cs="Times New Roman"/>
          <w:noProof/>
          <w:sz w:val="24"/>
          <w:szCs w:val="24"/>
          <w:lang w:eastAsia="en-GB"/>
        </w:rPr>
        <w:footnoteReference w:id="110"/>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The programme will be structured so as to address the general objective set out in section 2: to focus on reactive assistance for workers displaced in the course of unexpected major restructuring events that have a significant impact on the labour market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noProof/>
          <w:sz w:val="24"/>
          <w:szCs w:val="24"/>
          <w:lang w:eastAsia="en-GB"/>
        </w:rPr>
        <w:t>ex post</w:t>
      </w:r>
      <w:r>
        <w:rPr>
          <w:rFonts w:ascii="Times New Roman" w:eastAsia="Times New Roman" w:hAnsi="Times New Roman" w:cs="Times New Roman"/>
          <w:noProof/>
          <w:sz w:val="24"/>
          <w:szCs w:val="24"/>
          <w:lang w:eastAsia="en-GB"/>
        </w:rPr>
        <w:t xml:space="preserve"> support)</w:t>
      </w:r>
      <w:r>
        <w:rPr>
          <w:rFonts w:ascii="Times New Roman" w:hAnsi="Times New Roman" w:cs="Times New Roman"/>
          <w:noProof/>
          <w:sz w:val="24"/>
          <w:szCs w:val="24"/>
        </w:rPr>
        <w:t>. The EGF will continue to complement assistance offered by the structural funds, particularly anticipative measures as those offered by the ESF+, or assistance for companies or regions offered by the ERDF.</w:t>
      </w:r>
      <w:r>
        <w:rPr>
          <w:rFonts w:ascii="Times New Roman" w:eastAsia="Times New Roman" w:hAnsi="Times New Roman" w:cs="Times New Roman"/>
          <w:noProof/>
          <w:sz w:val="24"/>
          <w:szCs w:val="24"/>
          <w:lang w:eastAsia="en-GB"/>
        </w:rPr>
        <w:t xml:space="preserve"> In order to reflect the trend tow</w:t>
      </w:r>
      <w:r>
        <w:rPr>
          <w:rFonts w:ascii="Times New Roman" w:eastAsia="Times New Roman" w:hAnsi="Times New Roman" w:cs="Times New Roman"/>
          <w:noProof/>
          <w:sz w:val="24"/>
          <w:szCs w:val="24"/>
          <w:lang w:eastAsia="en-GB"/>
        </w:rPr>
        <w:t xml:space="preserve">ards fewer very large-scale events (more than 500 displaced workers), and considering that larger scale events (more than 250 displaced workers) also pose a significant burden especially on the labour markets in remote or less densely populated areas, the </w:t>
      </w:r>
      <w:r>
        <w:rPr>
          <w:rFonts w:ascii="Times New Roman" w:eastAsia="Times New Roman" w:hAnsi="Times New Roman" w:cs="Times New Roman"/>
          <w:noProof/>
          <w:sz w:val="24"/>
          <w:szCs w:val="24"/>
          <w:lang w:eastAsia="en-GB"/>
        </w:rPr>
        <w:t>activation threshold will be lowered from 500 to 250 workers displaced within the reference period.</w:t>
      </w:r>
    </w:p>
    <w:p w:rsidR="003A1527" w:rsidRDefault="00742A12">
      <w:pPr>
        <w:spacing w:line="240" w:lineRule="auto"/>
        <w:jc w:val="both"/>
        <w:rPr>
          <w:rFonts w:ascii="Arial" w:hAnsi="Arial" w:cs="Arial"/>
          <w:i/>
          <w:noProof/>
          <w:sz w:val="22"/>
          <w:szCs w:val="22"/>
        </w:rPr>
      </w:pPr>
      <w:r>
        <w:rPr>
          <w:rFonts w:ascii="Times New Roman" w:eastAsia="Times New Roman" w:hAnsi="Times New Roman" w:cs="Times New Roman"/>
          <w:noProof/>
          <w:sz w:val="24"/>
          <w:szCs w:val="24"/>
          <w:lang w:eastAsia="en-GB"/>
        </w:rPr>
        <w:t xml:space="preserve">Taking into account the way globalisation is evolving, defining globalisation purely by offshoring or changes in trade flows does not seem to be sufficient </w:t>
      </w:r>
      <w:r>
        <w:rPr>
          <w:rFonts w:ascii="Times New Roman" w:eastAsia="Times New Roman" w:hAnsi="Times New Roman" w:cs="Times New Roman"/>
          <w:noProof/>
          <w:sz w:val="24"/>
          <w:szCs w:val="24"/>
          <w:lang w:eastAsia="en-GB"/>
        </w:rPr>
        <w:t xml:space="preserve">anymore. In order to cater for other globalisation-related challenges such as trade disputes, the transition to a low carbon economy, or the technology-driven challenges of digitisation and robotisation, the scope of the EGF will be broadened. Considering </w:t>
      </w:r>
      <w:r>
        <w:rPr>
          <w:rFonts w:ascii="Times New Roman" w:eastAsia="Times New Roman" w:hAnsi="Times New Roman" w:cs="Times New Roman"/>
          <w:noProof/>
          <w:sz w:val="24"/>
          <w:szCs w:val="24"/>
          <w:lang w:eastAsia="en-GB"/>
        </w:rPr>
        <w:t>the interplay and mutual effects of open trade, technological change or other factors and that it is increasingly difficult to conceptually separate and single out a specific factor that caused job losses, the mobilisation of the EGF shall in the future on</w:t>
      </w:r>
      <w:r>
        <w:rPr>
          <w:rFonts w:ascii="Times New Roman" w:eastAsia="Times New Roman" w:hAnsi="Times New Roman" w:cs="Times New Roman"/>
          <w:noProof/>
          <w:sz w:val="24"/>
          <w:szCs w:val="24"/>
          <w:lang w:eastAsia="en-GB"/>
        </w:rPr>
        <w:t>ly be based on the significant impact of a restructuring event, defined by the above mentioned activation threshold of 250 displaced workers</w:t>
      </w:r>
      <w:r>
        <w:rPr>
          <w:noProof/>
        </w:rPr>
        <w:t>.</w:t>
      </w:r>
      <w:r>
        <w:rPr>
          <w:rStyle w:val="FootnoteReference"/>
          <w:rFonts w:ascii="Times New Roman" w:hAnsi="Times New Roman" w:cs="Times New Roman"/>
          <w:noProof/>
          <w:sz w:val="24"/>
          <w:szCs w:val="24"/>
        </w:rPr>
        <w:footnoteReference w:id="111"/>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is acknowledged that the widened scope of the fund and the lower thresholds are likely to lead to more applica</w:t>
      </w:r>
      <w:r>
        <w:rPr>
          <w:rFonts w:ascii="Times New Roman" w:eastAsia="Times New Roman" w:hAnsi="Times New Roman" w:cs="Times New Roman"/>
          <w:noProof/>
          <w:sz w:val="24"/>
          <w:szCs w:val="24"/>
          <w:lang w:eastAsia="en-GB"/>
        </w:rPr>
        <w:t>tions. However, experience has shown that Member States only request its mobilisation in true emergency situations. Even though the threshold currently is 500 displaced workers, applications range widely, from 108 to 6120 workers who lost their jobs within</w:t>
      </w:r>
      <w:r>
        <w:rPr>
          <w:rFonts w:ascii="Times New Roman" w:eastAsia="Times New Roman" w:hAnsi="Times New Roman" w:cs="Times New Roman"/>
          <w:noProof/>
          <w:sz w:val="24"/>
          <w:szCs w:val="24"/>
          <w:lang w:eastAsia="en-GB"/>
        </w:rPr>
        <w:t xml:space="preserve"> the reference period.</w:t>
      </w:r>
      <w:r>
        <w:rPr>
          <w:rStyle w:val="FootnoteReference"/>
          <w:rFonts w:ascii="Times New Roman" w:eastAsia="Times New Roman" w:hAnsi="Times New Roman" w:cs="Times New Roman"/>
          <w:noProof/>
          <w:sz w:val="24"/>
          <w:szCs w:val="24"/>
          <w:lang w:eastAsia="en-GB"/>
        </w:rPr>
        <w:footnoteReference w:id="112"/>
      </w:r>
      <w:r>
        <w:rPr>
          <w:rFonts w:ascii="Times New Roman" w:eastAsia="Times New Roman" w:hAnsi="Times New Roman" w:cs="Times New Roman"/>
          <w:noProof/>
          <w:sz w:val="24"/>
          <w:szCs w:val="24"/>
          <w:lang w:eastAsia="en-GB"/>
        </w:rPr>
        <w:t xml:space="preserve"> In order to mitigate the risks of a potentially higher number of EGF applications, the EGF will operate under a higher annual maximum amount of EUR 225 million</w:t>
      </w:r>
      <w:r>
        <w:rPr>
          <w:rStyle w:val="FootnoteReference"/>
          <w:rFonts w:ascii="Times New Roman" w:eastAsia="Times New Roman" w:hAnsi="Times New Roman" w:cs="Times New Roman"/>
          <w:noProof/>
          <w:sz w:val="24"/>
          <w:szCs w:val="24"/>
          <w:lang w:eastAsia="en-GB"/>
        </w:rPr>
        <w:footnoteReference w:id="113"/>
      </w:r>
      <w:r>
        <w:rPr>
          <w:rFonts w:ascii="Times New Roman" w:eastAsia="Times New Roman" w:hAnsi="Times New Roman" w:cs="Times New Roman"/>
          <w:noProof/>
          <w:sz w:val="24"/>
          <w:szCs w:val="24"/>
          <w:lang w:eastAsia="en-GB"/>
        </w:rPr>
        <w:t xml:space="preserve"> and the reference period will also be shortened from nine to six months</w:t>
      </w:r>
      <w:r>
        <w:rPr>
          <w:rFonts w:ascii="Times New Roman" w:eastAsia="Times New Roman" w:hAnsi="Times New Roman" w:cs="Times New Roman"/>
          <w:noProof/>
          <w:sz w:val="24"/>
          <w:szCs w:val="24"/>
          <w:lang w:eastAsia="en-GB"/>
        </w:rPr>
        <w:t xml:space="preserve"> (in the framework of sectoral applications).</w:t>
      </w:r>
    </w:p>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an emergency relief fund, the EGF shall remain outside the budgetary ceilings of the MFF. Emergency funds are not expected to absorb a specific budget. Being inside the MFF would therefore mean the contrary,</w:t>
      </w:r>
      <w:r>
        <w:rPr>
          <w:rFonts w:ascii="Times New Roman" w:eastAsia="Times New Roman" w:hAnsi="Times New Roman" w:cs="Times New Roman"/>
          <w:noProof/>
          <w:sz w:val="24"/>
          <w:szCs w:val="24"/>
          <w:lang w:eastAsia="en-GB"/>
        </w:rPr>
        <w:t xml:space="preserve"> having a specific budget that the fund is supposed to spend, which would turn it into a tool of regular restructuring assistance. However, being outside the MFF currently implies a lengthy mobilisation procedure which counteracts its function as an emerge</w:t>
      </w:r>
      <w:r>
        <w:rPr>
          <w:rFonts w:ascii="Times New Roman" w:eastAsia="Times New Roman" w:hAnsi="Times New Roman" w:cs="Times New Roman"/>
          <w:noProof/>
          <w:sz w:val="24"/>
          <w:szCs w:val="24"/>
          <w:lang w:eastAsia="en-GB"/>
        </w:rPr>
        <w:t>ncy relief fund. Therefore, the mobilisation procedure will be sped-up and streamlined (see chapter 4.3 below).</w:t>
      </w:r>
    </w:p>
    <w:p w:rsidR="003A1527" w:rsidRDefault="00742A1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To reflect the overall challenges,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improving the levels of basic skills and in particular digital skills will be a mandatory cross-cutting eleme</w:t>
      </w:r>
      <w:r>
        <w:rPr>
          <w:rFonts w:ascii="Times New Roman" w:eastAsia="Times New Roman" w:hAnsi="Times New Roman" w:cs="Times New Roman"/>
          <w:noProof/>
          <w:sz w:val="24"/>
          <w:szCs w:val="24"/>
          <w:lang w:eastAsia="en-GB"/>
        </w:rPr>
        <w:t>nt of any package of personalised services offered. The level of training should be adapted to the qualifications and needs of the beneficiary.</w:t>
      </w:r>
      <w:r>
        <w:rPr>
          <w:rFonts w:ascii="Times New Roman" w:hAnsi="Times New Roman" w:cs="Times New Roman"/>
          <w:noProof/>
          <w:sz w:val="24"/>
          <w:szCs w:val="24"/>
        </w:rPr>
        <w:t xml:space="preserve"> EGF intervention is much more likely to be successful if the package of measures is integrated into a tailor-mad</w:t>
      </w:r>
      <w:r>
        <w:rPr>
          <w:rFonts w:ascii="Times New Roman" w:hAnsi="Times New Roman" w:cs="Times New Roman"/>
          <w:noProof/>
          <w:sz w:val="24"/>
          <w:szCs w:val="24"/>
        </w:rPr>
        <w:t>e reconversion response for the affected region. This will involve closer alignment with the EU Quality framework for anticipating change and restructuring (QFR),</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xml:space="preserve"> especially as regards the employment and social dimensions of structural change.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in the </w:t>
      </w:r>
      <w:r>
        <w:rPr>
          <w:rFonts w:ascii="Times New Roman" w:hAnsi="Times New Roman" w:cs="Times New Roman"/>
          <w:noProof/>
          <w:sz w:val="24"/>
          <w:szCs w:val="24"/>
        </w:rPr>
        <w:t>past, no prioritisation is proposed as regards the geographical scope of the fund. Thematic priorities cannot be set, since by definition the EGF responds to emergencies in the form of unexpected restructuring events.</w:t>
      </w:r>
    </w:p>
    <w:p w:rsidR="003A1527" w:rsidRDefault="003A1527">
      <w:pPr>
        <w:pStyle w:val="Heading1"/>
        <w:spacing w:before="0"/>
        <w:jc w:val="both"/>
        <w:rPr>
          <w:rFonts w:ascii="Times New Roman" w:eastAsia="Times New Roman" w:hAnsi="Times New Roman" w:cs="Times New Roman"/>
          <w:b/>
          <w:smallCaps/>
          <w:noProof/>
          <w:color w:val="auto"/>
          <w:sz w:val="24"/>
          <w:szCs w:val="24"/>
        </w:rPr>
      </w:pPr>
    </w:p>
    <w:p w:rsidR="003A1527" w:rsidRDefault="00742A12">
      <w:pPr>
        <w:pStyle w:val="Heading1"/>
        <w:spacing w:before="0"/>
        <w:jc w:val="both"/>
        <w:rPr>
          <w:rFonts w:ascii="Times New Roman" w:eastAsia="Times New Roman" w:hAnsi="Times New Roman" w:cs="Times New Roman"/>
          <w:b/>
          <w:smallCaps/>
          <w:noProof/>
          <w:color w:val="auto"/>
          <w:sz w:val="24"/>
          <w:szCs w:val="24"/>
        </w:rPr>
      </w:pPr>
      <w:bookmarkStart w:id="57" w:name="_Toc509831772"/>
      <w:bookmarkStart w:id="58" w:name="_Toc509833364"/>
      <w:bookmarkStart w:id="59" w:name="_Toc509843333"/>
      <w:bookmarkStart w:id="60" w:name="_Toc509848050"/>
      <w:bookmarkStart w:id="61" w:name="_Toc514401937"/>
      <w:r>
        <w:rPr>
          <w:rFonts w:ascii="Times New Roman" w:eastAsia="Times New Roman" w:hAnsi="Times New Roman" w:cs="Times New Roman"/>
          <w:b/>
          <w:smallCaps/>
          <w:noProof/>
          <w:color w:val="auto"/>
          <w:sz w:val="24"/>
          <w:szCs w:val="24"/>
        </w:rPr>
        <w:t xml:space="preserve">4. </w:t>
      </w:r>
      <w:r>
        <w:rPr>
          <w:rFonts w:ascii="Times New Roman" w:eastAsia="Times New Roman" w:hAnsi="Times New Roman" w:cs="Times New Roman"/>
          <w:b/>
          <w:smallCaps/>
          <w:noProof/>
          <w:color w:val="auto"/>
          <w:sz w:val="24"/>
          <w:szCs w:val="24"/>
        </w:rPr>
        <w:tab/>
        <w:t>Delivery mechanisms of the intend</w:t>
      </w:r>
      <w:r>
        <w:rPr>
          <w:rFonts w:ascii="Times New Roman" w:eastAsia="Times New Roman" w:hAnsi="Times New Roman" w:cs="Times New Roman"/>
          <w:b/>
          <w:smallCaps/>
          <w:noProof/>
          <w:color w:val="auto"/>
          <w:sz w:val="24"/>
          <w:szCs w:val="24"/>
        </w:rPr>
        <w:t>ed funding</w:t>
      </w:r>
      <w:bookmarkEnd w:id="57"/>
      <w:bookmarkEnd w:id="58"/>
      <w:bookmarkEnd w:id="59"/>
      <w:bookmarkEnd w:id="60"/>
      <w:bookmarkEnd w:id="61"/>
    </w:p>
    <w:p w:rsidR="003A1527" w:rsidRDefault="003A1527">
      <w:pPr>
        <w:spacing w:line="240" w:lineRule="auto"/>
        <w:jc w:val="both"/>
        <w:rPr>
          <w:noProof/>
        </w:rPr>
      </w:pPr>
    </w:p>
    <w:p w:rsidR="003A1527" w:rsidRDefault="00742A12">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This section will assess the effectiveness of the proposed measures in delivering on the cross-cutting MFF and fund specific objectives (see section 2.2.3) and present possible alternatives. </w:t>
      </w:r>
    </w:p>
    <w:p w:rsidR="003A1527" w:rsidRDefault="003A1527">
      <w:pPr>
        <w:spacing w:line="240" w:lineRule="auto"/>
        <w:jc w:val="both"/>
        <w:rPr>
          <w:rFonts w:ascii="Times New Roman" w:hAnsi="Times New Roman" w:cs="Times New Roman"/>
          <w:b/>
          <w:noProof/>
          <w:sz w:val="24"/>
          <w:szCs w:val="24"/>
        </w:rPr>
      </w:pP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b/>
          <w:noProof/>
          <w:sz w:val="24"/>
          <w:szCs w:val="24"/>
        </w:rPr>
        <w:t xml:space="preserve">4.1 </w:t>
      </w:r>
      <w:r>
        <w:rPr>
          <w:rFonts w:ascii="Times New Roman" w:hAnsi="Times New Roman" w:cs="Times New Roman"/>
          <w:b/>
          <w:noProof/>
          <w:sz w:val="24"/>
          <w:szCs w:val="24"/>
        </w:rPr>
        <w:tab/>
        <w:t xml:space="preserve">Coherence and synergies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4.1.1 </w:t>
      </w:r>
      <w:r>
        <w:rPr>
          <w:rFonts w:ascii="Times New Roman" w:hAnsi="Times New Roman" w:cs="Times New Roman"/>
          <w:b/>
          <w:noProof/>
          <w:sz w:val="24"/>
          <w:szCs w:val="24"/>
        </w:rPr>
        <w:tab/>
        <w:t xml:space="preserve">Coherence and </w:t>
      </w:r>
      <w:r>
        <w:rPr>
          <w:rFonts w:ascii="Times New Roman" w:hAnsi="Times New Roman" w:cs="Times New Roman"/>
          <w:b/>
          <w:noProof/>
          <w:sz w:val="24"/>
          <w:szCs w:val="24"/>
        </w:rPr>
        <w:t>synergies within the ESF+</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described in section 3.1 the ESF+ Regulation will provide for two strands: </w:t>
      </w:r>
    </w:p>
    <w:p w:rsidR="003A1527" w:rsidRDefault="00742A12">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shared management strand with common rules with other funds under shared management (Common Provisions Regulation), keeping derogations for simplifie</w:t>
      </w:r>
      <w:r>
        <w:rPr>
          <w:rFonts w:ascii="Times New Roman" w:hAnsi="Times New Roman" w:cs="Times New Roman"/>
          <w:noProof/>
          <w:sz w:val="24"/>
          <w:szCs w:val="24"/>
        </w:rPr>
        <w:t>d rules for ex-FEAD-type activities; and</w:t>
      </w:r>
    </w:p>
    <w:p w:rsidR="003A1527" w:rsidRDefault="00742A12">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direct and indirect management strand (outside the Common Provisions Regulation).</w:t>
      </w:r>
    </w:p>
    <w:p w:rsidR="003A1527" w:rsidRDefault="003A1527">
      <w:pPr>
        <w:pStyle w:val="ListParagraph"/>
        <w:spacing w:line="240" w:lineRule="auto"/>
        <w:ind w:left="360"/>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ESF+ Regulation will complement the future Common Provisions Regulation and bring the programming, management and implementati</w:t>
      </w:r>
      <w:r>
        <w:rPr>
          <w:rFonts w:ascii="Times New Roman" w:hAnsi="Times New Roman" w:cs="Times New Roman"/>
          <w:noProof/>
          <w:sz w:val="24"/>
          <w:szCs w:val="24"/>
        </w:rPr>
        <w:t xml:space="preserve">on mechanisms of the ESF, YEI and FEAD closer while responding better to the needs and objectives of the policies it supports.  </w:t>
      </w:r>
    </w:p>
    <w:p w:rsidR="003A1527" w:rsidRDefault="00742A12">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Merging the ESF, YEI, FEAD, EaSI and EU Health programme is expected to have</w:t>
      </w:r>
      <w:r>
        <w:rPr>
          <w:rFonts w:ascii="Times New Roman" w:hAnsi="Times New Roman" w:cs="Times New Roman"/>
          <w:noProof/>
          <w:sz w:val="24"/>
          <w:szCs w:val="24"/>
          <w:lang w:val="en-US"/>
        </w:rPr>
        <w:t xml:space="preserve"> a large positive impact on the </w:t>
      </w:r>
      <w:r>
        <w:rPr>
          <w:rFonts w:ascii="Times New Roman" w:hAnsi="Times New Roman" w:cs="Times New Roman"/>
          <w:b/>
          <w:noProof/>
          <w:sz w:val="24"/>
          <w:szCs w:val="24"/>
          <w:lang w:val="en-US"/>
        </w:rPr>
        <w:t xml:space="preserve">coherence and </w:t>
      </w:r>
      <w:r>
        <w:rPr>
          <w:rFonts w:ascii="Times New Roman" w:hAnsi="Times New Roman" w:cs="Times New Roman"/>
          <w:b/>
          <w:noProof/>
          <w:sz w:val="24"/>
          <w:szCs w:val="24"/>
          <w:lang w:val="en-US"/>
        </w:rPr>
        <w:t>synergies</w:t>
      </w:r>
      <w:r>
        <w:rPr>
          <w:rFonts w:ascii="Times New Roman" w:hAnsi="Times New Roman" w:cs="Times New Roman"/>
          <w:noProof/>
          <w:sz w:val="24"/>
          <w:szCs w:val="24"/>
          <w:lang w:val="en-US"/>
        </w:rPr>
        <w:t xml:space="preserve"> between interventions supported under the different funds as the ESF+ will: </w:t>
      </w:r>
    </w:p>
    <w:p w:rsidR="003A1527" w:rsidRDefault="00742A12">
      <w:pPr>
        <w:pStyle w:val="ListParagraph"/>
        <w:numPr>
          <w:ilvl w:val="0"/>
          <w:numId w:val="30"/>
        </w:numPr>
        <w:spacing w:after="0" w:line="240" w:lineRule="auto"/>
        <w:ind w:left="71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fully integrate the measures dedicated to supporting NEETs (ex-YEI) - the ESF+ will</w:t>
      </w:r>
      <w:r>
        <w:rPr>
          <w:rFonts w:ascii="Times New Roman" w:hAnsi="Times New Roman" w:cs="Times New Roman"/>
          <w:noProof/>
          <w:sz w:val="24"/>
          <w:szCs w:val="24"/>
        </w:rPr>
        <w:t xml:space="preserve"> continue to support the implementation of the Council Recommendation on the youth gua</w:t>
      </w:r>
      <w:r>
        <w:rPr>
          <w:rFonts w:ascii="Times New Roman" w:hAnsi="Times New Roman" w:cs="Times New Roman"/>
          <w:noProof/>
          <w:sz w:val="24"/>
          <w:szCs w:val="24"/>
        </w:rPr>
        <w:t xml:space="preserve">rantee in the Member States. However, whereas the scope of the YEI was seen as limiting, as it did not allow for support for the structural measures and reforms required to implement youth policies properly, it will be possible to invest ESF+ resources in </w:t>
      </w:r>
      <w:r>
        <w:rPr>
          <w:rFonts w:ascii="Times New Roman" w:hAnsi="Times New Roman" w:cs="Times New Roman"/>
          <w:noProof/>
          <w:sz w:val="24"/>
          <w:szCs w:val="24"/>
        </w:rPr>
        <w:t xml:space="preserve">reforms and structures. YEI operations will </w:t>
      </w:r>
      <w:r>
        <w:rPr>
          <w:rFonts w:ascii="Times New Roman" w:hAnsi="Times New Roman" w:cs="Times New Roman"/>
          <w:noProof/>
          <w:sz w:val="24"/>
          <w:szCs w:val="24"/>
          <w:lang w:val="en-US"/>
        </w:rPr>
        <w:t xml:space="preserve">also be better integrated under the ESF+ thanks to the simplification of the currently complex programming and reporting approach; </w:t>
      </w:r>
    </w:p>
    <w:p w:rsidR="003A1527" w:rsidRDefault="003A1527">
      <w:pPr>
        <w:pStyle w:val="ListParagraph"/>
        <w:spacing w:after="0" w:line="240" w:lineRule="auto"/>
        <w:jc w:val="both"/>
        <w:rPr>
          <w:rFonts w:ascii="Times New Roman" w:hAnsi="Times New Roman" w:cs="Times New Roman"/>
          <w:noProof/>
          <w:sz w:val="24"/>
          <w:szCs w:val="24"/>
          <w:lang w:val="en-US"/>
        </w:rPr>
      </w:pPr>
    </w:p>
    <w:p w:rsidR="003A1527" w:rsidRDefault="00742A12">
      <w:pPr>
        <w:pStyle w:val="ListParagraph"/>
        <w:numPr>
          <w:ilvl w:val="0"/>
          <w:numId w:val="30"/>
        </w:num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provide more ways of linking basic material assistance (ex-FEAD) with additiona</w:t>
      </w:r>
      <w:r>
        <w:rPr>
          <w:rFonts w:ascii="Times New Roman" w:hAnsi="Times New Roman" w:cs="Times New Roman"/>
          <w:noProof/>
          <w:sz w:val="24"/>
          <w:szCs w:val="24"/>
        </w:rPr>
        <w:t>l support for social inclusion - by incorporating the former FEAD, the ESF+ will allow ensuring the transition from social inclusion activities supported though the ex-FEAD to active measures aiming at supporting the integration in the labour market (while</w:t>
      </w:r>
      <w:r>
        <w:rPr>
          <w:rFonts w:ascii="Times New Roman" w:hAnsi="Times New Roman" w:cs="Times New Roman"/>
          <w:noProof/>
          <w:sz w:val="24"/>
          <w:szCs w:val="24"/>
        </w:rPr>
        <w:t xml:space="preserve"> maintaining simpler provisions, in particular as regards monitoring, reporting, audit and control for food and basic material assistance interventions).  It will provide a more effective response to poverty given that a job is one of the key means to get </w:t>
      </w:r>
      <w:r>
        <w:rPr>
          <w:rFonts w:ascii="Times New Roman" w:hAnsi="Times New Roman" w:cs="Times New Roman"/>
          <w:noProof/>
          <w:sz w:val="24"/>
          <w:szCs w:val="24"/>
        </w:rPr>
        <w:t xml:space="preserve">people out of poverty; </w:t>
      </w:r>
    </w:p>
    <w:p w:rsidR="003A1527" w:rsidRDefault="003A1527">
      <w:pPr>
        <w:pStyle w:val="ListParagraph"/>
        <w:rPr>
          <w:rFonts w:ascii="Times New Roman" w:hAnsi="Times New Roman" w:cs="Times New Roman"/>
          <w:noProof/>
          <w:sz w:val="24"/>
          <w:szCs w:val="24"/>
        </w:rPr>
      </w:pPr>
    </w:p>
    <w:p w:rsidR="003A1527" w:rsidRDefault="00742A12">
      <w:pPr>
        <w:pStyle w:val="ListParagraph"/>
        <w:numPr>
          <w:ilvl w:val="0"/>
          <w:numId w:val="30"/>
        </w:num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provide direct links for the testing and upscaling of innovative solutions to social challenges: </w:t>
      </w:r>
    </w:p>
    <w:p w:rsidR="003A1527" w:rsidRDefault="00742A12">
      <w:pPr>
        <w:pStyle w:val="ListParagraph"/>
        <w:numPr>
          <w:ilvl w:val="1"/>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cross-cutting principle in the shared management strand, the ESF+ will support social innovation aimed at re-designing and re-en</w:t>
      </w:r>
      <w:r>
        <w:rPr>
          <w:rFonts w:ascii="Times New Roman" w:hAnsi="Times New Roman" w:cs="Times New Roman"/>
          <w:noProof/>
          <w:sz w:val="24"/>
          <w:szCs w:val="24"/>
        </w:rPr>
        <w:t>gineering delivery mechanisms for employment, education, social inclusion and support to the most deprived</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This will also be ensured through a strengthened bottom-up approach based on partnerships involving public authorities, the private sector and civil society (such as community-led local development); </w:t>
      </w:r>
    </w:p>
    <w:p w:rsidR="003A1527" w:rsidRDefault="00742A12">
      <w:pPr>
        <w:pStyle w:val="ListParagraph"/>
        <w:numPr>
          <w:ilvl w:val="1"/>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 management strand for social experimentati</w:t>
      </w:r>
      <w:r>
        <w:rPr>
          <w:rFonts w:ascii="Times New Roman" w:hAnsi="Times New Roman" w:cs="Times New Roman"/>
          <w:noProof/>
          <w:sz w:val="24"/>
          <w:szCs w:val="24"/>
        </w:rPr>
        <w:t>on (small-scale testing of new policy approaches) will continue and serve as a basis for social innovation/upscaling activities under shared management. The transfer or upscaling in the same country and across borders of successful innovations will be prom</w:t>
      </w:r>
      <w:r>
        <w:rPr>
          <w:rFonts w:ascii="Times New Roman" w:hAnsi="Times New Roman" w:cs="Times New Roman"/>
          <w:noProof/>
          <w:sz w:val="24"/>
          <w:szCs w:val="24"/>
        </w:rPr>
        <w:t xml:space="preserve">oted through support for transnational partnerships, mutual learning, methodological/technical support for stakeholders and the creation of an appropriate information management system; </w:t>
      </w:r>
    </w:p>
    <w:p w:rsidR="003A1527" w:rsidRDefault="00742A12">
      <w:pPr>
        <w:pStyle w:val="ListParagraph"/>
        <w:numPr>
          <w:ilvl w:val="1"/>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currently underperforming set-up for transnational cooperation un</w:t>
      </w:r>
      <w:r>
        <w:rPr>
          <w:rFonts w:ascii="Times New Roman" w:hAnsi="Times New Roman" w:cs="Times New Roman"/>
          <w:noProof/>
          <w:sz w:val="24"/>
          <w:szCs w:val="24"/>
        </w:rPr>
        <w:t>der shared management will be replaced by an EU level framework for transnational initiatives including: support for transnational partnerships, validation of the transferability of solutions, mutual learning and capacity-building for stakeholders, under d</w:t>
      </w:r>
      <w:r>
        <w:rPr>
          <w:rFonts w:ascii="Times New Roman" w:hAnsi="Times New Roman" w:cs="Times New Roman"/>
          <w:noProof/>
          <w:sz w:val="24"/>
          <w:szCs w:val="24"/>
        </w:rPr>
        <w:t>irect/indirect management.</w:t>
      </w:r>
    </w:p>
    <w:p w:rsidR="003A1527" w:rsidRDefault="00742A12">
      <w:pPr>
        <w:pStyle w:val="ListParagraph"/>
        <w:numPr>
          <w:ilvl w:val="1"/>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future ESF+ Health component will further support Member States' efforts to collaborate in order to foster joint cooperation and to implement best practices.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Investment in human capital and skills development should also rais</w:t>
      </w:r>
      <w:r>
        <w:rPr>
          <w:rFonts w:ascii="Times New Roman" w:hAnsi="Times New Roman" w:cs="Times New Roman"/>
          <w:noProof/>
          <w:sz w:val="24"/>
          <w:szCs w:val="24"/>
        </w:rPr>
        <w:t>e the innovation and employment potential of the whole EU, building on Member States’ and regions’ competitive advantages in line with their smart specialisation strategies.</w:t>
      </w:r>
      <w:r>
        <w:rPr>
          <w:rStyle w:val="FootnoteReference"/>
          <w:rFonts w:ascii="Times New Roman" w:hAnsi="Times New Roman" w:cs="Times New Roman"/>
          <w:noProof/>
          <w:sz w:val="24"/>
          <w:szCs w:val="24"/>
        </w:rPr>
        <w:footnoteReference w:id="116"/>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merger of the funds is expected to have positive implications as regards the </w:t>
      </w:r>
      <w:r>
        <w:rPr>
          <w:rFonts w:ascii="Times New Roman" w:hAnsi="Times New Roman" w:cs="Times New Roman"/>
          <w:noProof/>
          <w:sz w:val="24"/>
          <w:szCs w:val="24"/>
          <w:lang w:val="en-US"/>
        </w:rPr>
        <w:t xml:space="preserve">other cross-cutting and fund-specific MFF objectives, i.e. flexibility, simplification and performance- and results-orientation. Having a single fund will give Member States and the Commission more </w:t>
      </w:r>
      <w:r>
        <w:rPr>
          <w:rFonts w:ascii="Times New Roman" w:hAnsi="Times New Roman" w:cs="Times New Roman"/>
          <w:b/>
          <w:noProof/>
          <w:sz w:val="24"/>
          <w:szCs w:val="24"/>
          <w:lang w:val="en-US"/>
        </w:rPr>
        <w:t>flexibility</w:t>
      </w:r>
      <w:r>
        <w:rPr>
          <w:rFonts w:ascii="Times New Roman" w:hAnsi="Times New Roman" w:cs="Times New Roman"/>
          <w:noProof/>
          <w:sz w:val="24"/>
          <w:szCs w:val="24"/>
          <w:lang w:val="en-US"/>
        </w:rPr>
        <w:t xml:space="preserve"> in spending EU funding across thematic areas a</w:t>
      </w:r>
      <w:r>
        <w:rPr>
          <w:rFonts w:ascii="Times New Roman" w:hAnsi="Times New Roman" w:cs="Times New Roman"/>
          <w:noProof/>
          <w:sz w:val="24"/>
          <w:szCs w:val="24"/>
          <w:lang w:val="en-US"/>
        </w:rPr>
        <w:t xml:space="preserve">nd shifting budgets where needed, which in turn will help them address changing social needs and improve </w:t>
      </w:r>
      <w:r>
        <w:rPr>
          <w:rFonts w:ascii="Times New Roman" w:hAnsi="Times New Roman" w:cs="Times New Roman"/>
          <w:b/>
          <w:noProof/>
          <w:sz w:val="24"/>
          <w:szCs w:val="24"/>
          <w:lang w:val="en-US"/>
        </w:rPr>
        <w:t>alignment with EU policy priorities.</w:t>
      </w:r>
      <w:r>
        <w:rPr>
          <w:rStyle w:val="FootnoteReference"/>
          <w:rFonts w:ascii="Times New Roman" w:hAnsi="Times New Roman" w:cs="Times New Roman"/>
          <w:noProof/>
          <w:sz w:val="24"/>
          <w:szCs w:val="24"/>
          <w:lang w:val="en-US"/>
        </w:rPr>
        <w:footnoteReference w:id="117"/>
      </w:r>
      <w:r>
        <w:rPr>
          <w:rFonts w:ascii="Times New Roman" w:hAnsi="Times New Roman" w:cs="Times New Roman"/>
          <w:noProof/>
          <w:sz w:val="24"/>
          <w:szCs w:val="24"/>
        </w:rPr>
        <w:t xml:space="preserve"> </w:t>
      </w:r>
    </w:p>
    <w:p w:rsidR="003A1527" w:rsidRDefault="00742A12">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Integrating the funds should also </w:t>
      </w:r>
      <w:r>
        <w:rPr>
          <w:rFonts w:ascii="Times New Roman" w:hAnsi="Times New Roman" w:cs="Times New Roman"/>
          <w:b/>
          <w:noProof/>
          <w:sz w:val="24"/>
          <w:szCs w:val="24"/>
          <w:lang w:val="en-US"/>
        </w:rPr>
        <w:t>reduce the administrative costs</w:t>
      </w:r>
      <w:r>
        <w:rPr>
          <w:rFonts w:ascii="Times New Roman" w:hAnsi="Times New Roman" w:cs="Times New Roman"/>
          <w:noProof/>
          <w:sz w:val="24"/>
          <w:szCs w:val="24"/>
          <w:lang w:val="en-US"/>
        </w:rPr>
        <w:t xml:space="preserve"> of managing the programmes</w:t>
      </w:r>
      <w:r>
        <w:rPr>
          <w:rStyle w:val="FootnoteReference"/>
          <w:rFonts w:ascii="Times New Roman" w:hAnsi="Times New Roman" w:cs="Times New Roman"/>
          <w:noProof/>
          <w:sz w:val="24"/>
          <w:szCs w:val="24"/>
          <w:lang w:val="en-US"/>
        </w:rPr>
        <w:footnoteReference w:id="118"/>
      </w:r>
      <w:r>
        <w:rPr>
          <w:rFonts w:ascii="Times New Roman" w:hAnsi="Times New Roman" w:cs="Times New Roman"/>
          <w:noProof/>
          <w:sz w:val="24"/>
          <w:szCs w:val="24"/>
          <w:lang w:val="en-US"/>
        </w:rPr>
        <w:t xml:space="preserve"> with: </w:t>
      </w:r>
    </w:p>
    <w:p w:rsidR="003A1527" w:rsidRDefault="00742A12">
      <w:pPr>
        <w:pStyle w:val="ListParagraph"/>
        <w:numPr>
          <w:ilvl w:val="0"/>
          <w:numId w:val="34"/>
        </w:num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fewer progr</w:t>
      </w:r>
      <w:r>
        <w:rPr>
          <w:rFonts w:ascii="Times New Roman" w:hAnsi="Times New Roman" w:cs="Times New Roman"/>
          <w:noProof/>
          <w:sz w:val="24"/>
          <w:szCs w:val="24"/>
          <w:lang w:val="en-US"/>
        </w:rPr>
        <w:t xml:space="preserve">amming documents, e.g. </w:t>
      </w:r>
      <w:r>
        <w:rPr>
          <w:rFonts w:ascii="Times New Roman" w:hAnsi="Times New Roman" w:cs="Times New Roman"/>
          <w:noProof/>
          <w:sz w:val="24"/>
          <w:szCs w:val="24"/>
        </w:rPr>
        <w:t>support for basic and material assistance (ex-FEAD) will be integrated in the programmes under a dedicated priority axis, with simpler rules</w:t>
      </w:r>
      <w:r>
        <w:rPr>
          <w:rFonts w:ascii="Times New Roman" w:hAnsi="Times New Roman" w:cs="Times New Roman"/>
          <w:noProof/>
          <w:sz w:val="24"/>
          <w:szCs w:val="24"/>
          <w:lang w:val="en-US"/>
        </w:rPr>
        <w:t xml:space="preserve">; </w:t>
      </w:r>
    </w:p>
    <w:p w:rsidR="003A1527" w:rsidRDefault="00742A12">
      <w:pPr>
        <w:pStyle w:val="ListParagraph"/>
        <w:numPr>
          <w:ilvl w:val="0"/>
          <w:numId w:val="34"/>
        </w:num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no need for separate managing authorities and monitoring committees; and </w:t>
      </w:r>
    </w:p>
    <w:p w:rsidR="003A1527" w:rsidRDefault="00742A12">
      <w:pPr>
        <w:pStyle w:val="ListParagraph"/>
        <w:numPr>
          <w:ilvl w:val="0"/>
          <w:numId w:val="34"/>
        </w:num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while the ESF Co</w:t>
      </w:r>
      <w:r>
        <w:rPr>
          <w:rFonts w:ascii="Times New Roman" w:hAnsi="Times New Roman" w:cs="Times New Roman"/>
          <w:noProof/>
          <w:sz w:val="24"/>
          <w:szCs w:val="24"/>
        </w:rPr>
        <w:t>mmittee will remain but with extended tasks to cover new areas of the ESF+ Regulation, the current comitology committee under FEAD will be taken up by the common comitology committee set up by the future Common Provisions Regulation. Only for the ex-EaSI a</w:t>
      </w:r>
      <w:r>
        <w:rPr>
          <w:rFonts w:ascii="Times New Roman" w:hAnsi="Times New Roman" w:cs="Times New Roman"/>
          <w:noProof/>
          <w:sz w:val="24"/>
          <w:szCs w:val="24"/>
        </w:rPr>
        <w:t xml:space="preserve">nd EU Health programme parts a separate comitology committee might have to be set up. </w:t>
      </w:r>
    </w:p>
    <w:p w:rsidR="003A1527" w:rsidRDefault="00742A12">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By introducing streamlined programming and implementation rules, </w:t>
      </w:r>
      <w:r>
        <w:rPr>
          <w:rFonts w:ascii="Times New Roman" w:hAnsi="Times New Roman" w:cs="Times New Roman"/>
          <w:noProof/>
          <w:sz w:val="24"/>
          <w:szCs w:val="24"/>
          <w:lang w:val="en-US"/>
        </w:rPr>
        <w:t>the ESF+ is also expected to reduce the administrative costs of</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 xml:space="preserve">beneficiaries who are currently tapping </w:t>
      </w:r>
      <w:r>
        <w:rPr>
          <w:rFonts w:ascii="Times New Roman" w:hAnsi="Times New Roman" w:cs="Times New Roman"/>
          <w:noProof/>
          <w:sz w:val="24"/>
          <w:szCs w:val="24"/>
          <w:lang w:val="en-US"/>
        </w:rPr>
        <w:t xml:space="preserve">into different funds. For example, the specific rules on matching funds from the former YEI budget line and the ESF will be dropped, thereby alleviating administrative burden.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Lastly, the merger of the funds is expected to reinforce </w:t>
      </w:r>
      <w:r>
        <w:rPr>
          <w:rFonts w:ascii="Times New Roman" w:hAnsi="Times New Roman" w:cs="Times New Roman"/>
          <w:b/>
          <w:noProof/>
          <w:sz w:val="24"/>
          <w:szCs w:val="24"/>
          <w:lang w:val="en-US"/>
        </w:rPr>
        <w:t>results-orientation lo</w:t>
      </w:r>
      <w:r>
        <w:rPr>
          <w:rFonts w:ascii="Times New Roman" w:hAnsi="Times New Roman" w:cs="Times New Roman"/>
          <w:b/>
          <w:noProof/>
          <w:sz w:val="24"/>
          <w:szCs w:val="24"/>
          <w:lang w:val="en-US"/>
        </w:rPr>
        <w:t>gic</w:t>
      </w:r>
      <w:r>
        <w:rPr>
          <w:rFonts w:ascii="Times New Roman" w:hAnsi="Times New Roman" w:cs="Times New Roman"/>
          <w:noProof/>
          <w:sz w:val="24"/>
          <w:szCs w:val="24"/>
          <w:lang w:val="en-US"/>
        </w:rPr>
        <w:t>, in particular by making financing subject to compliance with conditions (see sections 4.3 and 4.4).</w:t>
      </w:r>
      <w:r>
        <w:rPr>
          <w:rStyle w:val="FootnoteReference"/>
          <w:rFonts w:ascii="Times New Roman" w:hAnsi="Times New Roman" w:cs="Times New Roman"/>
          <w:noProof/>
          <w:sz w:val="24"/>
          <w:szCs w:val="24"/>
        </w:rPr>
        <w:footnoteReference w:id="119"/>
      </w: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Risks and mitigating measures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Merging the funds bears risks in terms of administrative burden for some of the current funds.  The risk of applying the</w:t>
      </w:r>
      <w:r>
        <w:rPr>
          <w:rFonts w:ascii="Times New Roman" w:hAnsi="Times New Roman" w:cs="Times New Roman"/>
          <w:noProof/>
          <w:sz w:val="24"/>
          <w:szCs w:val="24"/>
        </w:rPr>
        <w:t xml:space="preserve"> more complex ESI funds rules to ex-FEAD-type interventions, in particular under programmes for food and basic material assistance, will be mitigated by programming within a specific priority axis and keeping specific simplified requirements in the ESF+ Re</w:t>
      </w:r>
      <w:r>
        <w:rPr>
          <w:rFonts w:ascii="Times New Roman" w:hAnsi="Times New Roman" w:cs="Times New Roman"/>
          <w:noProof/>
          <w:sz w:val="24"/>
          <w:szCs w:val="24"/>
        </w:rPr>
        <w:t xml:space="preserve">gulation, e.g. simpler programming, monitoring and reporting, audit and control (see section 4.4). Stakeholders noted that integrating EaSI in the ESF+ could be risky in terms of effectiveness (e.g. less room for experimentation) and efficiency (risk that </w:t>
      </w:r>
      <w:r>
        <w:rPr>
          <w:rFonts w:ascii="Times New Roman" w:hAnsi="Times New Roman" w:cs="Times New Roman"/>
          <w:noProof/>
          <w:sz w:val="24"/>
          <w:szCs w:val="24"/>
        </w:rPr>
        <w:t>the heavy administrative procedures of ESF would be imposed on EaSI).</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In mitigation, a specific strand in the ESF+ Regulation will provide support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experimentation through directly and indirectly managed activities complementing the shared mana</w:t>
      </w:r>
      <w:r>
        <w:rPr>
          <w:rFonts w:ascii="Times New Roman" w:hAnsi="Times New Roman" w:cs="Times New Roman"/>
          <w:noProof/>
          <w:sz w:val="24"/>
          <w:szCs w:val="24"/>
        </w:rPr>
        <w:t xml:space="preserve">gement strand. </w:t>
      </w: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Other options have been considered, but have been discarded for the reasons outlined below:</w:t>
      </w:r>
    </w:p>
    <w:p w:rsidR="003A1527" w:rsidRDefault="00742A12">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merging the ESF, YEI, FEAD, EaSI, EU Health programme and EGF - this would only result in an artificial reduction in the number of funds. The EGF's </w:t>
      </w:r>
      <w:r>
        <w:rPr>
          <w:rFonts w:ascii="Times New Roman" w:hAnsi="Times New Roman" w:cs="Times New Roman"/>
          <w:noProof/>
          <w:sz w:val="24"/>
          <w:szCs w:val="24"/>
        </w:rPr>
        <w:t>very specific objectives, high political visibility and budgetary flexibility would be lost if it were to be merged with the ESF+. This has been confirmed by stakeholders in the framework of the consultation process</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w:t>
      </w:r>
    </w:p>
    <w:p w:rsidR="003A1527" w:rsidRDefault="00742A12">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merging the funds under shared manage</w:t>
      </w:r>
      <w:r>
        <w:rPr>
          <w:rFonts w:ascii="Times New Roman" w:hAnsi="Times New Roman" w:cs="Times New Roman"/>
          <w:noProof/>
          <w:sz w:val="24"/>
          <w:szCs w:val="24"/>
        </w:rPr>
        <w:t>ment (i.e. excluding the EaSI and the EU Health programme, but including the EGF) – again, this would mean sacrificing the EGF's  high visibility as an EU-level emergency instrument to cushion the adverse side effects of globalisation. The potential flexib</w:t>
      </w:r>
      <w:r>
        <w:rPr>
          <w:rFonts w:ascii="Times New Roman" w:hAnsi="Times New Roman" w:cs="Times New Roman"/>
          <w:noProof/>
          <w:sz w:val="24"/>
          <w:szCs w:val="24"/>
        </w:rPr>
        <w:t>ility and synergies to be gained from merging EaSI within the ESF+ would also be lost;</w:t>
      </w:r>
    </w:p>
    <w:p w:rsidR="003A1527" w:rsidRDefault="00742A12">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keeping the FEAD as a separate fund, but merging the two types of FEAD programmes (material assistance and social inclusion) - this would allow for more synergies betwee</w:t>
      </w:r>
      <w:r>
        <w:rPr>
          <w:rFonts w:ascii="Times New Roman" w:hAnsi="Times New Roman" w:cs="Times New Roman"/>
          <w:noProof/>
          <w:sz w:val="24"/>
          <w:szCs w:val="24"/>
        </w:rPr>
        <w:t xml:space="preserve">n the basic material assistance types of support and social inclusion measures while keeping the current implementation rules. However, it would not ensure adequate demarcation </w:t>
      </w:r>
      <w:r>
        <w:rPr>
          <w:rFonts w:ascii="Times New Roman" w:hAnsi="Times New Roman" w:cs="Times New Roman"/>
          <w:i/>
          <w:noProof/>
          <w:sz w:val="24"/>
          <w:szCs w:val="24"/>
        </w:rPr>
        <w:t>vis-à-vis</w:t>
      </w:r>
      <w:r>
        <w:rPr>
          <w:rFonts w:ascii="Times New Roman" w:hAnsi="Times New Roman" w:cs="Times New Roman"/>
          <w:noProof/>
          <w:sz w:val="24"/>
          <w:szCs w:val="24"/>
        </w:rPr>
        <w:t xml:space="preserve"> ESF-type social inclusion measures;  </w:t>
      </w:r>
    </w:p>
    <w:p w:rsidR="003A1527" w:rsidRDefault="00742A12">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merging all ESI funds - this wo</w:t>
      </w:r>
      <w:r>
        <w:rPr>
          <w:rFonts w:ascii="Times New Roman" w:hAnsi="Times New Roman" w:cs="Times New Roman"/>
          <w:noProof/>
          <w:sz w:val="24"/>
          <w:szCs w:val="24"/>
        </w:rPr>
        <w:t>uld impair policy delivery, as it would not be possible to adapt implementation rules to the specific requirements of the policies supported. Also it would not increase synergies and coherence with other human capital funds; and</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4.1.2 Coherence and synerg</w:t>
      </w:r>
      <w:r>
        <w:rPr>
          <w:rFonts w:ascii="Times New Roman" w:hAnsi="Times New Roman" w:cs="Times New Roman"/>
          <w:b/>
          <w:noProof/>
          <w:sz w:val="24"/>
          <w:szCs w:val="24"/>
        </w:rPr>
        <w:t>ies between the ESF+ and other funds</w:t>
      </w: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Coordination should continue on the ground, with all funds investing in human capital development. Evidence shows that an important factor in effective integration is assembling the right territorial actors at project l</w:t>
      </w:r>
      <w:r>
        <w:rPr>
          <w:rFonts w:ascii="Times New Roman" w:hAnsi="Times New Roman" w:cs="Times New Roman"/>
          <w:noProof/>
          <w:sz w:val="24"/>
          <w:szCs w:val="24"/>
        </w:rPr>
        <w:t>evel.</w:t>
      </w: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ESF+ and EGF</w:t>
      </w:r>
    </w:p>
    <w:p w:rsidR="003A1527" w:rsidRDefault="00742A12">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The ESF+ and EGF will continue to complement each other, as the former will continue to function as a preventive and anticipatory fund, while the latter will remain a reactive emergency Fund outside the MFF. The ESF+ will for example com</w:t>
      </w:r>
      <w:r>
        <w:rPr>
          <w:rFonts w:ascii="Times New Roman" w:hAnsi="Times New Roman" w:cs="Times New Roman"/>
          <w:noProof/>
          <w:sz w:val="24"/>
          <w:szCs w:val="24"/>
        </w:rPr>
        <w:t>plement the EGF by proactively supporting adequate measures in areas that are at risk due to foreseeable economic challenges. To increase coherence and synergies with the ESF+, a clear demarcation line will be established by removing the NEETs as a specifi</w:t>
      </w:r>
      <w:r>
        <w:rPr>
          <w:rFonts w:ascii="Times New Roman" w:hAnsi="Times New Roman" w:cs="Times New Roman"/>
          <w:noProof/>
          <w:sz w:val="24"/>
          <w:szCs w:val="24"/>
        </w:rPr>
        <w:t xml:space="preserve">c target group for the EGF. In addition, because more favourable co-financing rates have sometimes led Member States to use the ESF for EGF-type of measures, the EGF co-financing rate will be aligned with the ESF+ rate in the </w:t>
      </w:r>
      <w:r>
        <w:rPr>
          <w:rFonts w:ascii="Times New Roman" w:hAnsi="Times New Roman" w:cs="Times New Roman"/>
          <w:noProof/>
          <w:sz w:val="24"/>
          <w:szCs w:val="24"/>
          <w:lang w:val="en-US"/>
        </w:rPr>
        <w:t>Member State concerned</w:t>
      </w:r>
      <w:r>
        <w:rPr>
          <w:rFonts w:ascii="Times New Roman" w:hAnsi="Times New Roman" w:cs="Times New Roman"/>
          <w:noProof/>
          <w:sz w:val="24"/>
          <w:szCs w:val="24"/>
        </w:rPr>
        <w:t>.</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w:t>
      </w:r>
      <w:r>
        <w:rPr>
          <w:rFonts w:ascii="Times New Roman" w:hAnsi="Times New Roman" w:cs="Times New Roman"/>
          <w:noProof/>
          <w:sz w:val="24"/>
          <w:szCs w:val="24"/>
        </w:rPr>
        <w:t xml:space="preserve">itiative also aims at improving synergies and coherence between ESF+ and other funds investing in human capital development. For example, one stop shops in Member States should be considered to ensure coordination of funds on the ground and offer a unique </w:t>
      </w:r>
      <w:r>
        <w:rPr>
          <w:rFonts w:ascii="Times New Roman" w:hAnsi="Times New Roman" w:cs="Times New Roman"/>
          <w:noProof/>
          <w:sz w:val="24"/>
          <w:szCs w:val="24"/>
        </w:rPr>
        <w:t xml:space="preserve">access information point for potential beneficiaries on which Member States would be required to publish all their calls (e.g. via a single digital portal).  </w:t>
      </w:r>
    </w:p>
    <w:p w:rsidR="003A1527" w:rsidRDefault="00742A12">
      <w:pPr>
        <w:pStyle w:val="ListNumber"/>
        <w:tabs>
          <w:tab w:val="clear" w:pos="709"/>
          <w:tab w:val="left" w:pos="720"/>
        </w:tabs>
        <w:ind w:left="0" w:firstLine="0"/>
        <w:rPr>
          <w:i/>
          <w:noProof/>
          <w:szCs w:val="24"/>
        </w:rPr>
      </w:pPr>
      <w:r>
        <w:rPr>
          <w:i/>
          <w:noProof/>
          <w:szCs w:val="24"/>
        </w:rPr>
        <w:t>ESF+ and ERDF (and other ESI funds)</w:t>
      </w:r>
    </w:p>
    <w:p w:rsidR="003A1527" w:rsidRDefault="00742A12">
      <w:pPr>
        <w:pStyle w:val="ListNumber"/>
        <w:tabs>
          <w:tab w:val="clear" w:pos="709"/>
          <w:tab w:val="left" w:pos="720"/>
        </w:tabs>
        <w:ind w:left="0" w:firstLine="0"/>
        <w:rPr>
          <w:noProof/>
          <w:szCs w:val="24"/>
        </w:rPr>
      </w:pPr>
      <w:r>
        <w:rPr>
          <w:noProof/>
          <w:szCs w:val="24"/>
        </w:rPr>
        <w:t xml:space="preserve">The ESF+ will continue to be part of cohesion policy and be </w:t>
      </w:r>
      <w:r>
        <w:rPr>
          <w:noProof/>
          <w:szCs w:val="24"/>
        </w:rPr>
        <w:t>mainly regulated by the Common Provisions Regulation with other shared management funds. As such same rules of management, programming, monitoring, auditing, etc. will apply. Programmes in Member States can continue to integrate ERDF and ESF funding (multi</w:t>
      </w:r>
      <w:r>
        <w:rPr>
          <w:noProof/>
          <w:szCs w:val="24"/>
        </w:rPr>
        <w:t>-fund programmes). Also, the same allocation methodology will apply to ERDF and the ESF. This will ensure that ESF+ and ESI funds, in particular the ERDF, continue to be implemented in a complementary manner.</w:t>
      </w:r>
    </w:p>
    <w:p w:rsidR="003A1527" w:rsidRDefault="00742A12">
      <w:pPr>
        <w:pStyle w:val="ListNumber"/>
        <w:tabs>
          <w:tab w:val="clear" w:pos="709"/>
          <w:tab w:val="left" w:pos="720"/>
        </w:tabs>
        <w:ind w:left="0" w:firstLine="0"/>
        <w:rPr>
          <w:i/>
          <w:noProof/>
          <w:szCs w:val="24"/>
        </w:rPr>
      </w:pPr>
      <w:r>
        <w:rPr>
          <w:i/>
          <w:noProof/>
          <w:szCs w:val="24"/>
        </w:rPr>
        <w:t>ESF+ and Erasmus</w:t>
      </w:r>
      <w:r>
        <w:rPr>
          <w:rStyle w:val="FootnoteReference"/>
          <w:i/>
          <w:noProof/>
          <w:szCs w:val="24"/>
        </w:rPr>
        <w:footnoteReference w:id="122"/>
      </w:r>
      <w:r>
        <w:rPr>
          <w:i/>
          <w:noProof/>
          <w:szCs w:val="24"/>
        </w:rPr>
        <w:t xml:space="preserve"> </w:t>
      </w:r>
    </w:p>
    <w:p w:rsidR="003A1527" w:rsidRDefault="00742A12">
      <w:pPr>
        <w:pStyle w:val="ListNumber"/>
        <w:ind w:left="0" w:firstLine="0"/>
        <w:rPr>
          <w:noProof/>
        </w:rPr>
      </w:pPr>
      <w:r>
        <w:rPr>
          <w:noProof/>
        </w:rPr>
        <w:t>The ESF and Erasmus+ are act</w:t>
      </w:r>
      <w:r>
        <w:rPr>
          <w:noProof/>
        </w:rPr>
        <w:t>ive in similar fields, notably as regards the support to skills, upskilling, digital competences, etc. In the current period, some Member States use the two instruments in a complementary manner in order to reinforce actions where relevant, for instance by</w:t>
      </w:r>
      <w:r>
        <w:rPr>
          <w:noProof/>
        </w:rPr>
        <w:t xml:space="preserve"> scaling up Erasmus+ measures through the ESF. However, such examples are rather exceptional. A specific element of Erasmus+ where demand for exchanges tends to be unsatisfied is VET mobility, including for apprenticeships/dual learning programmes. For the</w:t>
      </w:r>
      <w:r>
        <w:rPr>
          <w:noProof/>
        </w:rPr>
        <w:t xml:space="preserve"> future, the respective legal bases could include further provisions to this purpose, to be set out in detail in work programmes and programme guides (e.g. through better articulated mechanisms to promote upscaling of Erasmus actions and policy experimenta</w:t>
      </w:r>
      <w:r>
        <w:rPr>
          <w:noProof/>
        </w:rPr>
        <w:t>tion through the ESF+ and vice versa, and enhance participation of Erasmus national agencies in the design of relevant ESF+ actions).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details of complementarities and synergies between the ESF+ and specific funds are presented in Annex 4.</w:t>
      </w:r>
    </w:p>
    <w:p w:rsidR="003A1527" w:rsidRDefault="003A1527">
      <w:pPr>
        <w:spacing w:line="240" w:lineRule="auto"/>
        <w:jc w:val="both"/>
        <w:rPr>
          <w:rFonts w:ascii="Times New Roman" w:hAnsi="Times New Roman" w:cs="Times New Roman"/>
          <w:b/>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4.2 </w:t>
      </w:r>
      <w:r>
        <w:rPr>
          <w:rFonts w:ascii="Times New Roman" w:hAnsi="Times New Roman" w:cs="Times New Roman"/>
          <w:b/>
          <w:noProof/>
          <w:sz w:val="24"/>
          <w:szCs w:val="24"/>
        </w:rPr>
        <w:tab/>
        <w:t>Flexib</w:t>
      </w:r>
      <w:r>
        <w:rPr>
          <w:rFonts w:ascii="Times New Roman" w:hAnsi="Times New Roman" w:cs="Times New Roman"/>
          <w:b/>
          <w:noProof/>
          <w:sz w:val="24"/>
          <w:szCs w:val="24"/>
        </w:rPr>
        <w:t xml:space="preserve">ility and alignment with policy priorities </w:t>
      </w: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4.2.1. </w:t>
      </w:r>
      <w:r>
        <w:rPr>
          <w:rFonts w:ascii="Times New Roman" w:hAnsi="Times New Roman" w:cs="Times New Roman"/>
          <w:b/>
          <w:noProof/>
          <w:sz w:val="24"/>
          <w:szCs w:val="24"/>
        </w:rPr>
        <w:tab/>
        <w:t>ESF+</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S</w:t>
      </w:r>
      <w:r>
        <w:rPr>
          <w:rFonts w:ascii="Times New Roman" w:hAnsi="Times New Roman" w:cs="Times New Roman"/>
          <w:noProof/>
          <w:sz w:val="24"/>
          <w:szCs w:val="24"/>
        </w:rPr>
        <w:t>trengthening the link between funding and the economic governance cycle (a great achievement in the 2014-2020 period) is expected to improve alignment with policy priorities and flexibility to respo</w:t>
      </w:r>
      <w:r>
        <w:rPr>
          <w:rFonts w:ascii="Times New Roman" w:hAnsi="Times New Roman" w:cs="Times New Roman"/>
          <w:noProof/>
          <w:sz w:val="24"/>
          <w:szCs w:val="24"/>
        </w:rPr>
        <w:t>nd to emerging challenges. Some legislative changes to the economic governance framework would be required, e.g. adapting the calendar and changing the legal status of the country reports and national reform programmes.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light of the above, two alternati</w:t>
      </w:r>
      <w:r>
        <w:rPr>
          <w:rFonts w:ascii="Times New Roman" w:hAnsi="Times New Roman" w:cs="Times New Roman"/>
          <w:noProof/>
          <w:sz w:val="24"/>
          <w:szCs w:val="24"/>
        </w:rPr>
        <w:t>ve scenarios</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are considered:</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 A baseline scenario: with the Semester process in its current form, ESF+ investments could still be aligned, as at present, with annual CSRs but with the limitation that CSRs would be very general and not well fitted to pro</w:t>
      </w:r>
      <w:r>
        <w:rPr>
          <w:rFonts w:ascii="Times New Roman" w:hAnsi="Times New Roman" w:cs="Times New Roman"/>
          <w:noProof/>
          <w:sz w:val="24"/>
          <w:szCs w:val="24"/>
        </w:rPr>
        <w:t>gramming purposes. We can expect the ESF+ contribution to remain significant in countries and for policy areas combining a stronger linkage between CSRs and programme objectives and more intensive ESI funds funding.</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In this scenario, the legal framework f</w:t>
      </w:r>
      <w:r>
        <w:rPr>
          <w:rFonts w:ascii="Times New Roman" w:hAnsi="Times New Roman" w:cs="Times New Roman"/>
          <w:noProof/>
          <w:sz w:val="24"/>
          <w:szCs w:val="24"/>
        </w:rPr>
        <w:t xml:space="preserve">or ESF+ programming would not be fundamentally modified with regard to the traceability of CSR related allocations, as the CSRs would continue to be adopted annually and therefore be reflected in </w:t>
      </w:r>
      <w:r>
        <w:rPr>
          <w:rFonts w:ascii="Times New Roman" w:hAnsi="Times New Roman" w:cs="Times New Roman"/>
          <w:i/>
          <w:noProof/>
          <w:sz w:val="24"/>
          <w:szCs w:val="24"/>
        </w:rPr>
        <w:t>ad hoc</w:t>
      </w:r>
      <w:r>
        <w:rPr>
          <w:rFonts w:ascii="Times New Roman" w:hAnsi="Times New Roman" w:cs="Times New Roman"/>
          <w:noProof/>
          <w:sz w:val="24"/>
          <w:szCs w:val="24"/>
        </w:rPr>
        <w:t xml:space="preserve"> programme amendments, where relevant, adding signific</w:t>
      </w:r>
      <w:r>
        <w:rPr>
          <w:rFonts w:ascii="Times New Roman" w:hAnsi="Times New Roman" w:cs="Times New Roman"/>
          <w:noProof/>
          <w:sz w:val="24"/>
          <w:szCs w:val="24"/>
        </w:rPr>
        <w:t xml:space="preserve">antly to the administrative burden.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 A strengthened alignment between the European Semester process and the funds' investment cycles would simplify programming and reporting. Before the programming cycle starts, challenges</w:t>
      </w:r>
      <w:r>
        <w:rPr>
          <w:rFonts w:ascii="Times New Roman" w:eastAsia="Arial Unicode MS" w:hAnsi="Times New Roman" w:cs="Times New Roman"/>
          <w:noProof/>
          <w:sz w:val="24"/>
          <w:szCs w:val="24"/>
        </w:rPr>
        <w:t xml:space="preserve"> falling within the scope of the ESF+</w:t>
      </w:r>
      <w:r>
        <w:rPr>
          <w:rFonts w:ascii="Times New Roman" w:hAnsi="Times New Roman" w:cs="Times New Roman"/>
          <w:noProof/>
          <w:sz w:val="24"/>
          <w:szCs w:val="24"/>
        </w:rPr>
        <w:t xml:space="preserve"> identified in CSRs adopted in accordance with Article 121(2) and Article 148(4) TFEU</w:t>
      </w:r>
      <w:r>
        <w:rPr>
          <w:rFonts w:ascii="Times New Roman" w:eastAsia="Arial Unicode MS" w:hAnsi="Times New Roman" w:cs="Times New Roman"/>
          <w:noProof/>
          <w:sz w:val="24"/>
          <w:szCs w:val="24"/>
        </w:rPr>
        <w:t xml:space="preserve"> and in the European Semester, and </w:t>
      </w:r>
      <w:r>
        <w:rPr>
          <w:rFonts w:ascii="Times New Roman" w:hAnsi="Times New Roman" w:cs="Times New Roman"/>
          <w:noProof/>
          <w:sz w:val="24"/>
          <w:szCs w:val="24"/>
        </w:rPr>
        <w:t xml:space="preserve">accompanied by a set of investment-related guidance issued for each Member State, would trigger </w:t>
      </w:r>
      <w:r>
        <w:rPr>
          <w:rFonts w:ascii="Times New Roman" w:hAnsi="Times New Roman" w:cs="Times New Roman"/>
          <w:noProof/>
          <w:sz w:val="24"/>
          <w:szCs w:val="24"/>
        </w:rPr>
        <w:t>programming. The investment-related guidance would be linked with specific funding for the initial years of implementation (only part of the national allocation would be programmed). Following a mid-way review of challenges identified in the context of the</w:t>
      </w:r>
      <w:r>
        <w:rPr>
          <w:rFonts w:ascii="Times New Roman" w:hAnsi="Times New Roman" w:cs="Times New Roman"/>
          <w:noProof/>
          <w:sz w:val="24"/>
          <w:szCs w:val="24"/>
        </w:rPr>
        <w:t xml:space="preserve"> European Semester, accompanied by a second round of investment-related guidance, the programmes would be adjusted (and the remainder of the budget allocated) for the second phase of the programming period. This measure would ensure that emerging new needs</w:t>
      </w:r>
      <w:r>
        <w:rPr>
          <w:rFonts w:ascii="Times New Roman" w:hAnsi="Times New Roman" w:cs="Times New Roman"/>
          <w:noProof/>
          <w:sz w:val="24"/>
          <w:szCs w:val="24"/>
        </w:rPr>
        <w:t xml:space="preserve"> could be more easily taken into account by the Fund without distorting the long-term nature of structural funds.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order to mitigate the additional administrative burden relating to the review, this would replace the current FEAD mid-term evaluation and </w:t>
      </w:r>
      <w:r>
        <w:rPr>
          <w:rFonts w:ascii="Times New Roman" w:hAnsi="Times New Roman" w:cs="Times New Roman"/>
          <w:noProof/>
          <w:sz w:val="24"/>
          <w:szCs w:val="24"/>
        </w:rPr>
        <w:t>ESF progress report.</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elements expected to increase policy alignment and flexibility of the ESF+ include: </w:t>
      </w:r>
    </w:p>
    <w:p w:rsidR="003A1527" w:rsidRDefault="00742A12">
      <w:pPr>
        <w:pStyle w:val="ListParagraph"/>
        <w:numPr>
          <w:ilvl w:val="0"/>
          <w:numId w:val="29"/>
        </w:numPr>
        <w:spacing w:after="0" w:line="240" w:lineRule="auto"/>
        <w:jc w:val="both"/>
        <w:rPr>
          <w:rFonts w:ascii="Times New Roman" w:hAnsi="Times New Roman" w:cs="Times New Roman"/>
          <w:noProof/>
          <w:sz w:val="24"/>
          <w:szCs w:val="24"/>
        </w:rPr>
      </w:pPr>
      <w:r>
        <w:rPr>
          <w:rFonts w:ascii="Times New Roman" w:hAnsi="Times New Roman"/>
          <w:noProof/>
          <w:sz w:val="24"/>
        </w:rPr>
        <w:t>‘enabling conditions’ (</w:t>
      </w:r>
      <w:r>
        <w:rPr>
          <w:rFonts w:ascii="Times New Roman" w:hAnsi="Times New Roman" w:cs="Times New Roman"/>
          <w:i/>
          <w:noProof/>
          <w:sz w:val="24"/>
          <w:szCs w:val="24"/>
        </w:rPr>
        <w:t>e</w:t>
      </w:r>
      <w:r>
        <w:rPr>
          <w:rFonts w:ascii="Times New Roman" w:hAnsi="Times New Roman"/>
          <w:i/>
          <w:noProof/>
          <w:sz w:val="24"/>
        </w:rPr>
        <w:t>x-ante</w:t>
      </w:r>
      <w:r>
        <w:rPr>
          <w:rFonts w:ascii="Times New Roman" w:hAnsi="Times New Roman"/>
          <w:noProof/>
          <w:sz w:val="24"/>
        </w:rPr>
        <w:t xml:space="preserve"> conditionalities)</w:t>
      </w:r>
      <w:r>
        <w:rPr>
          <w:rFonts w:ascii="Times New Roman" w:hAnsi="Times New Roman" w:cs="Times New Roman"/>
          <w:noProof/>
          <w:sz w:val="24"/>
          <w:szCs w:val="24"/>
        </w:rPr>
        <w:t>: b</w:t>
      </w:r>
      <w:r>
        <w:rPr>
          <w:rFonts w:ascii="Times New Roman" w:hAnsi="Times New Roman"/>
          <w:noProof/>
          <w:sz w:val="24"/>
        </w:rPr>
        <w:t xml:space="preserve">ased on the positive assessment </w:t>
      </w:r>
      <w:r>
        <w:rPr>
          <w:rStyle w:val="FootnoteReference"/>
          <w:rFonts w:ascii="Times New Roman" w:hAnsi="Times New Roman" w:cs="Times New Roman"/>
          <w:noProof/>
          <w:sz w:val="24"/>
          <w:szCs w:val="24"/>
        </w:rPr>
        <w:footnoteReference w:id="125"/>
      </w:r>
      <w:r>
        <w:rPr>
          <w:rFonts w:ascii="Times New Roman" w:hAnsi="Times New Roman"/>
          <w:noProof/>
          <w:sz w:val="24"/>
        </w:rPr>
        <w:t xml:space="preserve"> for 2014-2020 period, these will be maintained but compl</w:t>
      </w:r>
      <w:r>
        <w:rPr>
          <w:rFonts w:ascii="Times New Roman" w:hAnsi="Times New Roman"/>
          <w:noProof/>
          <w:sz w:val="24"/>
        </w:rPr>
        <w:t>iance will be ensured throughout the programming period and if new objectives are introduced during the programming period, the relevant enabling condition will apply (continuous conditionality). In order to mitigate the potential additional administrative</w:t>
      </w:r>
      <w:r>
        <w:rPr>
          <w:rFonts w:ascii="Times New Roman" w:hAnsi="Times New Roman"/>
          <w:noProof/>
          <w:sz w:val="24"/>
        </w:rPr>
        <w:t xml:space="preserve"> burden, the Commission's assessment of  fulfilment will have to be reflected in the country reports and CSRs (one combined assessment exercise, instead of two in parallel); </w:t>
      </w:r>
    </w:p>
    <w:p w:rsidR="003A1527" w:rsidRDefault="00742A12">
      <w:pPr>
        <w:pStyle w:val="ListParagraph"/>
        <w:numPr>
          <w:ilvl w:val="0"/>
          <w:numId w:val="2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allocation methodology: more attention will be given to policy-relevant indicator</w:t>
      </w:r>
      <w:r>
        <w:rPr>
          <w:rFonts w:ascii="Times New Roman" w:hAnsi="Times New Roman" w:cs="Times New Roman"/>
          <w:noProof/>
          <w:sz w:val="24"/>
          <w:szCs w:val="24"/>
        </w:rPr>
        <w:t>s in the financial allocation methodology, which will be common to the ERDF and ESF+ (the latter will continue to benefit from a pre-determined minimum share). Per capita GDP will remain a key factor in the allocation formula, but additional criteria based</w:t>
      </w:r>
      <w:r>
        <w:rPr>
          <w:rFonts w:ascii="Times New Roman" w:hAnsi="Times New Roman" w:cs="Times New Roman"/>
          <w:noProof/>
          <w:sz w:val="24"/>
          <w:szCs w:val="24"/>
        </w:rPr>
        <w:t xml:space="preserve"> on a number of social indicators will be given greater weight. In addition, to strengthen ownership and improve the quality of investment, it is proposed that national co-financing be increased (while keeping the possibility for 100 % EU funding in some e</w:t>
      </w:r>
      <w:r>
        <w:rPr>
          <w:rFonts w:ascii="Times New Roman" w:hAnsi="Times New Roman" w:cs="Times New Roman"/>
          <w:noProof/>
          <w:sz w:val="24"/>
          <w:szCs w:val="24"/>
        </w:rPr>
        <w:t xml:space="preserve">xceptional cases). Given the nature of ESF+ projects, a reasonable co-financing threshold should be ensured; </w:t>
      </w:r>
    </w:p>
    <w:p w:rsidR="003A1527" w:rsidRDefault="00742A12">
      <w:pPr>
        <w:pStyle w:val="ListParagraph"/>
        <w:numPr>
          <w:ilvl w:val="0"/>
          <w:numId w:val="2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flexible territorial rules: o</w:t>
      </w:r>
      <w:r>
        <w:rPr>
          <w:rFonts w:ascii="Times New Roman" w:hAnsi="Times New Roman"/>
          <w:noProof/>
          <w:sz w:val="24"/>
        </w:rPr>
        <w:t>ver</w:t>
      </w:r>
      <w:r>
        <w:rPr>
          <w:rFonts w:ascii="Times New Roman" w:hAnsi="Times New Roman" w:cs="Times New Roman"/>
          <w:noProof/>
          <w:sz w:val="24"/>
          <w:szCs w:val="24"/>
        </w:rPr>
        <w:t xml:space="preserve"> the current period, the plethora of programmes at levels of governance that are not necessarily responsible </w:t>
      </w:r>
      <w:r>
        <w:rPr>
          <w:rFonts w:ascii="Times New Roman" w:hAnsi="Times New Roman" w:cs="Times New Roman"/>
          <w:noProof/>
          <w:sz w:val="24"/>
          <w:szCs w:val="24"/>
        </w:rPr>
        <w:t>for employment and social policies has led to a mismatch between resource allocation and potential for relevant policy support. While the ESF+ will share common rules with the ESI funds and contribute equally to cohesion, it will be subject to more flexibl</w:t>
      </w:r>
      <w:r>
        <w:rPr>
          <w:rFonts w:ascii="Times New Roman" w:hAnsi="Times New Roman" w:cs="Times New Roman"/>
          <w:noProof/>
          <w:sz w:val="24"/>
          <w:szCs w:val="24"/>
        </w:rPr>
        <w:t xml:space="preserve">e application of the </w:t>
      </w:r>
      <w:r>
        <w:rPr>
          <w:rFonts w:ascii="Times New Roman" w:hAnsi="Times New Roman"/>
          <w:noProof/>
          <w:sz w:val="24"/>
        </w:rPr>
        <w:t>territorial rules</w:t>
      </w:r>
      <w:r>
        <w:rPr>
          <w:rFonts w:ascii="Times New Roman" w:hAnsi="Times New Roman" w:cs="Times New Roman"/>
          <w:noProof/>
          <w:sz w:val="24"/>
          <w:szCs w:val="24"/>
        </w:rPr>
        <w:t xml:space="preserve">. This should ensure better targeting on populations with higher needs, no matter where they live, being it in cities or rural areas. It will also allow for funding to be more closely aligned with policy, while giving </w:t>
      </w:r>
      <w:r>
        <w:rPr>
          <w:rFonts w:ascii="Times New Roman" w:hAnsi="Times New Roman" w:cs="Times New Roman"/>
          <w:noProof/>
          <w:sz w:val="24"/>
          <w:szCs w:val="24"/>
        </w:rPr>
        <w:t>Member States some flexibility in the way they allocate and implement it (national or regional level).</w:t>
      </w:r>
    </w:p>
    <w:p w:rsidR="003A1527" w:rsidRDefault="003A1527">
      <w:pPr>
        <w:pStyle w:val="ListParagraph"/>
        <w:spacing w:after="0" w:line="240" w:lineRule="auto"/>
        <w:jc w:val="both"/>
        <w:rPr>
          <w:rFonts w:ascii="Times New Roman" w:hAnsi="Times New Roman" w:cs="Times New Roman"/>
          <w:noProof/>
          <w:sz w:val="24"/>
          <w:szCs w:val="24"/>
        </w:rPr>
      </w:pPr>
    </w:p>
    <w:p w:rsidR="003A1527" w:rsidRDefault="00742A12">
      <w:pPr>
        <w:spacing w:before="120" w:line="240" w:lineRule="auto"/>
        <w:jc w:val="both"/>
        <w:rPr>
          <w:rFonts w:ascii="Times New Roman" w:hAnsi="Times New Roman"/>
          <w:noProof/>
          <w:sz w:val="24"/>
        </w:rPr>
      </w:pPr>
      <w:r>
        <w:rPr>
          <w:rFonts w:ascii="Times New Roman" w:hAnsi="Times New Roman" w:cs="Times New Roman"/>
          <w:noProof/>
          <w:sz w:val="24"/>
          <w:szCs w:val="24"/>
        </w:rPr>
        <w:t>In addition, t</w:t>
      </w:r>
      <w:r>
        <w:rPr>
          <w:rFonts w:ascii="Times New Roman" w:eastAsiaTheme="minorHAnsi" w:hAnsi="Times New Roman"/>
          <w:noProof/>
          <w:sz w:val="24"/>
        </w:rPr>
        <w:t>he partnership principle will be stressed by ensuring the balanced representation of all stakeholders in the monitoring committees, meanin</w:t>
      </w:r>
      <w:r>
        <w:rPr>
          <w:rFonts w:ascii="Times New Roman" w:eastAsiaTheme="minorHAnsi" w:hAnsi="Times New Roman"/>
          <w:noProof/>
          <w:sz w:val="24"/>
        </w:rPr>
        <w:t>gful consultation with them on all aspects of ESF+ implementation and more resources to support their capacity-building. Technical assistance from the Commission and the Member States should be used for this purpose, together with relevant ex-EaSI resource</w:t>
      </w:r>
      <w:r>
        <w:rPr>
          <w:rFonts w:ascii="Times New Roman" w:eastAsiaTheme="minorHAnsi" w:hAnsi="Times New Roman"/>
          <w:noProof/>
          <w:sz w:val="24"/>
        </w:rPr>
        <w:t xml:space="preserve">s that are available (e.g. grants supporting EU-level NGOs involved in the implementation of social policies).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scenarios were discarded: </w:t>
      </w:r>
    </w:p>
    <w:p w:rsidR="003A1527" w:rsidRDefault="00742A12">
      <w:pPr>
        <w:pStyle w:val="ListParagraph"/>
        <w:numPr>
          <w:ilvl w:val="0"/>
          <w:numId w:val="31"/>
        </w:numPr>
        <w:spacing w:after="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devoting all ESF+ allocations to following up the CSRs – while this would result in strong alignment,</w:t>
      </w:r>
      <w:r>
        <w:rPr>
          <w:rFonts w:ascii="Times New Roman" w:hAnsi="Times New Roman" w:cs="Times New Roman"/>
          <w:noProof/>
          <w:sz w:val="24"/>
          <w:szCs w:val="24"/>
        </w:rPr>
        <w:t xml:space="preserve"> it would not allow for support to be given to additional key policy priorities and recommendations potentially not covered under the European Semester. Given the limited scope of the CSRs, there is no guarantee that they will take full account of employme</w:t>
      </w:r>
      <w:r>
        <w:rPr>
          <w:rFonts w:ascii="Times New Roman" w:hAnsi="Times New Roman" w:cs="Times New Roman"/>
          <w:noProof/>
          <w:sz w:val="24"/>
          <w:szCs w:val="24"/>
        </w:rPr>
        <w:t>nt and social issues; and</w:t>
      </w:r>
    </w:p>
    <w:p w:rsidR="003A1527" w:rsidRDefault="00742A12">
      <w:pPr>
        <w:pStyle w:val="ListParagraph"/>
        <w:numPr>
          <w:ilvl w:val="0"/>
          <w:numId w:val="31"/>
        </w:numPr>
        <w:spacing w:after="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an annual re-programming cycle – while this would allow for an annual alignment of funding with the relevant CSRs, the uncertainty about funding priorities and the administrative burden linked to programming and implementation wou</w:t>
      </w:r>
      <w:r>
        <w:rPr>
          <w:rFonts w:ascii="Times New Roman" w:hAnsi="Times New Roman" w:cs="Times New Roman"/>
          <w:noProof/>
          <w:sz w:val="24"/>
          <w:szCs w:val="24"/>
        </w:rPr>
        <w:t>ld prevent adequate support being given to medium</w:t>
      </w:r>
      <w:r>
        <w:rPr>
          <w:rFonts w:ascii="Times New Roman" w:hAnsi="Times New Roman" w:cs="Times New Roman"/>
          <w:noProof/>
          <w:sz w:val="24"/>
          <w:szCs w:val="24"/>
        </w:rPr>
        <w:noBreakHyphen/>
        <w:t>term policy action and reforms</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noProof/>
        </w:rPr>
      </w:pPr>
      <w:r>
        <w:rPr>
          <w:rFonts w:ascii="Times New Roman" w:hAnsi="Times New Roman" w:cs="Times New Roman"/>
          <w:b/>
          <w:noProof/>
          <w:sz w:val="24"/>
          <w:szCs w:val="24"/>
        </w:rPr>
        <w:t xml:space="preserve">4.3 </w:t>
      </w:r>
      <w:r>
        <w:rPr>
          <w:rFonts w:ascii="Times New Roman" w:hAnsi="Times New Roman" w:cs="Times New Roman"/>
          <w:b/>
          <w:noProof/>
          <w:sz w:val="24"/>
          <w:szCs w:val="24"/>
        </w:rPr>
        <w:tab/>
        <w:t>Simplification</w:t>
      </w:r>
    </w:p>
    <w:p w:rsidR="003A1527" w:rsidRDefault="00742A12">
      <w:pPr>
        <w:pStyle w:val="Pa2"/>
        <w:spacing w:line="240" w:lineRule="auto"/>
        <w:jc w:val="both"/>
        <w:rPr>
          <w:noProof/>
        </w:rPr>
      </w:pPr>
      <w:r>
        <w:rPr>
          <w:rFonts w:ascii="Times New Roman" w:hAnsi="Times New Roman" w:cs="Times New Roman"/>
          <w:noProof/>
        </w:rPr>
        <w:t>This section builds on the recommendations of the high-level group on the simplification of post-2020 ESI funds</w:t>
      </w:r>
      <w:r>
        <w:rPr>
          <w:rStyle w:val="FootnoteReference"/>
          <w:rFonts w:ascii="Times New Roman" w:hAnsi="Times New Roman" w:cs="Times New Roman"/>
          <w:noProof/>
        </w:rPr>
        <w:footnoteReference w:id="126"/>
      </w:r>
      <w:r>
        <w:rPr>
          <w:rFonts w:ascii="Times New Roman" w:hAnsi="Times New Roman" w:cs="Times New Roman"/>
          <w:noProof/>
        </w:rPr>
        <w:t>, the new ‘Omnibus’ Regulation</w:t>
      </w:r>
      <w:r>
        <w:rPr>
          <w:rStyle w:val="FootnoteReference"/>
          <w:rFonts w:ascii="Times New Roman" w:hAnsi="Times New Roman" w:cs="Times New Roman"/>
          <w:noProof/>
        </w:rPr>
        <w:footnoteReference w:id="127"/>
      </w:r>
      <w:r>
        <w:rPr>
          <w:rFonts w:ascii="Times New Roman" w:hAnsi="Times New Roman" w:cs="Times New Roman"/>
          <w:noProof/>
        </w:rPr>
        <w:t xml:space="preserve">, the MFF </w:t>
      </w:r>
      <w:r>
        <w:rPr>
          <w:rFonts w:ascii="Times New Roman" w:hAnsi="Times New Roman" w:cs="Times New Roman"/>
          <w:noProof/>
        </w:rPr>
        <w:t>mid-term review, relevant studies</w:t>
      </w:r>
      <w:r>
        <w:rPr>
          <w:rStyle w:val="FootnoteReference"/>
          <w:rFonts w:ascii="Times New Roman" w:hAnsi="Times New Roman" w:cs="Times New Roman"/>
          <w:noProof/>
        </w:rPr>
        <w:footnoteReference w:id="128"/>
      </w:r>
      <w:r>
        <w:rPr>
          <w:rFonts w:ascii="Times New Roman" w:hAnsi="Times New Roman" w:cs="Times New Roman"/>
          <w:noProof/>
        </w:rPr>
        <w:t xml:space="preserve"> and stakeholders' positions and calls for continuity. </w:t>
      </w:r>
    </w:p>
    <w:p w:rsidR="003A1527" w:rsidRDefault="00742A12">
      <w:pPr>
        <w:pStyle w:val="Pa2"/>
        <w:spacing w:line="240" w:lineRule="auto"/>
        <w:jc w:val="both"/>
        <w:rPr>
          <w:rFonts w:ascii="Times New Roman" w:hAnsi="Times New Roman" w:cs="Times New Roman"/>
          <w:noProof/>
        </w:rPr>
      </w:pPr>
      <w:r>
        <w:rPr>
          <w:rFonts w:ascii="Times New Roman" w:hAnsi="Times New Roman" w:cs="Times New Roman"/>
          <w:noProof/>
        </w:rPr>
        <w:t>Given the objectives and activities to be financed and the need to reflect country-specific needs and challenges, shared management is considered still to be the most</w:t>
      </w:r>
      <w:r>
        <w:rPr>
          <w:rFonts w:ascii="Times New Roman" w:hAnsi="Times New Roman" w:cs="Times New Roman"/>
          <w:noProof/>
        </w:rPr>
        <w:t xml:space="preserve"> appropriate management mode for most actions (in line with the principle of subsidiarity and shared competences) except those where EU-level coordination is necessary and/or implementation requires specific/technical expertise and for which direct or indi</w:t>
      </w:r>
      <w:r>
        <w:rPr>
          <w:rFonts w:ascii="Times New Roman" w:hAnsi="Times New Roman" w:cs="Times New Roman"/>
          <w:noProof/>
        </w:rPr>
        <w:t xml:space="preserve">rect management is relevant. For the EGF in particular, shared management allows for the management of personalised packages of assistance for displaced workers which would be impossible under direct management. </w:t>
      </w:r>
    </w:p>
    <w:p w:rsidR="003A1527" w:rsidRDefault="003A1527">
      <w:pPr>
        <w:pStyle w:val="Default"/>
        <w:spacing w:line="240" w:lineRule="auto"/>
        <w:jc w:val="both"/>
        <w:rPr>
          <w:noProof/>
          <w:color w:val="auto"/>
          <w:lang w:eastAsia="en-US"/>
        </w:rPr>
      </w:pPr>
    </w:p>
    <w:p w:rsidR="003A1527" w:rsidRDefault="00742A12">
      <w:pPr>
        <w:pStyle w:val="Pa2"/>
        <w:spacing w:line="240" w:lineRule="auto"/>
        <w:jc w:val="both"/>
        <w:rPr>
          <w:rFonts w:ascii="Times New Roman" w:hAnsi="Times New Roman" w:cs="Times New Roman"/>
          <w:noProof/>
        </w:rPr>
      </w:pPr>
      <w:r>
        <w:rPr>
          <w:rFonts w:ascii="Times New Roman" w:hAnsi="Times New Roman" w:cs="Times New Roman"/>
          <w:b/>
          <w:noProof/>
        </w:rPr>
        <w:t xml:space="preserve">4.3.1 </w:t>
      </w:r>
      <w:r>
        <w:rPr>
          <w:rFonts w:ascii="Times New Roman" w:hAnsi="Times New Roman" w:cs="Times New Roman"/>
          <w:b/>
          <w:noProof/>
        </w:rPr>
        <w:tab/>
        <w:t>ESF+</w:t>
      </w:r>
    </w:p>
    <w:p w:rsidR="003A1527" w:rsidRDefault="00742A12">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Shared management strand</w:t>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Different forms of simplification have been explored for post-2020 to address the key sources of complexity identified in section 2.1. </w:t>
      </w:r>
      <w:r>
        <w:rPr>
          <w:rFonts w:ascii="Times New Roman" w:eastAsia="Times New Roman" w:hAnsi="Times New Roman" w:cs="Times New Roman"/>
          <w:noProof/>
          <w:sz w:val="24"/>
          <w:szCs w:val="24"/>
          <w:lang w:eastAsia="en-GB"/>
        </w:rPr>
        <w:t>Some measures fall beyond the scope of the fund-specific regulations covered in this impact assessment and will therefore</w:t>
      </w:r>
      <w:r>
        <w:rPr>
          <w:rFonts w:ascii="Times New Roman" w:eastAsia="Times New Roman" w:hAnsi="Times New Roman" w:cs="Times New Roman"/>
          <w:noProof/>
          <w:sz w:val="24"/>
          <w:szCs w:val="24"/>
          <w:lang w:eastAsia="en-GB"/>
        </w:rPr>
        <w:t xml:space="preserve"> be reflected in the future Financial Regulation and Common Provisions Regulation. </w:t>
      </w:r>
      <w:r>
        <w:rPr>
          <w:rFonts w:ascii="Times New Roman" w:hAnsi="Times New Roman" w:cs="Times New Roman"/>
          <w:noProof/>
          <w:sz w:val="24"/>
          <w:szCs w:val="24"/>
        </w:rPr>
        <w:t>The combination of all these simplification measures and a gradual shift to a possible 'n+2' rule for de-commitment</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xml:space="preserve"> is expected to contribute to a swifter implementation of</w:t>
      </w:r>
      <w:r>
        <w:rPr>
          <w:rFonts w:ascii="Times New Roman" w:hAnsi="Times New Roman" w:cs="Times New Roman"/>
          <w:noProof/>
          <w:sz w:val="24"/>
          <w:szCs w:val="24"/>
        </w:rPr>
        <w:t xml:space="preserve"> the funds. </w:t>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simplification measures include:</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streamlined common rules for funds under shared management and closer alignment of fund-specific rules for the ESF, YEI and FEAD (still allowing for simpler provisions for ex-FEAD-type interventions such as</w:t>
      </w:r>
      <w:r>
        <w:rPr>
          <w:rFonts w:ascii="Times New Roman" w:hAnsi="Times New Roman" w:cs="Times New Roman"/>
          <w:noProof/>
          <w:sz w:val="24"/>
          <w:szCs w:val="24"/>
        </w:rPr>
        <w:t xml:space="preserve"> monitoring, in particular in the context of food and basic material assistance);</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dropping unnecessary and unjustified provisions from the regulations and seeking to cut the number of guidelines;</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simplified programming arrangements - simplified and concise</w:t>
      </w:r>
      <w:r>
        <w:rPr>
          <w:rFonts w:ascii="Times New Roman" w:hAnsi="Times New Roman" w:cs="Times New Roman"/>
          <w:noProof/>
          <w:sz w:val="24"/>
          <w:szCs w:val="24"/>
        </w:rPr>
        <w:t xml:space="preserve"> strategic documents (ex-partnership agreements) and programmes and limited derogations to establish multi-fund programmes;</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flexible application of territorial rules for the ESF+ in the allocation and implementation mechanisms ;</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streamlining the </w:t>
      </w:r>
      <w:r>
        <w:rPr>
          <w:rFonts w:ascii="Times New Roman" w:hAnsi="Times New Roman" w:cs="Times New Roman"/>
          <w:i/>
          <w:noProof/>
          <w:sz w:val="24"/>
          <w:szCs w:val="24"/>
        </w:rPr>
        <w:t>ex-an</w:t>
      </w:r>
      <w:r>
        <w:rPr>
          <w:rFonts w:ascii="Times New Roman" w:hAnsi="Times New Roman" w:cs="Times New Roman"/>
          <w:i/>
          <w:noProof/>
          <w:sz w:val="24"/>
          <w:szCs w:val="24"/>
        </w:rPr>
        <w:t>te</w:t>
      </w:r>
      <w:r>
        <w:rPr>
          <w:rFonts w:ascii="Times New Roman" w:hAnsi="Times New Roman" w:cs="Times New Roman"/>
          <w:noProof/>
          <w:sz w:val="24"/>
          <w:szCs w:val="24"/>
        </w:rPr>
        <w:t xml:space="preserve"> conditionalities (future ‘enabling conditions’) - keeping the system but reducing their number, clarifying the criteria for assessing fulfilment and restricting assessment to the relevant policy level;</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continuation of the existing system of authorities,</w:t>
      </w:r>
      <w:r>
        <w:rPr>
          <w:rFonts w:ascii="Times New Roman" w:hAnsi="Times New Roman" w:cs="Times New Roman"/>
          <w:noProof/>
          <w:sz w:val="24"/>
          <w:szCs w:val="24"/>
        </w:rPr>
        <w:t xml:space="preserve"> IT structures and management and control systems;</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streamlined programme reporting and monitoring: e.g. using</w:t>
      </w:r>
      <w:r>
        <w:rPr>
          <w:rFonts w:ascii="Times New Roman" w:eastAsia="Times New Roman" w:hAnsi="Times New Roman" w:cs="Times New Roman"/>
          <w:noProof/>
          <w:sz w:val="24"/>
          <w:szCs w:val="24"/>
          <w:lang w:eastAsia="en-GB"/>
        </w:rPr>
        <w:t xml:space="preserve"> administrative registers for data collection where possible, no specific requirements for reporting on ex-YEI-type operations; </w:t>
      </w:r>
    </w:p>
    <w:p w:rsidR="003A1527" w:rsidRDefault="00742A12">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increased use of </w:t>
      </w:r>
      <w:r>
        <w:rPr>
          <w:rFonts w:ascii="Times New Roman" w:hAnsi="Times New Roman" w:cs="Times New Roman"/>
          <w:noProof/>
          <w:sz w:val="24"/>
          <w:szCs w:val="24"/>
        </w:rPr>
        <w:t>SCOs and payments based on conditions, e.g. by:</w:t>
      </w:r>
    </w:p>
    <w:p w:rsidR="003A1527" w:rsidRDefault="00742A12">
      <w:pPr>
        <w:pStyle w:val="ListParagraph"/>
        <w:numPr>
          <w:ilvl w:val="1"/>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providing additional off-the-shelf SCOs for Member States, thus reducing the need to develop own methodologies; </w:t>
      </w:r>
    </w:p>
    <w:p w:rsidR="003A1527" w:rsidRDefault="00742A12">
      <w:pPr>
        <w:pStyle w:val="ListParagraph"/>
        <w:numPr>
          <w:ilvl w:val="1"/>
          <w:numId w:val="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making SCOs the default form of reimbursement; and</w:t>
      </w:r>
    </w:p>
    <w:p w:rsidR="003A1527" w:rsidRDefault="00742A12">
      <w:pPr>
        <w:pStyle w:val="ListParagraph"/>
        <w:numPr>
          <w:ilvl w:val="1"/>
          <w:numId w:val="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continuous training and support for MAs; </w:t>
      </w:r>
    </w:p>
    <w:p w:rsidR="003A1527" w:rsidRDefault="00742A12">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w:t>
      </w:r>
      <w:r>
        <w:rPr>
          <w:rFonts w:ascii="Times New Roman" w:hAnsi="Times New Roman" w:cs="Times New Roman"/>
          <w:noProof/>
          <w:sz w:val="24"/>
          <w:szCs w:val="24"/>
        </w:rPr>
        <w:t>oportionate audit and control requirements, in particular through the single audit rule introduced in the new Financial Regulation.</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contextualSpacing/>
        <w:jc w:val="both"/>
        <w:rPr>
          <w:rFonts w:ascii="Times New Roman" w:hAnsi="Times New Roman" w:cs="Times New Roman"/>
          <w:noProof/>
          <w:sz w:val="24"/>
          <w:szCs w:val="24"/>
        </w:rPr>
      </w:pPr>
      <w:r>
        <w:rPr>
          <w:rFonts w:ascii="Times New Roman" w:eastAsia="Times New Roman" w:hAnsi="Times New Roman" w:cs="Times New Roman"/>
          <w:noProof/>
          <w:sz w:val="24"/>
          <w:szCs w:val="24"/>
        </w:rPr>
        <w:t>T</w:t>
      </w:r>
      <w:r>
        <w:rPr>
          <w:rFonts w:ascii="Times New Roman" w:hAnsi="Times New Roman" w:cs="Times New Roman"/>
          <w:noProof/>
          <w:sz w:val="24"/>
          <w:szCs w:val="24"/>
        </w:rPr>
        <w:t xml:space="preserve">he </w:t>
      </w:r>
      <w:r>
        <w:rPr>
          <w:rFonts w:ascii="Times New Roman" w:eastAsia="Times New Roman" w:hAnsi="Times New Roman" w:cs="Times New Roman"/>
          <w:noProof/>
          <w:sz w:val="24"/>
          <w:szCs w:val="24"/>
        </w:rPr>
        <w:t>use of SCOs will be further strengthened in the ESF+ as they are considered to have a number of advantages: they are ex</w:t>
      </w:r>
      <w:r>
        <w:rPr>
          <w:rFonts w:ascii="Times New Roman" w:eastAsia="Times New Roman" w:hAnsi="Times New Roman" w:cs="Times New Roman"/>
          <w:noProof/>
          <w:sz w:val="24"/>
          <w:szCs w:val="24"/>
        </w:rPr>
        <w:t>pected to reduce the administrative burden for national authorities and beneficiaries</w:t>
      </w:r>
      <w:r>
        <w:rPr>
          <w:rStyle w:val="FootnoteReference"/>
          <w:rFonts w:ascii="Times New Roman" w:eastAsia="Times New Roman" w:hAnsi="Times New Roman" w:cs="Times New Roman"/>
          <w:noProof/>
          <w:sz w:val="24"/>
          <w:szCs w:val="24"/>
        </w:rPr>
        <w:footnoteReference w:id="130"/>
      </w:r>
      <w:r>
        <w:rPr>
          <w:rFonts w:ascii="Times New Roman" w:eastAsia="Times New Roman" w:hAnsi="Times New Roman" w:cs="Times New Roman"/>
          <w:noProof/>
          <w:sz w:val="24"/>
          <w:szCs w:val="24"/>
        </w:rPr>
        <w:t>, are less error-prone than real costs (i.e. they reduce the ‘error rate’)</w:t>
      </w:r>
      <w:r>
        <w:rPr>
          <w:rStyle w:val="FootnoteReference"/>
          <w:rFonts w:ascii="Times New Roman" w:eastAsia="Times New Roman" w:hAnsi="Times New Roman" w:cs="Times New Roman"/>
          <w:noProof/>
          <w:sz w:val="24"/>
          <w:szCs w:val="24"/>
        </w:rPr>
        <w:footnoteReference w:id="131"/>
      </w:r>
      <w:r>
        <w:rPr>
          <w:rFonts w:ascii="Times New Roman" w:eastAsia="Times New Roman" w:hAnsi="Times New Roman" w:cs="Times New Roman"/>
          <w:noProof/>
          <w:sz w:val="24"/>
          <w:szCs w:val="24"/>
        </w:rPr>
        <w:t xml:space="preserve"> and can ensure a focus on outputs and results rather than inputs and processes.</w:t>
      </w:r>
      <w:r>
        <w:rPr>
          <w:rStyle w:val="FootnoteReference"/>
          <w:rFonts w:ascii="Times New Roman" w:eastAsia="Times New Roman" w:hAnsi="Times New Roman" w:cs="Times New Roman"/>
          <w:noProof/>
          <w:sz w:val="24"/>
          <w:szCs w:val="24"/>
        </w:rPr>
        <w:footnoteReference w:id="132"/>
      </w:r>
      <w:r>
        <w:rPr>
          <w:rFonts w:ascii="Times New Roman" w:eastAsia="Times New Roman" w:hAnsi="Times New Roman" w:cs="Times New Roman"/>
          <w:noProof/>
          <w:sz w:val="24"/>
          <w:szCs w:val="24"/>
        </w:rPr>
        <w:t xml:space="preserve"> The use of re</w:t>
      </w:r>
      <w:r>
        <w:rPr>
          <w:rFonts w:ascii="Times New Roman" w:eastAsia="Times New Roman" w:hAnsi="Times New Roman" w:cs="Times New Roman"/>
          <w:noProof/>
          <w:sz w:val="24"/>
          <w:szCs w:val="24"/>
        </w:rPr>
        <w:t xml:space="preserve">al costs should be possible only on a case-by-case where justified. </w:t>
      </w:r>
      <w:r>
        <w:rPr>
          <w:rFonts w:ascii="Times New Roman" w:hAnsi="Times New Roman" w:cs="Times New Roman"/>
          <w:noProof/>
          <w:sz w:val="24"/>
          <w:szCs w:val="24"/>
        </w:rPr>
        <w:t>Administrative (control and audit) burden can effectively be reduced by moving away from a system of reimbursement based on actual incurred expenditure towards one system based on SCOs; th</w:t>
      </w:r>
      <w:r>
        <w:rPr>
          <w:rFonts w:ascii="Times New Roman" w:hAnsi="Times New Roman" w:cs="Times New Roman"/>
          <w:noProof/>
          <w:sz w:val="24"/>
          <w:szCs w:val="24"/>
        </w:rPr>
        <w:t>is would have a significant impact on the assurance provided and could be among the criteria to apply when deciding upon single audit.</w:t>
      </w:r>
      <w:r>
        <w:rPr>
          <w:rFonts w:ascii="Times New Roman" w:eastAsia="Times New Roman" w:hAnsi="Times New Roman" w:cs="Times New Roman"/>
          <w:noProof/>
          <w:sz w:val="24"/>
          <w:szCs w:val="24"/>
        </w:rPr>
        <w:t xml:space="preserve"> In particular, using pre-defined unit costs or lump sums (off-the-shelf SCOs) would further maximise the benefits of SCOs</w:t>
      </w:r>
      <w:r>
        <w:rPr>
          <w:rFonts w:ascii="Times New Roman" w:eastAsia="Times New Roman" w:hAnsi="Times New Roman" w:cs="Times New Roman"/>
          <w:noProof/>
          <w:sz w:val="24"/>
          <w:szCs w:val="24"/>
        </w:rPr>
        <w:t xml:space="preserve">.  </w:t>
      </w:r>
    </w:p>
    <w:p w:rsidR="003A1527" w:rsidRDefault="00742A12">
      <w:pPr>
        <w:pStyle w:val="Briefingtext"/>
        <w:spacing w:after="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In line with the new form of financing based on the fulfilment of conditions, as provided for in the ‘Omnibus’ Regulation</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rPr>
        <w:t>, the ESF + will seek to simplify whole programmes or funding areas (so called ‘priority axes’) of programmes by linking reimburse</w:t>
      </w:r>
      <w:r>
        <w:rPr>
          <w:rFonts w:ascii="Times New Roman" w:hAnsi="Times New Roman" w:cs="Times New Roman"/>
          <w:noProof/>
          <w:sz w:val="24"/>
          <w:szCs w:val="24"/>
        </w:rPr>
        <w:t>ment for the funding area to achievement of the targets set in it. This would mean moving away from reimbursement for individual measures to a performance-orientated approach with reimbursement dependent on achieving the objectives of the entire funding ar</w:t>
      </w:r>
      <w:r>
        <w:rPr>
          <w:rFonts w:ascii="Times New Roman" w:hAnsi="Times New Roman" w:cs="Times New Roman"/>
          <w:noProof/>
          <w:sz w:val="24"/>
          <w:szCs w:val="24"/>
        </w:rPr>
        <w:t>ea (see also section 4.4). It would extend the approach taken with the 2014-2020 JAPs further while tackling existing weaknesses and ensuring a more consistent mechanism for reimbursement of costs at the level of programmes.  The approach of reimbursing co</w:t>
      </w:r>
      <w:r>
        <w:rPr>
          <w:rFonts w:ascii="Times New Roman" w:hAnsi="Times New Roman" w:cs="Times New Roman"/>
          <w:noProof/>
          <w:sz w:val="24"/>
          <w:szCs w:val="24"/>
        </w:rPr>
        <w:t xml:space="preserve">sts based on the achievement of pre-defined results would be optional and would likely be more suited to the context of some programmes than others, for example, programmes  consisting of typified and easily measurable activities.  </w:t>
      </w:r>
    </w:p>
    <w:p w:rsidR="003A1527" w:rsidRDefault="003A1527">
      <w:pPr>
        <w:spacing w:afterLines="200" w:after="480" w:line="240" w:lineRule="auto"/>
        <w:contextualSpacing/>
        <w:jc w:val="both"/>
        <w:rPr>
          <w:rFonts w:ascii="Times New Roman" w:eastAsia="Times New Roman" w:hAnsi="Times New Roman" w:cs="Times New Roman"/>
          <w:i/>
          <w:noProof/>
          <w:sz w:val="24"/>
          <w:szCs w:val="24"/>
        </w:rPr>
      </w:pPr>
    </w:p>
    <w:p w:rsidR="003A1527" w:rsidRDefault="00742A12">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rPr>
        <w:t xml:space="preserve">In the field of audit </w:t>
      </w:r>
      <w:r>
        <w:rPr>
          <w:rFonts w:ascii="Times New Roman" w:eastAsia="Times New Roman" w:hAnsi="Times New Roman" w:cs="Times New Roman"/>
          <w:noProof/>
          <w:sz w:val="24"/>
          <w:szCs w:val="24"/>
        </w:rPr>
        <w:t>and control, p</w:t>
      </w:r>
      <w:r>
        <w:rPr>
          <w:rFonts w:ascii="Times New Roman" w:hAnsi="Times New Roman" w:cs="Times New Roman"/>
          <w:noProof/>
          <w:sz w:val="24"/>
          <w:szCs w:val="24"/>
        </w:rPr>
        <w:t>roportionality will be a cross-cutting principle at each level, without neglecting the focus on the assurance derived from the systems (i.e. proportionality cannot be at the expense of assurance). Full use should be made of the possibility of</w:t>
      </w:r>
      <w:r>
        <w:rPr>
          <w:rFonts w:ascii="Times New Roman" w:hAnsi="Times New Roman" w:cs="Times New Roman"/>
          <w:noProof/>
          <w:sz w:val="24"/>
          <w:szCs w:val="24"/>
        </w:rPr>
        <w:t xml:space="preserve"> distinguishing between beneficiaries as regards the need for in-depth administrative verifications. Other criteria may be used to limit the administrative burden, in particular aligning management and control systems with the national systems in cases whe</w:t>
      </w:r>
      <w:r>
        <w:rPr>
          <w:rFonts w:ascii="Times New Roman" w:hAnsi="Times New Roman" w:cs="Times New Roman"/>
          <w:noProof/>
          <w:sz w:val="24"/>
          <w:szCs w:val="24"/>
        </w:rPr>
        <w:t>re the national co-financing rate is at least 50%. Another</w:t>
      </w:r>
      <w:r>
        <w:rPr>
          <w:rFonts w:ascii="Times New Roman" w:eastAsia="Times New Roman" w:hAnsi="Times New Roman" w:cs="Times New Roman"/>
          <w:noProof/>
          <w:sz w:val="24"/>
          <w:szCs w:val="24"/>
        </w:rPr>
        <w:t xml:space="preserve"> simplification measure would be to set out the criteria qualifying a programme and its authorities for application of a genuine single audit system. </w:t>
      </w:r>
      <w:r>
        <w:rPr>
          <w:rFonts w:ascii="Times New Roman" w:hAnsi="Times New Roman" w:cs="Times New Roman"/>
          <w:noProof/>
          <w:sz w:val="24"/>
          <w:szCs w:val="24"/>
        </w:rPr>
        <w:t>These need to be reasonable and achievable by ev</w:t>
      </w:r>
      <w:r>
        <w:rPr>
          <w:rFonts w:ascii="Times New Roman" w:hAnsi="Times New Roman" w:cs="Times New Roman"/>
          <w:noProof/>
          <w:sz w:val="24"/>
          <w:szCs w:val="24"/>
        </w:rPr>
        <w:t>ery programme authority, they could include: the historical performance of the programme; the implementation of SCOs; strong ethical culture and integrity in the administration; and stable staffing and organisational arrangements for management and control</w:t>
      </w:r>
      <w:r>
        <w:rPr>
          <w:rFonts w:ascii="Times New Roman" w:hAnsi="Times New Roman" w:cs="Times New Roman"/>
          <w:noProof/>
          <w:sz w:val="24"/>
          <w:szCs w:val="24"/>
        </w:rPr>
        <w:t>. The benefit would be a reduced audit burden for programme authorities and beneficiaries, as audit activities would not be duplicated.</w:t>
      </w:r>
    </w:p>
    <w:p w:rsidR="003A1527" w:rsidRDefault="003A1527">
      <w:pPr>
        <w:spacing w:afterLines="200" w:after="480" w:line="240" w:lineRule="auto"/>
        <w:contextualSpacing/>
        <w:jc w:val="both"/>
        <w:rPr>
          <w:rFonts w:ascii="Times New Roman" w:hAnsi="Times New Roman" w:cs="Times New Roman"/>
          <w:noProof/>
          <w:sz w:val="24"/>
          <w:szCs w:val="24"/>
        </w:rPr>
      </w:pPr>
    </w:p>
    <w:p w:rsidR="003A1527" w:rsidRDefault="00742A12">
      <w:pPr>
        <w:spacing w:afterLines="200" w:after="480" w:line="240" w:lineRule="auto"/>
        <w:contextualSpacing/>
        <w:jc w:val="both"/>
        <w:rPr>
          <w:rFonts w:ascii="Times New Roman" w:hAnsi="Times New Roman" w:cs="Times New Roman"/>
          <w:iCs/>
          <w:noProof/>
          <w:sz w:val="24"/>
          <w:szCs w:val="24"/>
        </w:rPr>
      </w:pPr>
      <w:r>
        <w:rPr>
          <w:rFonts w:ascii="Times New Roman" w:hAnsi="Times New Roman" w:cs="Times New Roman"/>
          <w:noProof/>
          <w:sz w:val="24"/>
          <w:szCs w:val="24"/>
        </w:rPr>
        <w:t>With more demanding social challenges and, at the same time, pressure on public budgets, there is a growing need for mo</w:t>
      </w:r>
      <w:r>
        <w:rPr>
          <w:rFonts w:ascii="Times New Roman" w:hAnsi="Times New Roman" w:cs="Times New Roman"/>
          <w:noProof/>
          <w:sz w:val="24"/>
          <w:szCs w:val="24"/>
        </w:rPr>
        <w:t xml:space="preserve">re efficient and effective public policies. Financial Instruments (FIs) represent a resource-efficient way to scale up the delivery of the funds and therefore could </w:t>
      </w:r>
      <w:r>
        <w:rPr>
          <w:rFonts w:ascii="Times New Roman" w:hAnsi="Times New Roman" w:cs="Times New Roman"/>
          <w:iCs/>
          <w:noProof/>
          <w:sz w:val="24"/>
          <w:szCs w:val="24"/>
        </w:rPr>
        <w:t>boost the potential of implementing employment and social policies</w:t>
      </w:r>
      <w:r>
        <w:rPr>
          <w:rFonts w:ascii="Times New Roman" w:hAnsi="Times New Roman" w:cs="Times New Roman"/>
          <w:noProof/>
          <w:sz w:val="24"/>
          <w:szCs w:val="24"/>
        </w:rPr>
        <w:t>. However, FIs cannot be regarded as a panacea or as an alternative to ESF grants, due to the specific nature of ESF activities (small projects, difficult target groups, limited or no direct financial return on investment, etc. – all of which limit the use</w:t>
      </w:r>
      <w:r>
        <w:rPr>
          <w:rFonts w:ascii="Times New Roman" w:hAnsi="Times New Roman" w:cs="Times New Roman"/>
          <w:noProof/>
          <w:sz w:val="24"/>
          <w:szCs w:val="24"/>
        </w:rPr>
        <w:t xml:space="preserve"> of FIs). Since FIs are by definition suitable for financially viable projects, i.e. those which are expected to generate enough income or savings to pay back the support received, they must complement grants, rather than simply replacing them. To preserve</w:t>
      </w:r>
      <w:r>
        <w:rPr>
          <w:rFonts w:ascii="Times New Roman" w:hAnsi="Times New Roman" w:cs="Times New Roman"/>
          <w:noProof/>
          <w:sz w:val="24"/>
          <w:szCs w:val="24"/>
        </w:rPr>
        <w:t xml:space="preserve"> the involvement from employers and industry attention should be paid to the funding level for supported activities. The ESF+ will continue to do this by providing support for investments in various forms: loans, guarantees, equity and other risk-bearing m</w:t>
      </w:r>
      <w:r>
        <w:rPr>
          <w:rFonts w:ascii="Times New Roman" w:hAnsi="Times New Roman" w:cs="Times New Roman"/>
          <w:noProof/>
          <w:sz w:val="24"/>
          <w:szCs w:val="24"/>
        </w:rPr>
        <w:t xml:space="preserve">echanisms, possibly combined with interest-rate subsidies or guarantee-fee subsidies within the same operation. </w:t>
      </w:r>
      <w:r>
        <w:rPr>
          <w:rFonts w:ascii="Times New Roman" w:hAnsi="Times New Roman" w:cs="Times New Roman"/>
          <w:iCs/>
          <w:noProof/>
          <w:sz w:val="24"/>
          <w:szCs w:val="24"/>
        </w:rPr>
        <w:t>In order to allow for flexibility, a new possibility is foreseen for the implementation of financial instruments under the future regulation, i.</w:t>
      </w:r>
      <w:r>
        <w:rPr>
          <w:rFonts w:ascii="Times New Roman" w:hAnsi="Times New Roman" w:cs="Times New Roman"/>
          <w:iCs/>
          <w:noProof/>
          <w:sz w:val="24"/>
          <w:szCs w:val="24"/>
        </w:rPr>
        <w:t xml:space="preserve">e. the contribution to the InvestEU initiative. However, the managing authorities will keep the option of implementing financial instruments on their own as previously. </w:t>
      </w:r>
    </w:p>
    <w:p w:rsidR="003A1527" w:rsidRDefault="003A1527">
      <w:pPr>
        <w:spacing w:afterLines="200" w:after="480" w:line="240" w:lineRule="auto"/>
        <w:contextualSpacing/>
        <w:jc w:val="both"/>
        <w:rPr>
          <w:rFonts w:ascii="Times New Roman" w:hAnsi="Times New Roman" w:cs="Times New Roman"/>
          <w:noProof/>
          <w:sz w:val="24"/>
          <w:szCs w:val="24"/>
        </w:rPr>
      </w:pPr>
    </w:p>
    <w:p w:rsidR="003A1527" w:rsidRDefault="00742A12">
      <w:pPr>
        <w:spacing w:afterLines="200" w:after="48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Targeted stakeholder consultations give evidence of important potential of the simpli</w:t>
      </w:r>
      <w:r>
        <w:rPr>
          <w:rFonts w:ascii="Times New Roman" w:hAnsi="Times New Roman" w:cs="Times New Roman"/>
          <w:noProof/>
          <w:sz w:val="24"/>
          <w:szCs w:val="24"/>
        </w:rPr>
        <w:t>fication measures to reduce administrative cost and burden.</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xml:space="preserve"> The result of surveys carried out show that management authorities expect positive impacts in particular from the continuity of the national authorities designated under the current programming p</w:t>
      </w:r>
      <w:r>
        <w:rPr>
          <w:rFonts w:ascii="Times New Roman" w:hAnsi="Times New Roman" w:cs="Times New Roman"/>
          <w:noProof/>
          <w:sz w:val="24"/>
          <w:szCs w:val="24"/>
        </w:rPr>
        <w:t>eriod, as well as from simplification of monitoring data collection and reporting. Beneficiaries assessed that particularly the implementation of reduced monitoring requirements and the single audit principle are likely to decrease administrative costs.</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w:t>
      </w:r>
    </w:p>
    <w:p w:rsidR="003A1527" w:rsidRDefault="003A1527">
      <w:pPr>
        <w:spacing w:afterLines="200" w:after="480" w:line="240" w:lineRule="auto"/>
        <w:contextualSpacing/>
        <w:jc w:val="both"/>
        <w:rPr>
          <w:rFonts w:ascii="Times New Roman" w:hAnsi="Times New Roman" w:cs="Times New Roman"/>
          <w:noProof/>
          <w:sz w:val="24"/>
          <w:szCs w:val="24"/>
        </w:rPr>
      </w:pPr>
    </w:p>
    <w:p w:rsidR="003A1527" w:rsidRDefault="00742A12">
      <w:pPr>
        <w:spacing w:afterLines="200" w:after="480"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Direct and indirect management strand</w:t>
      </w:r>
    </w:p>
    <w:p w:rsidR="003A1527" w:rsidRDefault="003A1527">
      <w:pPr>
        <w:spacing w:afterLines="200" w:after="480" w:line="240" w:lineRule="auto"/>
        <w:contextualSpacing/>
        <w:jc w:val="both"/>
        <w:rPr>
          <w:rFonts w:ascii="Times New Roman" w:hAnsi="Times New Roman" w:cs="Times New Roman"/>
          <w:i/>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future, direct and indirect management types of activity will be financed under a dedicated strand of the ESF+ Regulation. All direct and indirect management activities will benefit from common delivery mechanisms</w:t>
      </w:r>
      <w:r>
        <w:rPr>
          <w:rFonts w:ascii="Times New Roman" w:hAnsi="Times New Roman" w:cs="Times New Roman"/>
          <w:noProof/>
          <w:sz w:val="24"/>
          <w:szCs w:val="24"/>
        </w:rPr>
        <w:t xml:space="preserve"> and a simplified monitoring system (see section 5).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administrative processes (application, evaluation, selection, implementation) under (in)direct management can be further improved by reducing the volume of paper documents in the applic</w:t>
      </w:r>
      <w:r>
        <w:rPr>
          <w:rFonts w:ascii="Times New Roman" w:hAnsi="Times New Roman" w:cs="Times New Roman"/>
          <w:noProof/>
          <w:sz w:val="24"/>
          <w:szCs w:val="24"/>
        </w:rPr>
        <w:t>ations, establishing an effective critical mass for projects/amounts, and extending project duration where necessary in order to obtain the expected results and measure the impacts.</w:t>
      </w:r>
    </w:p>
    <w:p w:rsidR="003A1527" w:rsidRDefault="003A1527">
      <w:pPr>
        <w:spacing w:afterLines="200" w:after="480" w:line="240" w:lineRule="auto"/>
        <w:contextualSpacing/>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4.3.2 EGF</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(In)direct management is not considered a viable option for the</w:t>
      </w:r>
      <w:r>
        <w:rPr>
          <w:rFonts w:ascii="Times New Roman" w:hAnsi="Times New Roman" w:cs="Times New Roman"/>
          <w:noProof/>
          <w:sz w:val="24"/>
          <w:szCs w:val="24"/>
        </w:rPr>
        <w:t xml:space="preserve"> EGF, so it will remain under shared management. Experience has shown that a tailor-made package of personalised services needs to be designed by the authority closest to the citizens. Depending on the Member State and the type of restructuring event, this</w:t>
      </w:r>
      <w:r>
        <w:rPr>
          <w:rFonts w:ascii="Times New Roman" w:hAnsi="Times New Roman" w:cs="Times New Roman"/>
          <w:noProof/>
          <w:sz w:val="24"/>
          <w:szCs w:val="24"/>
        </w:rPr>
        <w:t xml:space="preserve"> would usually be a local, regional or national authority. The implementation tasks will therefore be delegated to the Member State authorities. EU intervention is needed due to the scale of the impact of the redundancies, but in line with the subsidiarity</w:t>
      </w:r>
      <w:r>
        <w:rPr>
          <w:rFonts w:ascii="Times New Roman" w:hAnsi="Times New Roman" w:cs="Times New Roman"/>
          <w:noProof/>
          <w:sz w:val="24"/>
          <w:szCs w:val="24"/>
        </w:rPr>
        <w:t xml:space="preserve"> principle it will be limited to what is necessary to fulfil the objectives of showing Union solidarity with displaced workers.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in order to speed up mobilisation, the Commission proposes a simpler decision-making procedure. Member States currently</w:t>
      </w:r>
      <w:r>
        <w:rPr>
          <w:rFonts w:ascii="Times New Roman" w:hAnsi="Times New Roman" w:cs="Times New Roman"/>
          <w:noProof/>
          <w:sz w:val="24"/>
          <w:szCs w:val="24"/>
        </w:rPr>
        <w:t xml:space="preserve"> regard the background analysis as one of the biggest hurdle in applying for EGF assistance. Due to the extended scope of the EGF to cover different kinds of restructuring events (see section 3.2), the requirement for a reasoned analysis of what triggered </w:t>
      </w:r>
      <w:r>
        <w:rPr>
          <w:rFonts w:ascii="Times New Roman" w:hAnsi="Times New Roman" w:cs="Times New Roman"/>
          <w:noProof/>
          <w:sz w:val="24"/>
          <w:szCs w:val="24"/>
        </w:rPr>
        <w:t xml:space="preserve">the restructuring event will be dropped. Applications will be based on the 'significant impact' only (defined as 250 workers being made redundant in the reference period). This simplification would shorten the application process for both the Member State </w:t>
      </w:r>
      <w:r>
        <w:rPr>
          <w:rFonts w:ascii="Times New Roman" w:hAnsi="Times New Roman" w:cs="Times New Roman"/>
          <w:noProof/>
          <w:sz w:val="24"/>
          <w:szCs w:val="24"/>
        </w:rPr>
        <w:t>and the Commission (the Commission proposal to mobilise EGF could be shorter or even replaced by standardised documents). An easier and thus shorter application process and a wider scope would mean that the biggest barriers had been removed and Member Stat</w:t>
      </w:r>
      <w:r>
        <w:rPr>
          <w:rFonts w:ascii="Times New Roman" w:hAnsi="Times New Roman" w:cs="Times New Roman"/>
          <w:noProof/>
          <w:sz w:val="24"/>
          <w:szCs w:val="24"/>
        </w:rPr>
        <w:t>es would thus be more likely to apply for EGF assistance. In order to mobilise EGF even more quickly, the approval process could be streamlined. Currently, the Commission analyses applications and submits extensive proposals for EGF mobilisation to the bud</w:t>
      </w:r>
      <w:r>
        <w:rPr>
          <w:rFonts w:ascii="Times New Roman" w:hAnsi="Times New Roman" w:cs="Times New Roman"/>
          <w:noProof/>
          <w:sz w:val="24"/>
          <w:szCs w:val="24"/>
        </w:rPr>
        <w:t>getary authority (in all EU languages). It presents proposals in the relevant European Parliament and Council working groups, and the Parliament and Council take a vote. If mobilisation is to be based purely on formal requirements (250 redundancies) extens</w:t>
      </w:r>
      <w:r>
        <w:rPr>
          <w:rFonts w:ascii="Times New Roman" w:hAnsi="Times New Roman" w:cs="Times New Roman"/>
          <w:noProof/>
          <w:sz w:val="24"/>
          <w:szCs w:val="24"/>
        </w:rPr>
        <w:t xml:space="preserve">ive proposals and discussions of cases in the Parliament and Council seem no longer relevant. The budgetary authority could make part of the possible ceiling directly available in a lump-sum payment to the Commission and delegate the right to mobilise the </w:t>
      </w:r>
      <w:r>
        <w:rPr>
          <w:rFonts w:ascii="Times New Roman" w:hAnsi="Times New Roman" w:cs="Times New Roman"/>
          <w:noProof/>
          <w:sz w:val="24"/>
          <w:szCs w:val="24"/>
        </w:rPr>
        <w:t xml:space="preserve">EGF on its behalf (e.g.  20 %).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above procedure would mean that the same results could be achieved in less time, making the fund more efficient. Faster delivery would also underline the emergency character of the fund and make it more effective.</w:t>
      </w:r>
    </w:p>
    <w:p w:rsidR="003A1527" w:rsidRDefault="003A1527">
      <w:pPr>
        <w:spacing w:afterLines="200" w:after="480" w:line="240" w:lineRule="auto"/>
        <w:contextualSpacing/>
        <w:jc w:val="both"/>
        <w:rPr>
          <w:rFonts w:ascii="Times New Roman" w:hAnsi="Times New Roman" w:cs="Times New Roman"/>
          <w:b/>
          <w:noProof/>
          <w:sz w:val="24"/>
          <w:szCs w:val="24"/>
        </w:rPr>
      </w:pPr>
    </w:p>
    <w:p w:rsidR="003A1527" w:rsidRDefault="00742A12">
      <w:pPr>
        <w:spacing w:afterLines="200" w:after="48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4.4 </w:t>
      </w:r>
      <w:r>
        <w:rPr>
          <w:rFonts w:ascii="Times New Roman" w:hAnsi="Times New Roman" w:cs="Times New Roman"/>
          <w:b/>
          <w:noProof/>
          <w:sz w:val="24"/>
          <w:szCs w:val="24"/>
        </w:rPr>
        <w:tab/>
        <w:t>Performance and results orientation</w:t>
      </w:r>
    </w:p>
    <w:p w:rsidR="003A1527" w:rsidRDefault="003A1527">
      <w:pPr>
        <w:spacing w:afterLines="200" w:after="480" w:line="240" w:lineRule="auto"/>
        <w:contextualSpacing/>
        <w:jc w:val="both"/>
        <w:rPr>
          <w:rFonts w:ascii="Times New Roman" w:hAnsi="Times New Roman" w:cs="Times New Roman"/>
          <w:b/>
          <w:noProof/>
          <w:sz w:val="24"/>
          <w:szCs w:val="24"/>
        </w:rPr>
      </w:pP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findings of the high-level group on ESI funds simplification and the various contributions from stakeholders and practitioners indicate that the focus of interventions should be shifted from spending to actual resu</w:t>
      </w:r>
      <w:r>
        <w:rPr>
          <w:rFonts w:ascii="Times New Roman" w:eastAsia="Times New Roman" w:hAnsi="Times New Roman" w:cs="Times New Roman"/>
          <w:noProof/>
          <w:sz w:val="24"/>
          <w:szCs w:val="24"/>
        </w:rPr>
        <w:t>lts.</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Given the challenges identified in section 2.2 and the associated objectives, the intention for the next programming period is to embed an intervention logic not only in the programming of a priority axis, but also in terms of the Commission reimbursi</w:t>
      </w:r>
      <w:r>
        <w:rPr>
          <w:rFonts w:ascii="Times New Roman" w:eastAsia="Times New Roman" w:hAnsi="Times New Roman" w:cs="Times New Roman"/>
          <w:noProof/>
          <w:sz w:val="24"/>
          <w:szCs w:val="24"/>
        </w:rPr>
        <w:t>ng amounts on the basis of outputs/results achieved. As mentioned in section 4.3 this develops the JAP results-orientation logic and applies it in a simplified form and more widely. Programming and the reimbursement of expenditure will have to be based sol</w:t>
      </w:r>
      <w:r>
        <w:rPr>
          <w:rFonts w:ascii="Times New Roman" w:eastAsia="Times New Roman" w:hAnsi="Times New Roman" w:cs="Times New Roman"/>
          <w:noProof/>
          <w:sz w:val="24"/>
          <w:szCs w:val="24"/>
        </w:rPr>
        <w:t xml:space="preserve">ely on negotiated outputs and/or results ('payments based on conditions').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reasons such an option would be appealing, as compared with JAPs in 2014-2020 are that:</w:t>
      </w:r>
    </w:p>
    <w:p w:rsidR="003A1527" w:rsidRDefault="00742A12">
      <w:pPr>
        <w:pStyle w:val="ListParagraph"/>
        <w:numPr>
          <w:ilvl w:val="0"/>
          <w:numId w:val="32"/>
        </w:num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logic of linking funding to the achievement of outputs/results would extend to all operations under a  priority axis and not just one operation, thus reducing the complexity of programming as well as monitoring and control; </w:t>
      </w:r>
    </w:p>
    <w:p w:rsidR="003A1527" w:rsidRDefault="00742A12">
      <w:pPr>
        <w:pStyle w:val="ListParagraph"/>
        <w:numPr>
          <w:ilvl w:val="0"/>
          <w:numId w:val="32"/>
        </w:num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amounts to be reimburse</w:t>
      </w:r>
      <w:r>
        <w:rPr>
          <w:rFonts w:ascii="Times New Roman" w:eastAsia="Times New Roman" w:hAnsi="Times New Roman" w:cs="Times New Roman"/>
          <w:noProof/>
          <w:sz w:val="24"/>
          <w:szCs w:val="24"/>
        </w:rPr>
        <w:t>d would not have to be linked to real costs, thereby simplifying how they are set; and</w:t>
      </w:r>
    </w:p>
    <w:p w:rsidR="003A1527" w:rsidRDefault="00742A12">
      <w:pPr>
        <w:pStyle w:val="ListParagraph"/>
        <w:numPr>
          <w:ilvl w:val="0"/>
          <w:numId w:val="32"/>
        </w:num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the targets for outputs and/or results, and the associated amounts, would be set during the programming phase, they would not be seen as representing an additional layer of programming but will ensure that sufficient time is available for actual impleme</w:t>
      </w:r>
      <w:r>
        <w:rPr>
          <w:rFonts w:ascii="Times New Roman" w:eastAsia="Times New Roman" w:hAnsi="Times New Roman" w:cs="Times New Roman"/>
          <w:noProof/>
          <w:sz w:val="24"/>
          <w:szCs w:val="24"/>
        </w:rPr>
        <w:t xml:space="preserve">ntation of the operations.  </w:t>
      </w:r>
    </w:p>
    <w:p w:rsidR="003A1527" w:rsidRDefault="00742A12">
      <w:pPr>
        <w:spacing w:after="0" w:line="240" w:lineRule="auto"/>
        <w:jc w:val="both"/>
        <w:rPr>
          <w:rFonts w:ascii="Times New Roman" w:hAnsi="Times New Roman"/>
          <w:noProof/>
          <w:sz w:val="24"/>
          <w:szCs w:val="24"/>
        </w:rPr>
      </w:pPr>
      <w:r>
        <w:rPr>
          <w:rFonts w:ascii="Times New Roman" w:hAnsi="Times New Roman"/>
          <w:noProof/>
          <w:sz w:val="24"/>
          <w:szCs w:val="24"/>
        </w:rPr>
        <w:t xml:space="preserve">This voluntary approach for Member States would shift the logic away from reimbursement by real costs or input-driven SCOs (which still involve significant administrative burden in justifying the activities) and would simplify </w:t>
      </w:r>
      <w:r>
        <w:rPr>
          <w:rFonts w:ascii="Times New Roman" w:hAnsi="Times New Roman"/>
          <w:noProof/>
          <w:sz w:val="24"/>
          <w:szCs w:val="24"/>
        </w:rPr>
        <w:t>programming. Compared to 2014-2020, the emphasis is to integrate such an instrument already during the programming phase into a programme and give Member States thus the opportunity to cover a significant part or the whole programme with such an instrument</w:t>
      </w:r>
      <w:r>
        <w:rPr>
          <w:rFonts w:ascii="Times New Roman" w:hAnsi="Times New Roman"/>
          <w:noProof/>
          <w:sz w:val="24"/>
          <w:szCs w:val="24"/>
        </w:rPr>
        <w:t xml:space="preserve">. </w:t>
      </w:r>
    </w:p>
    <w:p w:rsidR="003A1527" w:rsidRDefault="003A1527">
      <w:pPr>
        <w:spacing w:after="0" w:line="240" w:lineRule="auto"/>
        <w:jc w:val="both"/>
        <w:rPr>
          <w:rFonts w:ascii="Times New Roman" w:eastAsia="Times New Roman" w:hAnsi="Times New Roman" w:cs="Times New Roman"/>
          <w:noProof/>
          <w:sz w:val="24"/>
          <w:szCs w:val="24"/>
        </w:rPr>
      </w:pPr>
    </w:p>
    <w:p w:rsidR="003A1527" w:rsidRDefault="00742A12">
      <w:pPr>
        <w:spacing w:after="0" w:line="240" w:lineRule="auto"/>
        <w:jc w:val="both"/>
        <w:rPr>
          <w:rFonts w:ascii="Times New Roman" w:eastAsia="Times New Roman" w:hAnsi="Times New Roman" w:cs="Times New Roman"/>
          <w:b/>
          <w:noProof/>
          <w:sz w:val="24"/>
          <w:szCs w:val="24"/>
        </w:rPr>
      </w:pPr>
      <w:r>
        <w:rPr>
          <w:rFonts w:ascii="Times New Roman" w:eastAsia="Calibri" w:hAnsi="Times New Roman" w:cs="Times New Roman"/>
          <w:noProof/>
          <w:sz w:val="24"/>
          <w:szCs w:val="24"/>
        </w:rPr>
        <w:t>To remove the focus on inputs in the performance framework (meeting financial implementation targets, regardless of results to be achieved), it is proposed that the requirements linked to the performance reserve be abolished. Programme performance shou</w:t>
      </w:r>
      <w:r>
        <w:rPr>
          <w:rFonts w:ascii="Times New Roman" w:eastAsia="Calibri" w:hAnsi="Times New Roman" w:cs="Times New Roman"/>
          <w:noProof/>
          <w:sz w:val="24"/>
          <w:szCs w:val="24"/>
        </w:rPr>
        <w:t>ld be measured by meaningful output and result indicators set by Member States and not by input indicators that measure financial implementation.</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Changes to the monitoring systems for both ESF+ and EGF (see section 5) will further enhance result-orientati</w:t>
      </w:r>
      <w:r>
        <w:rPr>
          <w:rFonts w:ascii="Times New Roman" w:hAnsi="Times New Roman" w:cs="Times New Roman"/>
          <w:noProof/>
          <w:sz w:val="24"/>
          <w:szCs w:val="24"/>
        </w:rPr>
        <w:t>on.</w:t>
      </w:r>
    </w:p>
    <w:p w:rsidR="003A1527" w:rsidRDefault="003A1527">
      <w:pPr>
        <w:spacing w:line="240" w:lineRule="auto"/>
        <w:jc w:val="both"/>
        <w:rPr>
          <w:rFonts w:ascii="Times New Roman" w:eastAsia="Times New Roman" w:hAnsi="Times New Roman" w:cs="Times New Roman"/>
          <w:b/>
          <w:noProof/>
          <w:sz w:val="24"/>
          <w:szCs w:val="24"/>
          <w:u w:val="single"/>
          <w:lang w:eastAsia="en-GB"/>
        </w:rPr>
      </w:pPr>
    </w:p>
    <w:p w:rsidR="003A1527" w:rsidRDefault="00742A12">
      <w:pPr>
        <w:pStyle w:val="Heading1"/>
        <w:jc w:val="both"/>
        <w:rPr>
          <w:rFonts w:ascii="Times New Roman" w:eastAsia="Times New Roman" w:hAnsi="Times New Roman" w:cs="Times New Roman"/>
          <w:b/>
          <w:smallCaps/>
          <w:noProof/>
          <w:color w:val="auto"/>
          <w:sz w:val="24"/>
          <w:szCs w:val="24"/>
        </w:rPr>
      </w:pPr>
      <w:bookmarkStart w:id="62" w:name="_Toc509831773"/>
      <w:bookmarkStart w:id="63" w:name="_Toc509833365"/>
      <w:bookmarkStart w:id="64" w:name="_Toc509843334"/>
      <w:bookmarkStart w:id="65" w:name="_Toc509848051"/>
      <w:bookmarkStart w:id="66" w:name="_Toc514401938"/>
      <w:r>
        <w:rPr>
          <w:rFonts w:ascii="Times New Roman" w:eastAsia="Times New Roman" w:hAnsi="Times New Roman" w:cs="Times New Roman"/>
          <w:b/>
          <w:smallCaps/>
          <w:noProof/>
          <w:color w:val="auto"/>
          <w:sz w:val="24"/>
          <w:szCs w:val="24"/>
        </w:rPr>
        <w:t xml:space="preserve">5. </w:t>
      </w:r>
      <w:r>
        <w:rPr>
          <w:rFonts w:ascii="Times New Roman" w:eastAsia="Times New Roman" w:hAnsi="Times New Roman" w:cs="Times New Roman"/>
          <w:b/>
          <w:smallCaps/>
          <w:noProof/>
          <w:color w:val="auto"/>
          <w:sz w:val="24"/>
          <w:szCs w:val="24"/>
        </w:rPr>
        <w:tab/>
        <w:t>How will performance be monitored and evaluated?</w:t>
      </w:r>
      <w:bookmarkEnd w:id="62"/>
      <w:bookmarkEnd w:id="63"/>
      <w:bookmarkEnd w:id="64"/>
      <w:bookmarkEnd w:id="65"/>
      <w:bookmarkEnd w:id="66"/>
      <w:r>
        <w:rPr>
          <w:rFonts w:ascii="Times New Roman" w:eastAsia="Times New Roman" w:hAnsi="Times New Roman" w:cs="Times New Roman"/>
          <w:b/>
          <w:smallCaps/>
          <w:noProof/>
          <w:color w:val="auto"/>
          <w:sz w:val="24"/>
          <w:szCs w:val="24"/>
        </w:rPr>
        <w:t xml:space="preserve"> </w:t>
      </w:r>
    </w:p>
    <w:p w:rsidR="003A1527" w:rsidRDefault="003A1527">
      <w:pPr>
        <w:spacing w:line="240" w:lineRule="auto"/>
        <w:jc w:val="both"/>
        <w:rPr>
          <w:rFonts w:ascii="Times New Roman" w:eastAsia="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better regulation guidelines</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xml:space="preserve"> offer a framework for the general design and implementation of monitoring and evaluation systems.</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5.1 </w:t>
      </w:r>
      <w:r>
        <w:rPr>
          <w:rFonts w:ascii="Times New Roman" w:hAnsi="Times New Roman" w:cs="Times New Roman"/>
          <w:b/>
          <w:noProof/>
          <w:sz w:val="24"/>
          <w:szCs w:val="24"/>
        </w:rPr>
        <w:tab/>
        <w:t>ESF+</w:t>
      </w:r>
      <w:r>
        <w:rPr>
          <w:rFonts w:ascii="Times New Roman" w:hAnsi="Times New Roman" w:cs="Times New Roman"/>
          <w:noProof/>
          <w:sz w:val="24"/>
          <w:szCs w:val="24"/>
        </w:rPr>
        <w:t xml:space="preserve"> </w:t>
      </w:r>
    </w:p>
    <w:p w:rsidR="003A1527" w:rsidRDefault="00742A12">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Shared management strand</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recommendations from the evaluation of the ESF 2007-2013 concerning the monitoring and evaluation system were addressed notably by introducing for the 2014-2020 programming period a set of common indicators together with detailed definitions and guidan</w:t>
      </w:r>
      <w:r>
        <w:rPr>
          <w:rFonts w:ascii="Times New Roman" w:eastAsia="Times New Roman" w:hAnsi="Times New Roman" w:cs="Times New Roman"/>
          <w:noProof/>
          <w:sz w:val="24"/>
          <w:szCs w:val="24"/>
        </w:rPr>
        <w:t>ce for data collection; and by requirements for Member States to set targets, to report comprehensively on the indicators, to establish evaluation plans, and carry out impact evaluations. The double-counting of outputs was addressed, leading to a more reli</w:t>
      </w:r>
      <w:r>
        <w:rPr>
          <w:rFonts w:ascii="Times New Roman" w:eastAsia="Times New Roman" w:hAnsi="Times New Roman" w:cs="Times New Roman"/>
          <w:noProof/>
          <w:sz w:val="24"/>
          <w:szCs w:val="24"/>
        </w:rPr>
        <w:t>able reporting on actual ESF achievements. The post-2020 monitoring and evaluation system will build on the current programming period, which has introduced substantial improvements to monitoring and evaluating performance of ESF, as compared to the previo</w:t>
      </w:r>
      <w:r>
        <w:rPr>
          <w:rFonts w:ascii="Times New Roman" w:eastAsia="Times New Roman" w:hAnsi="Times New Roman" w:cs="Times New Roman"/>
          <w:noProof/>
          <w:sz w:val="24"/>
          <w:szCs w:val="24"/>
        </w:rPr>
        <w:t xml:space="preserve">us programming period, and will rely on a similar, yet simplified system for ex-FEAD-type interventions.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performance of the shared management strand of the ESF+ will be measured through common and programme-specific output and result indicators. Succe</w:t>
      </w:r>
      <w:r>
        <w:rPr>
          <w:rFonts w:ascii="Times New Roman" w:eastAsia="Times New Roman" w:hAnsi="Times New Roman" w:cs="Times New Roman"/>
          <w:noProof/>
          <w:sz w:val="24"/>
          <w:szCs w:val="24"/>
        </w:rPr>
        <w:t>ss will continue being assessed through the comparison of the achievements with the targets (achievement ratio) as well as the comparison of the results with the outputs (success rate). The main result indicators are related to the number of ESF+ participa</w:t>
      </w:r>
      <w:r>
        <w:rPr>
          <w:rFonts w:ascii="Times New Roman" w:eastAsia="Times New Roman" w:hAnsi="Times New Roman" w:cs="Times New Roman"/>
          <w:noProof/>
          <w:sz w:val="24"/>
          <w:szCs w:val="24"/>
        </w:rPr>
        <w:t>nts who receive basic material assistance, engage in job-search, gain a qualification and/or find a job as a result of support.</w:t>
      </w:r>
      <w:r>
        <w:rPr>
          <w:rFonts w:ascii="Times New Roman" w:eastAsia="Times New Roman" w:hAnsi="Times New Roman" w:cs="Times New Roman"/>
          <w:b/>
          <w:noProof/>
          <w:sz w:val="24"/>
          <w:szCs w:val="24"/>
        </w:rPr>
        <w:t xml:space="preserve"> </w:t>
      </w:r>
      <w:r>
        <w:rPr>
          <w:rFonts w:ascii="Times New Roman" w:eastAsia="Times New Roman" w:hAnsi="Times New Roman"/>
          <w:noProof/>
          <w:sz w:val="24"/>
        </w:rPr>
        <w:t>Targets</w:t>
      </w:r>
      <w:r>
        <w:rPr>
          <w:rFonts w:ascii="Times New Roman" w:eastAsia="Times New Roman" w:hAnsi="Times New Roman" w:cs="Times New Roman"/>
          <w:noProof/>
          <w:sz w:val="24"/>
          <w:szCs w:val="24"/>
        </w:rPr>
        <w:t xml:space="preserve"> for outputs and results will continue being set by Member States for each programme. The targets' reliability is expecte</w:t>
      </w:r>
      <w:r>
        <w:rPr>
          <w:rFonts w:ascii="Times New Roman" w:eastAsia="Times New Roman" w:hAnsi="Times New Roman" w:cs="Times New Roman"/>
          <w:noProof/>
          <w:sz w:val="24"/>
          <w:szCs w:val="24"/>
        </w:rPr>
        <w:t xml:space="preserve">d to increase as they can be calculated based on current common indicator achievements.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most noticeable improvement in the current programming period, </w:t>
      </w:r>
      <w:r>
        <w:rPr>
          <w:rFonts w:ascii="Times New Roman" w:eastAsia="Times New Roman" w:hAnsi="Times New Roman"/>
          <w:noProof/>
          <w:sz w:val="24"/>
        </w:rPr>
        <w:t>comparable common indicators based on common definitions</w:t>
      </w:r>
      <w:r>
        <w:rPr>
          <w:rFonts w:ascii="Times New Roman" w:eastAsia="Times New Roman" w:hAnsi="Times New Roman" w:cs="Times New Roman"/>
          <w:noProof/>
          <w:sz w:val="24"/>
          <w:szCs w:val="24"/>
        </w:rPr>
        <w:t>, has required huge investments in data coll</w:t>
      </w:r>
      <w:r>
        <w:rPr>
          <w:rFonts w:ascii="Times New Roman" w:eastAsia="Times New Roman" w:hAnsi="Times New Roman" w:cs="Times New Roman"/>
          <w:noProof/>
          <w:sz w:val="24"/>
          <w:szCs w:val="24"/>
        </w:rPr>
        <w:t xml:space="preserve">ection and processing. It is essential that the existing, monitoring and information systems remain in place; only changes that reduce the burden of data collection and processing while increasing the relevance for management purposes are envisaged. </w:t>
      </w:r>
      <w:r>
        <w:rPr>
          <w:rFonts w:ascii="Times New Roman" w:eastAsia="Times New Roman" w:hAnsi="Times New Roman"/>
          <w:noProof/>
          <w:sz w:val="24"/>
        </w:rPr>
        <w:t>Common</w:t>
      </w:r>
      <w:r>
        <w:rPr>
          <w:rFonts w:ascii="Times New Roman" w:eastAsia="Times New Roman" w:hAnsi="Times New Roman"/>
          <w:noProof/>
          <w:sz w:val="24"/>
        </w:rPr>
        <w:t xml:space="preserve"> output indicators</w:t>
      </w:r>
      <w:r>
        <w:rPr>
          <w:rFonts w:ascii="Times New Roman" w:eastAsia="Times New Roman" w:hAnsi="Times New Roman" w:cs="Times New Roman"/>
          <w:noProof/>
          <w:sz w:val="24"/>
          <w:szCs w:val="24"/>
        </w:rPr>
        <w:t xml:space="preserve"> will be reduced to the most relevant target groups of the ESF+ (e.g. number of inactive, unemployed, people not in education or training, young and elderly, low-skilled participants) and allow to calculate the planned achievements of the</w:t>
      </w:r>
      <w:r>
        <w:rPr>
          <w:rFonts w:ascii="Times New Roman" w:eastAsia="Times New Roman" w:hAnsi="Times New Roman" w:cs="Times New Roman"/>
          <w:noProof/>
          <w:sz w:val="24"/>
          <w:szCs w:val="24"/>
        </w:rPr>
        <w:t xml:space="preserve"> fund at EU level. Sensitive indicators with little relevance or complex definitions, e.g. 'other disadvantaged' will be dropped.  Sensitive data may be collected through informed estimates (based on current practice for the FEAD), thereby avoiding the nee</w:t>
      </w:r>
      <w:r>
        <w:rPr>
          <w:rFonts w:ascii="Times New Roman" w:eastAsia="Times New Roman" w:hAnsi="Times New Roman" w:cs="Times New Roman"/>
          <w:noProof/>
          <w:sz w:val="24"/>
          <w:szCs w:val="24"/>
        </w:rPr>
        <w:t>d to put difficult questions to difficult-to-reach participants. This will reduce the deterrent effect of having to answer sensitive questions and will simplify data collection. Where possible, definitions for common indicators will be reviewed to foster a</w:t>
      </w:r>
      <w:r>
        <w:rPr>
          <w:rFonts w:ascii="Times New Roman" w:eastAsia="Times New Roman" w:hAnsi="Times New Roman" w:cs="Times New Roman"/>
          <w:noProof/>
          <w:sz w:val="24"/>
          <w:szCs w:val="24"/>
        </w:rPr>
        <w:t xml:space="preserve"> wider use of available administrative registers for all types of data. Common indicators that are not applicable from the outset (e.g. employment in the case of pupils in primary schools) will no longer need to be collected. The number of </w:t>
      </w:r>
      <w:r>
        <w:rPr>
          <w:rFonts w:ascii="Times New Roman" w:eastAsia="Times New Roman" w:hAnsi="Times New Roman"/>
          <w:noProof/>
          <w:sz w:val="24"/>
        </w:rPr>
        <w:t>common result in</w:t>
      </w:r>
      <w:r>
        <w:rPr>
          <w:rFonts w:ascii="Times New Roman" w:eastAsia="Times New Roman" w:hAnsi="Times New Roman"/>
          <w:noProof/>
          <w:sz w:val="24"/>
        </w:rPr>
        <w:t>dicators</w:t>
      </w:r>
      <w:r>
        <w:rPr>
          <w:rFonts w:ascii="Times New Roman" w:eastAsia="Times New Roman" w:hAnsi="Times New Roman" w:cs="Times New Roman"/>
          <w:noProof/>
          <w:sz w:val="24"/>
          <w:szCs w:val="24"/>
        </w:rPr>
        <w:t xml:space="preserve"> will also be streamlined, notably by merging ESF and YEI indicators.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abolition of the performance reserve is expected to reduce the number of programme-specific indicators significantly, thereby simplifying collection and reporting.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Like dat</w:t>
      </w:r>
      <w:r>
        <w:rPr>
          <w:rFonts w:ascii="Times New Roman" w:eastAsia="Times New Roman" w:hAnsi="Times New Roman" w:cs="Times New Roman"/>
          <w:noProof/>
          <w:sz w:val="24"/>
          <w:szCs w:val="24"/>
        </w:rPr>
        <w:t>a collection, reporting mechanisms will also build on the current system, including electronic data transmission, automatic validation rules, web-service and open data. The burden will decrease as fewer indicators, both common and programme specific will b</w:t>
      </w:r>
      <w:r>
        <w:rPr>
          <w:rFonts w:ascii="Times New Roman" w:eastAsia="Times New Roman" w:hAnsi="Times New Roman" w:cs="Times New Roman"/>
          <w:noProof/>
          <w:sz w:val="24"/>
          <w:szCs w:val="24"/>
        </w:rPr>
        <w:t>e reported. Moreover, the structured reporting of quantitative data will be simpler, as the current approval mechanism will be replaced by feedback on data quality and only quality data will be published. As a result, it will also allow obtaining more time</w:t>
      </w:r>
      <w:r>
        <w:rPr>
          <w:rFonts w:ascii="Times New Roman" w:eastAsia="Times New Roman" w:hAnsi="Times New Roman" w:cs="Times New Roman"/>
          <w:noProof/>
          <w:sz w:val="24"/>
          <w:szCs w:val="24"/>
        </w:rPr>
        <w:t xml:space="preserve">ly information about achievements.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rPr>
        <w:t>Evaluation</w:t>
      </w:r>
      <w:r>
        <w:rPr>
          <w:rFonts w:ascii="Times New Roman" w:eastAsia="Times New Roman" w:hAnsi="Times New Roman" w:cs="Times New Roman"/>
          <w:noProof/>
          <w:sz w:val="24"/>
          <w:szCs w:val="24"/>
        </w:rPr>
        <w:t xml:space="preserve"> will remain the shared responsibility of the Member States and the Commission. </w:t>
      </w:r>
      <w:r>
        <w:rPr>
          <w:rFonts w:ascii="Times New Roman" w:eastAsia="Times New Roman" w:hAnsi="Times New Roman" w:cs="Times New Roman"/>
          <w:i/>
          <w:noProof/>
          <w:sz w:val="24"/>
          <w:szCs w:val="24"/>
        </w:rPr>
        <w:t>Ex ante</w:t>
      </w:r>
      <w:r>
        <w:rPr>
          <w:rFonts w:ascii="Times New Roman" w:eastAsia="Times New Roman" w:hAnsi="Times New Roman" w:cs="Times New Roman"/>
          <w:noProof/>
          <w:sz w:val="24"/>
          <w:szCs w:val="24"/>
        </w:rPr>
        <w:t xml:space="preserve"> and interim evaluations will be carried out by Member States and the </w:t>
      </w:r>
      <w:r>
        <w:rPr>
          <w:rFonts w:ascii="Times New Roman" w:eastAsia="Times New Roman" w:hAnsi="Times New Roman" w:cs="Times New Roman"/>
          <w:i/>
          <w:noProof/>
          <w:sz w:val="24"/>
          <w:szCs w:val="24"/>
        </w:rPr>
        <w:t>ex post</w:t>
      </w:r>
      <w:r>
        <w:rPr>
          <w:rFonts w:ascii="Times New Roman" w:eastAsia="Times New Roman" w:hAnsi="Times New Roman" w:cs="Times New Roman"/>
          <w:noProof/>
          <w:sz w:val="24"/>
          <w:szCs w:val="24"/>
        </w:rPr>
        <w:t xml:space="preserve"> evaluation of the fund by the Commission with the support of Member States.</w:t>
      </w:r>
      <w:r>
        <w:rPr>
          <w:rFonts w:ascii="Times New Roman" w:hAnsi="Times New Roman" w:cs="Times New Roman"/>
          <w:noProof/>
          <w:sz w:val="24"/>
          <w:szCs w:val="24"/>
        </w:rPr>
        <w:t xml:space="preserve"> The Commission may also carry out at its own initiative further evaluations of the ESF+. The current comprehensive requirement on impact evaluations is maintained and the reportin</w:t>
      </w:r>
      <w:r>
        <w:rPr>
          <w:rFonts w:ascii="Times New Roman" w:hAnsi="Times New Roman" w:cs="Times New Roman"/>
          <w:noProof/>
          <w:sz w:val="24"/>
          <w:szCs w:val="24"/>
        </w:rPr>
        <w:t>g of evaluation findings will be more structured. That will facilitate the meta-analysis of available evidence, facilitating the preparation of the next MFF as well as the mid-term review of the programmes.</w:t>
      </w:r>
      <w:r>
        <w:rPr>
          <w:noProof/>
        </w:rPr>
        <w:t xml:space="preserve">  </w:t>
      </w:r>
      <w:r>
        <w:rPr>
          <w:rFonts w:ascii="Times New Roman" w:hAnsi="Times New Roman" w:cs="Times New Roman"/>
          <w:noProof/>
          <w:sz w:val="24"/>
          <w:szCs w:val="24"/>
        </w:rPr>
        <w:tab/>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Impact evaluations of all priorities of all pr</w:t>
      </w:r>
      <w:r>
        <w:rPr>
          <w:rFonts w:ascii="Times New Roman" w:eastAsia="Times New Roman" w:hAnsi="Times New Roman" w:cs="Times New Roman"/>
          <w:noProof/>
          <w:sz w:val="24"/>
          <w:szCs w:val="24"/>
        </w:rPr>
        <w:t>ogrammes will be required for the assessment and quantification, where possible, of the impacts of the fund, as it is already the case for the current ESF. Reporting could be more structured, so that it will be easier to summarise and disseminate results b</w:t>
      </w:r>
      <w:r>
        <w:rPr>
          <w:rFonts w:ascii="Times New Roman" w:eastAsia="Times New Roman" w:hAnsi="Times New Roman" w:cs="Times New Roman"/>
          <w:noProof/>
          <w:sz w:val="24"/>
          <w:szCs w:val="24"/>
        </w:rPr>
        <w:t>y using for instance the evaluation criteria as defined in the better regulation guidelines. Also, support for the quantification of net effects of results through counterfactual impact evaluations will continue. As counterfactual evaluation is heavily rel</w:t>
      </w:r>
      <w:r>
        <w:rPr>
          <w:rFonts w:ascii="Times New Roman" w:eastAsia="Times New Roman" w:hAnsi="Times New Roman" w:cs="Times New Roman"/>
          <w:noProof/>
          <w:sz w:val="24"/>
          <w:szCs w:val="24"/>
        </w:rPr>
        <w:t xml:space="preserve">iant on data on comparable non-participants, MAs' and contractors' access to administrative registers will be facilitated while complying with data protection rules. Likewise, in the </w:t>
      </w:r>
      <w:r>
        <w:rPr>
          <w:rFonts w:ascii="Times New Roman" w:eastAsia="Times New Roman" w:hAnsi="Times New Roman" w:cs="Times New Roman"/>
          <w:i/>
          <w:noProof/>
          <w:sz w:val="24"/>
          <w:szCs w:val="24"/>
        </w:rPr>
        <w:t>ex-ante</w:t>
      </w:r>
      <w:r>
        <w:rPr>
          <w:rFonts w:ascii="Times New Roman" w:eastAsia="Times New Roman" w:hAnsi="Times New Roman" w:cs="Times New Roman"/>
          <w:noProof/>
          <w:sz w:val="24"/>
          <w:szCs w:val="24"/>
        </w:rPr>
        <w:t xml:space="preserve"> evaluation or under </w:t>
      </w:r>
      <w:r>
        <w:rPr>
          <w:rFonts w:ascii="Times New Roman" w:eastAsia="Times New Roman" w:hAnsi="Times New Roman" w:cs="Times New Roman"/>
          <w:i/>
          <w:noProof/>
          <w:sz w:val="24"/>
          <w:szCs w:val="24"/>
        </w:rPr>
        <w:t xml:space="preserve">ex-ante </w:t>
      </w:r>
      <w:r>
        <w:rPr>
          <w:rFonts w:ascii="Times New Roman" w:eastAsia="Times New Roman" w:hAnsi="Times New Roman" w:cs="Times New Roman"/>
          <w:noProof/>
          <w:sz w:val="24"/>
          <w:szCs w:val="24"/>
        </w:rPr>
        <w:t>conditionalities, MAs will be require</w:t>
      </w:r>
      <w:r>
        <w:rPr>
          <w:rFonts w:ascii="Times New Roman" w:eastAsia="Times New Roman" w:hAnsi="Times New Roman" w:cs="Times New Roman"/>
          <w:noProof/>
          <w:sz w:val="24"/>
          <w:szCs w:val="24"/>
        </w:rPr>
        <w:t>d to investigate what data registers could be used for monitoring and evaluation purposes and to secure access to them from the onset. The use of macro-economic models for quantifying high-level impacts, e.g. on the employment rate, will be improved by str</w:t>
      </w:r>
      <w:r>
        <w:rPr>
          <w:rFonts w:ascii="Times New Roman" w:eastAsia="Times New Roman" w:hAnsi="Times New Roman" w:cs="Times New Roman"/>
          <w:noProof/>
          <w:sz w:val="24"/>
          <w:szCs w:val="24"/>
        </w:rPr>
        <w:t xml:space="preserve">uctured data about ESF+ investments on NUTS2-level. Last but not least, the </w:t>
      </w:r>
      <w:r>
        <w:rPr>
          <w:rFonts w:ascii="Times New Roman" w:eastAsia="Times New Roman" w:hAnsi="Times New Roman" w:cs="Times New Roman"/>
          <w:i/>
          <w:noProof/>
          <w:sz w:val="24"/>
          <w:szCs w:val="24"/>
        </w:rPr>
        <w:t>ex-ante</w:t>
      </w:r>
      <w:r>
        <w:rPr>
          <w:rFonts w:ascii="Times New Roman" w:eastAsia="Times New Roman" w:hAnsi="Times New Roman" w:cs="Times New Roman"/>
          <w:noProof/>
          <w:sz w:val="24"/>
          <w:szCs w:val="24"/>
        </w:rPr>
        <w:t xml:space="preserve"> evaluation carried out by Member States should gauge levels of gold-plating, in particular as regards monitoring and how they could be reduced in the next programming perio</w:t>
      </w:r>
      <w:r>
        <w:rPr>
          <w:rFonts w:ascii="Times New Roman" w:eastAsia="Times New Roman" w:hAnsi="Times New Roman" w:cs="Times New Roman"/>
          <w:noProof/>
          <w:sz w:val="24"/>
          <w:szCs w:val="24"/>
        </w:rPr>
        <w:t xml:space="preserve">d. </w:t>
      </w:r>
    </w:p>
    <w:p w:rsidR="003A1527" w:rsidRDefault="00742A12">
      <w:pPr>
        <w:spacing w:after="240" w:line="240" w:lineRule="auto"/>
        <w:jc w:val="both"/>
        <w:rPr>
          <w:rFonts w:ascii="Times New Roman" w:hAnsi="Times New Roman" w:cs="Times New Roman"/>
          <w:i/>
          <w:noProof/>
          <w:sz w:val="24"/>
          <w:szCs w:val="24"/>
        </w:rPr>
      </w:pPr>
      <w:r>
        <w:rPr>
          <w:rFonts w:ascii="Times New Roman" w:eastAsia="Times New Roman" w:hAnsi="Times New Roman" w:cs="Times New Roman"/>
          <w:noProof/>
          <w:sz w:val="24"/>
          <w:szCs w:val="24"/>
        </w:rPr>
        <w:t>Monitoring and evaluation requirements for ex-FEAD-types of operations such as food and material aid, will remain separate and simpler than for the rest of the ESF+. This reflects the intervention logic of basic material assistance targeting the most d</w:t>
      </w:r>
      <w:r>
        <w:rPr>
          <w:rFonts w:ascii="Times New Roman" w:eastAsia="Times New Roman" w:hAnsi="Times New Roman" w:cs="Times New Roman"/>
          <w:noProof/>
          <w:sz w:val="24"/>
          <w:szCs w:val="24"/>
        </w:rPr>
        <w:t>eprived people. It is essential that the current core elements of flexibility (e.g. informed estimates by the partner organisation) are preserved in the future. Monitoring of performance will be improved by setting baselines, and adding a few indicators on</w:t>
      </w:r>
      <w:r>
        <w:rPr>
          <w:rFonts w:ascii="Times New Roman" w:eastAsia="Times New Roman" w:hAnsi="Times New Roman" w:cs="Times New Roman"/>
          <w:noProof/>
          <w:sz w:val="24"/>
          <w:szCs w:val="24"/>
        </w:rPr>
        <w:t xml:space="preserve"> access to services, to reflect the extension of scope of assistance. The potential additional burden of these new requirements will be offset by the simplification of common output indicators (such as food type provided). It is also envisaged to slightly </w:t>
      </w:r>
      <w:r>
        <w:rPr>
          <w:rFonts w:ascii="Times New Roman" w:eastAsia="Times New Roman" w:hAnsi="Times New Roman" w:cs="Times New Roman"/>
          <w:noProof/>
          <w:sz w:val="24"/>
          <w:szCs w:val="24"/>
        </w:rPr>
        <w:t>expand the questions of the structured surveys for end-recipients with additional input from partner organizations involved, which is already the current practice in Member States.</w:t>
      </w:r>
    </w:p>
    <w:p w:rsidR="003A1527" w:rsidRDefault="00742A12">
      <w:pPr>
        <w:spacing w:after="0" w:line="240" w:lineRule="auto"/>
        <w:contextualSpacing/>
        <w:jc w:val="both"/>
        <w:rPr>
          <w:rFonts w:ascii="Times New Roman" w:hAnsi="Times New Roman" w:cs="Times New Roman"/>
          <w:noProof/>
          <w:sz w:val="24"/>
          <w:szCs w:val="24"/>
        </w:rPr>
      </w:pPr>
      <w:r>
        <w:rPr>
          <w:rFonts w:ascii="Times New Roman" w:hAnsi="Times New Roman" w:cs="Times New Roman"/>
          <w:i/>
          <w:noProof/>
          <w:sz w:val="24"/>
          <w:szCs w:val="24"/>
        </w:rPr>
        <w:t>Direct and indirect management strand</w:t>
      </w:r>
    </w:p>
    <w:p w:rsidR="003A1527" w:rsidRDefault="003A1527">
      <w:pPr>
        <w:pStyle w:val="Text1"/>
        <w:spacing w:after="0" w:line="240" w:lineRule="auto"/>
        <w:ind w:left="0"/>
        <w:rPr>
          <w:noProof/>
          <w:szCs w:val="24"/>
          <w:lang w:eastAsia="en-GB"/>
        </w:rPr>
      </w:pPr>
    </w:p>
    <w:p w:rsidR="003A1527" w:rsidRDefault="00742A12">
      <w:pPr>
        <w:pStyle w:val="Text1"/>
        <w:spacing w:after="0" w:line="240" w:lineRule="auto"/>
        <w:ind w:left="0"/>
        <w:rPr>
          <w:noProof/>
          <w:szCs w:val="24"/>
          <w:lang w:eastAsia="en-GB"/>
        </w:rPr>
      </w:pPr>
      <w:r>
        <w:rPr>
          <w:noProof/>
          <w:szCs w:val="24"/>
          <w:lang w:eastAsia="en-GB"/>
        </w:rPr>
        <w:t xml:space="preserve">The performance framework will be updated building on relevant parts of the former EaSI performance framework. </w:t>
      </w:r>
    </w:p>
    <w:p w:rsidR="003A1527" w:rsidRDefault="00742A12">
      <w:pPr>
        <w:pStyle w:val="Text1"/>
        <w:spacing w:after="0" w:line="240" w:lineRule="auto"/>
        <w:ind w:left="0"/>
        <w:rPr>
          <w:noProof/>
          <w:szCs w:val="24"/>
        </w:rPr>
      </w:pPr>
      <w:r>
        <w:rPr>
          <w:noProof/>
          <w:szCs w:val="24"/>
        </w:rPr>
        <w:t xml:space="preserve">The monitoring system will </w:t>
      </w:r>
      <w:r>
        <w:rPr>
          <w:noProof/>
          <w:szCs w:val="24"/>
          <w:lang w:eastAsia="en-GB"/>
        </w:rPr>
        <w:t>include qualitative and quantitative performance indicators and</w:t>
      </w:r>
      <w:r>
        <w:rPr>
          <w:noProof/>
          <w:szCs w:val="24"/>
        </w:rPr>
        <w:t xml:space="preserve"> ensure that data for monitoring the implementation an</w:t>
      </w:r>
      <w:r>
        <w:rPr>
          <w:noProof/>
          <w:szCs w:val="24"/>
        </w:rPr>
        <w:t xml:space="preserve">d results of the direct and indirect management strand are collected efficiently, effectively and timely. </w:t>
      </w:r>
    </w:p>
    <w:p w:rsidR="003A1527" w:rsidRDefault="00742A12">
      <w:pPr>
        <w:pStyle w:val="BodyText2"/>
        <w:spacing w:line="240" w:lineRule="auto"/>
        <w:rPr>
          <w:iCs/>
          <w:color w:val="auto"/>
        </w:rPr>
      </w:pPr>
      <w:r>
        <w:rPr>
          <w:color w:val="auto"/>
        </w:rPr>
        <w:t>Evaluations of the direct and indirect management strand will be carried out in a sufficiently timely manner to feed into different decision-making p</w:t>
      </w:r>
      <w:r>
        <w:rPr>
          <w:color w:val="auto"/>
        </w:rPr>
        <w:t xml:space="preserve">rocesses.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5.2 EGF</w:t>
      </w:r>
    </w:p>
    <w:p w:rsidR="003A1527" w:rsidRDefault="00742A12">
      <w:pPr>
        <w:pStyle w:val="CommentText"/>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Monitoring the performance of EGF will be strengthened by introducing provisions for a common monitoring system with output and result indicators in the EGF Regulation. Success will mainly be measured through re-employment rates, i.e. </w:t>
      </w:r>
      <w:r>
        <w:rPr>
          <w:rFonts w:ascii="Times New Roman" w:eastAsia="Times New Roman" w:hAnsi="Times New Roman"/>
          <w:noProof/>
          <w:sz w:val="24"/>
          <w:szCs w:val="24"/>
        </w:rPr>
        <w:t>the share of people who found a job after having received EGF assistance.</w:t>
      </w:r>
    </w:p>
    <w:p w:rsidR="003A1527" w:rsidRDefault="00742A12">
      <w:pPr>
        <w:pStyle w:val="CommentText"/>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lessons learned, it is proposed that Member States should be required to include the delivery of common output and result indicators in their contracts with the implemen</w:t>
      </w:r>
      <w:r>
        <w:rPr>
          <w:rFonts w:ascii="Times New Roman" w:hAnsi="Times New Roman" w:cs="Times New Roman"/>
          <w:noProof/>
          <w:sz w:val="24"/>
          <w:szCs w:val="24"/>
        </w:rPr>
        <w:t xml:space="preserve">ting bodies. The requirements currently introduced in the EGF Financing decisions will be incorporated in the EGF Regulation, meaning to deliver data on the employment status of beneficiaries when the respective Member State submits the final report and a </w:t>
      </w:r>
      <w:r>
        <w:rPr>
          <w:rFonts w:ascii="Times New Roman" w:hAnsi="Times New Roman" w:cs="Times New Roman"/>
          <w:noProof/>
          <w:sz w:val="24"/>
          <w:szCs w:val="24"/>
        </w:rPr>
        <w:t>year later. This also includes information on the type and quality of employment (e.g. permanent/non-permanent) and changes in the beneficiaries' employability at the end of the operations (e.g. qualifications gained). The data will need to be collected ba</w:t>
      </w:r>
      <w:r>
        <w:rPr>
          <w:rFonts w:ascii="Times New Roman" w:hAnsi="Times New Roman" w:cs="Times New Roman"/>
          <w:noProof/>
          <w:sz w:val="24"/>
          <w:szCs w:val="24"/>
        </w:rPr>
        <w:t xml:space="preserve">sed on surveys and PES data. This will enable assessment of the extent to which the assistance helped to improve beneficiaries’ employability and helped changing their employment status, in order to see whether the fund functions effectively. </w:t>
      </w:r>
    </w:p>
    <w:p w:rsidR="003A1527" w:rsidRDefault="00742A12">
      <w:pPr>
        <w:pStyle w:val="CommentText"/>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fi</w:t>
      </w:r>
      <w:r>
        <w:rPr>
          <w:rFonts w:ascii="Times New Roman" w:hAnsi="Times New Roman" w:cs="Times New Roman"/>
          <w:noProof/>
          <w:sz w:val="24"/>
          <w:szCs w:val="24"/>
        </w:rPr>
        <w:t>ndings of previous evaluations and Court of Auditors reports, case specific target setting will be introduced. These will need to take into account the specific characteristics of a case and the extent to which past cases are comparable. The targets should</w:t>
      </w:r>
      <w:r>
        <w:rPr>
          <w:rFonts w:ascii="Times New Roman" w:hAnsi="Times New Roman" w:cs="Times New Roman"/>
          <w:noProof/>
          <w:sz w:val="24"/>
          <w:szCs w:val="24"/>
        </w:rPr>
        <w:t xml:space="preserve"> refer to beneficiaries' re-integration rates. The Regulation will specify the exact requirements regarding survey data and indicators to be provided, while Member States will propose case specific targets for approval by the Commission, in the application</w:t>
      </w:r>
      <w:r>
        <w:rPr>
          <w:rFonts w:ascii="Times New Roman" w:hAnsi="Times New Roman" w:cs="Times New Roman"/>
          <w:noProof/>
          <w:sz w:val="24"/>
          <w:szCs w:val="24"/>
        </w:rPr>
        <w:t xml:space="preserve"> phase. These are necessary for reporting and evaluation purposes, but are not bound to sanction mechanisms or result based payments. Emergency situations can be characterised by the fact that they occur unexpectedly, in often quickly changing unpredictabl</w:t>
      </w:r>
      <w:r>
        <w:rPr>
          <w:rFonts w:ascii="Times New Roman" w:hAnsi="Times New Roman" w:cs="Times New Roman"/>
          <w:noProof/>
          <w:sz w:val="24"/>
          <w:szCs w:val="24"/>
        </w:rPr>
        <w:t>e environments. Result based payments would only be fair if the results could directly be attributed to the assistance granted and would not be heavily dependent on external factors as well. In the final reports, however, Member States will need to provide</w:t>
      </w:r>
      <w:r>
        <w:rPr>
          <w:rFonts w:ascii="Times New Roman" w:hAnsi="Times New Roman" w:cs="Times New Roman"/>
          <w:noProof/>
          <w:sz w:val="24"/>
          <w:szCs w:val="24"/>
        </w:rPr>
        <w:t xml:space="preserve"> a reasoned analysis to what extent the targets have been reached</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EGF mid-term evaluation showed that future evaluations should be scheduled so as to ensure that enough data are available. Therefore, in line with the Better Regulation Guidelines, the t</w:t>
      </w:r>
      <w:r>
        <w:rPr>
          <w:rFonts w:ascii="Times New Roman" w:hAnsi="Times New Roman" w:cs="Times New Roman"/>
          <w:noProof/>
          <w:sz w:val="24"/>
          <w:szCs w:val="24"/>
        </w:rPr>
        <w:t>iming of mid-term and final evaluations will in future be better aligned with the implementation cycle. For the EGF, this will mean that a mid-term evaluation is to be completed by 30 June 2025, and an ex-post evaluation by 31 December 2029.</w:t>
      </w:r>
    </w:p>
    <w:p w:rsidR="003A1527" w:rsidRDefault="003A1527">
      <w:pPr>
        <w:spacing w:line="240" w:lineRule="auto"/>
        <w:jc w:val="both"/>
        <w:rPr>
          <w:rFonts w:ascii="Times New Roman" w:hAnsi="Times New Roman" w:cs="Times New Roman"/>
          <w:b/>
          <w:noProof/>
          <w:sz w:val="24"/>
          <w:szCs w:val="24"/>
        </w:rPr>
      </w:pPr>
    </w:p>
    <w:p w:rsidR="003A1527" w:rsidRDefault="00742A12">
      <w:pPr>
        <w:rPr>
          <w:rFonts w:ascii="Times New Roman" w:hAnsi="Times New Roman" w:cs="Times New Roman"/>
          <w:noProof/>
          <w:sz w:val="24"/>
          <w:szCs w:val="24"/>
        </w:rPr>
      </w:pPr>
      <w:r>
        <w:rPr>
          <w:rFonts w:ascii="Times New Roman" w:hAnsi="Times New Roman" w:cs="Times New Roman"/>
          <w:noProof/>
          <w:sz w:val="24"/>
          <w:szCs w:val="24"/>
        </w:rPr>
        <w:br w:type="page"/>
      </w:r>
    </w:p>
    <w:p w:rsidR="003A1527" w:rsidRDefault="00742A12">
      <w:pPr>
        <w:pStyle w:val="AnnexTitle"/>
        <w:rPr>
          <w:noProof/>
        </w:rPr>
      </w:pPr>
      <w:bookmarkStart w:id="67" w:name="_Toc509831774"/>
      <w:bookmarkStart w:id="68" w:name="_Toc509833366"/>
      <w:bookmarkStart w:id="69" w:name="_Toc509843335"/>
      <w:bookmarkStart w:id="70" w:name="_Toc509848052"/>
      <w:bookmarkStart w:id="71" w:name="_Toc514401939"/>
      <w:r>
        <w:rPr>
          <w:noProof/>
        </w:rPr>
        <w:t>Annex 1: Pr</w:t>
      </w:r>
      <w:r>
        <w:rPr>
          <w:noProof/>
        </w:rPr>
        <w:t>ocedural information</w:t>
      </w:r>
      <w:bookmarkStart w:id="72" w:name="_Toc471997754"/>
      <w:bookmarkEnd w:id="67"/>
      <w:bookmarkEnd w:id="68"/>
      <w:bookmarkEnd w:id="69"/>
      <w:bookmarkEnd w:id="70"/>
      <w:bookmarkEnd w:id="71"/>
    </w:p>
    <w:p w:rsidR="003A1527" w:rsidRDefault="00742A12">
      <w:pPr>
        <w:pStyle w:val="Heading1"/>
        <w:keepLines w:val="0"/>
        <w:numPr>
          <w:ilvl w:val="0"/>
          <w:numId w:val="16"/>
        </w:numPr>
        <w:spacing w:before="240" w:after="240"/>
        <w:jc w:val="both"/>
        <w:rPr>
          <w:rFonts w:ascii="Times New Roman" w:hAnsi="Times New Roman" w:cs="Times New Roman"/>
          <w:noProof/>
          <w:color w:val="auto"/>
          <w:sz w:val="24"/>
          <w:szCs w:val="24"/>
        </w:rPr>
      </w:pPr>
      <w:bookmarkStart w:id="73" w:name="_Toc509831775"/>
      <w:bookmarkStart w:id="74" w:name="_Toc509833367"/>
      <w:bookmarkStart w:id="75" w:name="_Toc509843336"/>
      <w:bookmarkStart w:id="76" w:name="_Toc509848053"/>
      <w:bookmarkStart w:id="77" w:name="_Toc514401940"/>
      <w:r>
        <w:rPr>
          <w:rFonts w:ascii="Times New Roman" w:hAnsi="Times New Roman" w:cs="Times New Roman"/>
          <w:noProof/>
          <w:color w:val="auto"/>
          <w:sz w:val="24"/>
          <w:szCs w:val="24"/>
        </w:rPr>
        <w:t>Lead DG(s), D</w:t>
      </w:r>
      <w:r>
        <w:rPr>
          <w:rFonts w:ascii="Times New Roman" w:hAnsi="Times New Roman" w:cs="Times New Roman"/>
          <w:i/>
          <w:noProof/>
          <w:color w:val="auto"/>
          <w:sz w:val="24"/>
          <w:szCs w:val="24"/>
        </w:rPr>
        <w:t>e</w:t>
      </w:r>
      <w:r>
        <w:rPr>
          <w:rFonts w:ascii="Times New Roman" w:hAnsi="Times New Roman" w:cs="Times New Roman"/>
          <w:noProof/>
          <w:color w:val="auto"/>
          <w:sz w:val="24"/>
          <w:szCs w:val="24"/>
        </w:rPr>
        <w:t>cide Planning/CWP references</w:t>
      </w:r>
      <w:bookmarkEnd w:id="72"/>
      <w:bookmarkEnd w:id="73"/>
      <w:bookmarkEnd w:id="74"/>
      <w:bookmarkEnd w:id="75"/>
      <w:bookmarkEnd w:id="76"/>
      <w:bookmarkEnd w:id="77"/>
      <w:r>
        <w:rPr>
          <w:rFonts w:ascii="Times New Roman" w:hAnsi="Times New Roman" w:cs="Times New Roman"/>
          <w:noProof/>
          <w:color w:val="auto"/>
          <w:sz w:val="24"/>
          <w:szCs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LEAD DG: DG EMPL</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No DeCIDE planning as instructed by SG</w:t>
      </w:r>
    </w:p>
    <w:p w:rsidR="003A1527" w:rsidRDefault="00742A12">
      <w:pPr>
        <w:pStyle w:val="Default"/>
        <w:spacing w:line="240" w:lineRule="auto"/>
        <w:jc w:val="both"/>
        <w:rPr>
          <w:noProof/>
        </w:rPr>
      </w:pPr>
      <w:r>
        <w:rPr>
          <w:noProof/>
        </w:rPr>
        <w:t xml:space="preserve">CWP reference: </w:t>
      </w:r>
      <w:r>
        <w:rPr>
          <w:i/>
          <w:noProof/>
        </w:rPr>
        <w:t>An agenda for a more united, stronger and more democratic Europe</w:t>
      </w:r>
      <w:r>
        <w:rPr>
          <w:noProof/>
        </w:rPr>
        <w:t>, Commission Work Programme 2018, COM(2017)650 final (24</w:t>
      </w:r>
      <w:r>
        <w:rPr>
          <w:noProof/>
        </w:rPr>
        <w:t>.10.2017), Annex I, new initiative n°2 ‘multi-annual financial framework’: Comprehensive proposal for the future Multi-annual Financial Framework beyond 2020 (Q2 2018) followed by proposals for the next generation of programmes and new own resources (legis</w:t>
      </w:r>
      <w:r>
        <w:rPr>
          <w:noProof/>
        </w:rPr>
        <w:t xml:space="preserve">lative, incl. impact assessment, Art. 311 TFEU plus sectoral bases, Q2 2018) </w:t>
      </w:r>
    </w:p>
    <w:p w:rsidR="003A1527" w:rsidRDefault="003A1527">
      <w:pPr>
        <w:spacing w:line="240" w:lineRule="auto"/>
        <w:jc w:val="both"/>
        <w:rPr>
          <w:rFonts w:ascii="Times New Roman" w:hAnsi="Times New Roman" w:cs="Times New Roman"/>
          <w:noProof/>
          <w:sz w:val="24"/>
          <w:szCs w:val="24"/>
        </w:rPr>
      </w:pPr>
    </w:p>
    <w:p w:rsidR="003A1527" w:rsidRDefault="00742A12">
      <w:pPr>
        <w:pStyle w:val="Heading1"/>
        <w:keepLines w:val="0"/>
        <w:numPr>
          <w:ilvl w:val="0"/>
          <w:numId w:val="3"/>
        </w:numPr>
        <w:spacing w:before="240" w:after="240"/>
        <w:jc w:val="both"/>
        <w:rPr>
          <w:rFonts w:ascii="Times New Roman" w:hAnsi="Times New Roman" w:cs="Times New Roman"/>
          <w:noProof/>
          <w:color w:val="auto"/>
          <w:sz w:val="24"/>
          <w:szCs w:val="24"/>
        </w:rPr>
      </w:pPr>
      <w:bookmarkStart w:id="78" w:name="_Toc471997755"/>
      <w:bookmarkStart w:id="79" w:name="_Toc509831776"/>
      <w:bookmarkStart w:id="80" w:name="_Toc509833368"/>
      <w:bookmarkStart w:id="81" w:name="_Toc509843337"/>
      <w:bookmarkStart w:id="82" w:name="_Toc509848054"/>
      <w:bookmarkStart w:id="83" w:name="_Toc514401941"/>
      <w:r>
        <w:rPr>
          <w:rFonts w:ascii="Times New Roman" w:hAnsi="Times New Roman" w:cs="Times New Roman"/>
          <w:noProof/>
          <w:color w:val="auto"/>
          <w:sz w:val="24"/>
          <w:szCs w:val="24"/>
        </w:rPr>
        <w:t>Organisation and timing</w:t>
      </w:r>
      <w:bookmarkEnd w:id="78"/>
      <w:bookmarkEnd w:id="79"/>
      <w:bookmarkEnd w:id="80"/>
      <w:bookmarkEnd w:id="81"/>
      <w:bookmarkEnd w:id="82"/>
      <w:bookmarkEnd w:id="83"/>
      <w:r>
        <w:rPr>
          <w:rFonts w:ascii="Times New Roman" w:hAnsi="Times New Roman" w:cs="Times New Roman"/>
          <w:noProof/>
          <w:color w:val="auto"/>
          <w:sz w:val="24"/>
          <w:szCs w:val="24"/>
        </w:rPr>
        <w:t xml:space="preserve"> </w:t>
      </w: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Inter-service steering group led by SG on the upcoming MFF proposals in the area of human capital development.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meeting: 27 February 2018</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meeting: 20 March 2018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meeting: 2 May 2018</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meeting: 16 May 2018</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Participating DGs: SJ, EPSC, ECFIN, GROW, EMPL, AGRI, MOVE, CNCET, JRC, REGIO, EAC, HOME, JUST, TRADE, ESTAT, DIGIT, BUDG, MARE, ENER, CLIMA</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Inter-service steering group co-chaired </w:t>
      </w:r>
      <w:r>
        <w:rPr>
          <w:rFonts w:ascii="Times New Roman" w:hAnsi="Times New Roman" w:cs="Times New Roman"/>
          <w:b/>
          <w:noProof/>
          <w:sz w:val="24"/>
          <w:szCs w:val="24"/>
        </w:rPr>
        <w:t>by SG and EMPL on the study to support the DG EMPL impact assessment</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meeting: 29 May 2017</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meeting: 6 December 2017</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meeting: 23 January 2018</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meeting: 22 February 2018</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meeting: 20 March 2018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Participating DGs: SG, EMPL, MARE, JUST, ECFIN</w:t>
      </w:r>
      <w:r>
        <w:rPr>
          <w:rFonts w:ascii="Times New Roman" w:hAnsi="Times New Roman" w:cs="Times New Roman"/>
          <w:noProof/>
          <w:sz w:val="24"/>
          <w:szCs w:val="24"/>
        </w:rPr>
        <w:t>, BUDG, GROW, REGIO, AGRI, SANTE, EAC, HOME, JRC, SRSS, CNECT</w:t>
      </w:r>
    </w:p>
    <w:p w:rsidR="003A1527" w:rsidRDefault="003A1527">
      <w:pPr>
        <w:spacing w:line="240" w:lineRule="auto"/>
        <w:jc w:val="both"/>
        <w:rPr>
          <w:rFonts w:ascii="Times New Roman" w:hAnsi="Times New Roman" w:cs="Times New Roman"/>
          <w:noProof/>
          <w:sz w:val="24"/>
          <w:szCs w:val="24"/>
        </w:rPr>
      </w:pPr>
    </w:p>
    <w:p w:rsidR="003A1527" w:rsidRDefault="00742A12">
      <w:pPr>
        <w:pStyle w:val="Heading1"/>
        <w:keepLines w:val="0"/>
        <w:numPr>
          <w:ilvl w:val="0"/>
          <w:numId w:val="3"/>
        </w:numPr>
        <w:spacing w:before="240" w:after="240"/>
        <w:jc w:val="both"/>
        <w:rPr>
          <w:rFonts w:ascii="Times New Roman" w:hAnsi="Times New Roman" w:cs="Times New Roman"/>
          <w:noProof/>
          <w:color w:val="auto"/>
          <w:sz w:val="24"/>
          <w:szCs w:val="24"/>
        </w:rPr>
      </w:pPr>
      <w:bookmarkStart w:id="84" w:name="_Toc471997757"/>
      <w:bookmarkStart w:id="85" w:name="_Toc509831777"/>
      <w:bookmarkStart w:id="86" w:name="_Toc509833369"/>
      <w:bookmarkStart w:id="87" w:name="_Toc509843338"/>
      <w:bookmarkStart w:id="88" w:name="_Toc509848055"/>
      <w:bookmarkStart w:id="89" w:name="_Toc514401942"/>
      <w:r>
        <w:rPr>
          <w:rFonts w:ascii="Times New Roman" w:hAnsi="Times New Roman" w:cs="Times New Roman"/>
          <w:noProof/>
          <w:color w:val="auto"/>
          <w:sz w:val="24"/>
          <w:szCs w:val="24"/>
        </w:rPr>
        <w:t>Consultation of the RSB</w:t>
      </w:r>
      <w:bookmarkEnd w:id="84"/>
      <w:bookmarkEnd w:id="85"/>
      <w:bookmarkEnd w:id="86"/>
      <w:bookmarkEnd w:id="87"/>
      <w:bookmarkEnd w:id="88"/>
      <w:bookmarkEnd w:id="89"/>
      <w:r>
        <w:rPr>
          <w:rFonts w:ascii="Times New Roman" w:hAnsi="Times New Roman" w:cs="Times New Roman"/>
          <w:noProof/>
          <w:color w:val="auto"/>
          <w:sz w:val="24"/>
          <w:szCs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An informal upstream meeting was held on 24</w:t>
      </w:r>
      <w:r>
        <w:rPr>
          <w:rFonts w:ascii="Times New Roman" w:hAnsi="Times New Roman" w:cs="Times New Roman"/>
          <w:iCs/>
          <w:noProof/>
          <w:sz w:val="24"/>
          <w:szCs w:val="24"/>
          <w:vertAlign w:val="superscript"/>
        </w:rPr>
        <w:t>th</w:t>
      </w:r>
      <w:r>
        <w:rPr>
          <w:rFonts w:ascii="Times New Roman" w:hAnsi="Times New Roman" w:cs="Times New Roman"/>
          <w:iCs/>
          <w:noProof/>
          <w:sz w:val="24"/>
          <w:szCs w:val="24"/>
        </w:rPr>
        <w:t xml:space="preserve"> January 2018 with RSB representatives and the participation of SG, DG BUDG and JRC. During this discussion Board members and representatives of the horizontal Services provided early feedback and advice on the basis of the inception impact assessment (sco</w:t>
      </w:r>
      <w:r>
        <w:rPr>
          <w:rFonts w:ascii="Times New Roman" w:hAnsi="Times New Roman" w:cs="Times New Roman"/>
          <w:iCs/>
          <w:noProof/>
          <w:sz w:val="24"/>
          <w:szCs w:val="24"/>
        </w:rPr>
        <w:t>ping paper). Board members' feedback did not prejudge in any way the subsequent formal deliberations of the RSB.</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RSB hearing took place on the 25 April 2018, the IA received a positive opinion with the following reservations:</w:t>
      </w:r>
    </w:p>
    <w:p w:rsidR="003A1527" w:rsidRDefault="003A1527">
      <w:pPr>
        <w:spacing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417"/>
        <w:gridCol w:w="4417"/>
      </w:tblGrid>
      <w:tr w:rsidR="003A1527">
        <w:tc>
          <w:tcPr>
            <w:tcW w:w="4417" w:type="dxa"/>
          </w:tcPr>
          <w:p w:rsidR="003A1527" w:rsidRDefault="00742A12">
            <w:pPr>
              <w:spacing w:before="360" w:line="240" w:lineRule="auto"/>
              <w:jc w:val="both"/>
              <w:rPr>
                <w:b/>
                <w:noProof/>
                <w:sz w:val="24"/>
              </w:rPr>
            </w:pPr>
            <w:r>
              <w:rPr>
                <w:b/>
                <w:noProof/>
                <w:sz w:val="24"/>
              </w:rPr>
              <w:t>Main RSB considerations</w:t>
            </w:r>
          </w:p>
        </w:tc>
        <w:tc>
          <w:tcPr>
            <w:tcW w:w="4417" w:type="dxa"/>
          </w:tcPr>
          <w:p w:rsidR="003A1527" w:rsidRDefault="00742A12">
            <w:pPr>
              <w:spacing w:before="360" w:line="240" w:lineRule="auto"/>
              <w:jc w:val="both"/>
              <w:rPr>
                <w:b/>
                <w:noProof/>
                <w:sz w:val="24"/>
              </w:rPr>
            </w:pPr>
            <w:r>
              <w:rPr>
                <w:b/>
                <w:noProof/>
                <w:sz w:val="24"/>
              </w:rPr>
              <w:t>I</w:t>
            </w:r>
            <w:r>
              <w:rPr>
                <w:b/>
                <w:noProof/>
                <w:sz w:val="24"/>
              </w:rPr>
              <w:t>A report modifications</w:t>
            </w:r>
          </w:p>
        </w:tc>
      </w:tr>
      <w:tr w:rsidR="003A1527">
        <w:tc>
          <w:tcPr>
            <w:tcW w:w="4417" w:type="dxa"/>
          </w:tcPr>
          <w:p w:rsidR="003A1527" w:rsidRDefault="00742A12">
            <w:pPr>
              <w:spacing w:before="360" w:line="240" w:lineRule="auto"/>
              <w:jc w:val="both"/>
              <w:rPr>
                <w:noProof/>
                <w:sz w:val="24"/>
                <w:szCs w:val="24"/>
              </w:rPr>
            </w:pPr>
            <w:r>
              <w:rPr>
                <w:noProof/>
              </w:rPr>
              <w:t>(</w:t>
            </w:r>
            <w:r>
              <w:rPr>
                <w:noProof/>
                <w:sz w:val="24"/>
              </w:rPr>
              <w:t>1</w:t>
            </w:r>
            <w:r>
              <w:rPr>
                <w:noProof/>
              </w:rPr>
              <w:t xml:space="preserve">) </w:t>
            </w:r>
            <w:r>
              <w:rPr>
                <w:noProof/>
                <w:sz w:val="24"/>
                <w:szCs w:val="24"/>
              </w:rPr>
              <w:t>The policy prioritisation of actions is not clear, in particular in relation to the European Pillar of Social Rights, as well as to accommodate potential reductions of funding.</w:t>
            </w:r>
          </w:p>
        </w:tc>
        <w:tc>
          <w:tcPr>
            <w:tcW w:w="4417" w:type="dxa"/>
          </w:tcPr>
          <w:p w:rsidR="003A1527" w:rsidRDefault="00742A12">
            <w:pPr>
              <w:spacing w:before="360" w:line="240" w:lineRule="auto"/>
              <w:jc w:val="both"/>
              <w:rPr>
                <w:noProof/>
                <w:sz w:val="24"/>
                <w:szCs w:val="24"/>
              </w:rPr>
            </w:pPr>
            <w:r>
              <w:rPr>
                <w:noProof/>
                <w:sz w:val="24"/>
                <w:szCs w:val="24"/>
              </w:rPr>
              <w:t>The text clarifies a potential reduction of funding</w:t>
            </w:r>
            <w:r>
              <w:rPr>
                <w:noProof/>
                <w:sz w:val="24"/>
                <w:szCs w:val="24"/>
              </w:rPr>
              <w:t xml:space="preserve"> would be addressed by limiting the scope of the ESF+ in the area of administrative reform and by increasing the national co-financing rates (section 2.1.1).</w:t>
            </w:r>
          </w:p>
        </w:tc>
      </w:tr>
      <w:tr w:rsidR="003A1527">
        <w:tc>
          <w:tcPr>
            <w:tcW w:w="4417" w:type="dxa"/>
          </w:tcPr>
          <w:p w:rsidR="003A1527" w:rsidRDefault="00742A12">
            <w:pPr>
              <w:spacing w:before="360" w:line="240" w:lineRule="auto"/>
              <w:jc w:val="both"/>
              <w:rPr>
                <w:noProof/>
                <w:sz w:val="24"/>
                <w:szCs w:val="24"/>
              </w:rPr>
            </w:pPr>
            <w:r>
              <w:rPr>
                <w:noProof/>
                <w:sz w:val="24"/>
                <w:szCs w:val="24"/>
              </w:rPr>
              <w:t>(2</w:t>
            </w:r>
            <w:r>
              <w:rPr>
                <w:noProof/>
              </w:rPr>
              <w:t xml:space="preserve">) </w:t>
            </w:r>
            <w:r>
              <w:rPr>
                <w:noProof/>
                <w:sz w:val="24"/>
                <w:szCs w:val="24"/>
              </w:rPr>
              <w:t>The rationale and future use of the European Globalisation Adjustment Fund are not sufficient</w:t>
            </w:r>
            <w:r>
              <w:rPr>
                <w:noProof/>
                <w:sz w:val="24"/>
                <w:szCs w:val="24"/>
              </w:rPr>
              <w:t>ly explained.</w:t>
            </w:r>
          </w:p>
        </w:tc>
        <w:tc>
          <w:tcPr>
            <w:tcW w:w="4417" w:type="dxa"/>
          </w:tcPr>
          <w:p w:rsidR="003A1527" w:rsidRDefault="00742A12">
            <w:pPr>
              <w:spacing w:line="240" w:lineRule="auto"/>
              <w:jc w:val="both"/>
              <w:rPr>
                <w:noProof/>
                <w:sz w:val="24"/>
                <w:szCs w:val="24"/>
              </w:rPr>
            </w:pPr>
            <w:r>
              <w:rPr>
                <w:noProof/>
                <w:sz w:val="24"/>
                <w:szCs w:val="24"/>
              </w:rPr>
              <w:t>The explanation of the rationale of the EGF has been improved in chapter 2.1.1.3, especially by adding info on its character as an emergency response instrument. The info on the future use of the EGF in chapter 3.2 has been improved by adding</w:t>
            </w:r>
            <w:r>
              <w:rPr>
                <w:noProof/>
                <w:sz w:val="24"/>
                <w:szCs w:val="24"/>
              </w:rPr>
              <w:t xml:space="preserve"> extensive info on the rationale for the proposed future changes, especially the broadened scope and the lower threshold.</w:t>
            </w:r>
            <w:r>
              <w:rPr>
                <w:b/>
                <w:noProof/>
                <w:sz w:val="24"/>
                <w:szCs w:val="24"/>
              </w:rPr>
              <w:t xml:space="preserve"> </w:t>
            </w:r>
          </w:p>
        </w:tc>
      </w:tr>
      <w:tr w:rsidR="003A1527">
        <w:tc>
          <w:tcPr>
            <w:tcW w:w="4417" w:type="dxa"/>
          </w:tcPr>
          <w:p w:rsidR="003A1527" w:rsidRDefault="00742A12">
            <w:pPr>
              <w:spacing w:before="360" w:line="240" w:lineRule="auto"/>
              <w:jc w:val="both"/>
              <w:rPr>
                <w:noProof/>
                <w:sz w:val="24"/>
                <w:szCs w:val="24"/>
              </w:rPr>
            </w:pPr>
            <w:r>
              <w:rPr>
                <w:noProof/>
                <w:sz w:val="24"/>
                <w:szCs w:val="24"/>
              </w:rPr>
              <w:t xml:space="preserve">(3) The report does not sufficiently demonstrate that the monitoring and evaluation system is robust and will deliver the necessary </w:t>
            </w:r>
            <w:r>
              <w:rPr>
                <w:noProof/>
                <w:sz w:val="24"/>
                <w:szCs w:val="24"/>
              </w:rPr>
              <w:t>information in a timely way.</w:t>
            </w:r>
          </w:p>
        </w:tc>
        <w:tc>
          <w:tcPr>
            <w:tcW w:w="4417" w:type="dxa"/>
          </w:tcPr>
          <w:p w:rsidR="003A1527" w:rsidRDefault="00742A12">
            <w:pPr>
              <w:spacing w:before="360" w:line="240" w:lineRule="auto"/>
              <w:jc w:val="both"/>
              <w:rPr>
                <w:noProof/>
                <w:sz w:val="24"/>
                <w:szCs w:val="24"/>
              </w:rPr>
            </w:pPr>
            <w:r>
              <w:rPr>
                <w:noProof/>
                <w:sz w:val="24"/>
                <w:szCs w:val="24"/>
              </w:rPr>
              <w:t>Additional information on the monitoring and evaluation system has been inserted in Section 5.</w:t>
            </w:r>
          </w:p>
        </w:tc>
      </w:tr>
      <w:tr w:rsidR="003A1527">
        <w:tc>
          <w:tcPr>
            <w:tcW w:w="4417" w:type="dxa"/>
          </w:tcPr>
          <w:p w:rsidR="003A1527" w:rsidRDefault="00742A12">
            <w:pPr>
              <w:spacing w:before="360" w:line="240" w:lineRule="auto"/>
              <w:jc w:val="both"/>
              <w:rPr>
                <w:b/>
                <w:noProof/>
                <w:sz w:val="24"/>
              </w:rPr>
            </w:pPr>
            <w:r>
              <w:rPr>
                <w:b/>
                <w:noProof/>
                <w:sz w:val="24"/>
              </w:rPr>
              <w:t>Further considerations and adjustment requirements</w:t>
            </w:r>
          </w:p>
        </w:tc>
        <w:tc>
          <w:tcPr>
            <w:tcW w:w="4417" w:type="dxa"/>
          </w:tcPr>
          <w:p w:rsidR="003A1527" w:rsidRDefault="003A1527">
            <w:pPr>
              <w:spacing w:before="360" w:line="240" w:lineRule="auto"/>
              <w:jc w:val="both"/>
              <w:rPr>
                <w:b/>
                <w:noProof/>
                <w:sz w:val="24"/>
              </w:rPr>
            </w:pPr>
          </w:p>
        </w:tc>
      </w:tr>
      <w:tr w:rsidR="003A1527">
        <w:tc>
          <w:tcPr>
            <w:tcW w:w="4417" w:type="dxa"/>
          </w:tcPr>
          <w:p w:rsidR="003A1527" w:rsidRDefault="00742A12">
            <w:pPr>
              <w:spacing w:line="240" w:lineRule="auto"/>
              <w:jc w:val="both"/>
              <w:rPr>
                <w:noProof/>
                <w:sz w:val="24"/>
              </w:rPr>
            </w:pPr>
            <w:r>
              <w:rPr>
                <w:noProof/>
                <w:sz w:val="24"/>
                <w:szCs w:val="24"/>
              </w:rPr>
              <w:t>(1</w:t>
            </w:r>
            <w:r>
              <w:rPr>
                <w:noProof/>
              </w:rPr>
              <w:t xml:space="preserve">) </w:t>
            </w:r>
            <w:r>
              <w:rPr>
                <w:noProof/>
                <w:sz w:val="24"/>
              </w:rPr>
              <w:t xml:space="preserve">The lessons learned should more comprehensively build on the main general </w:t>
            </w:r>
            <w:r>
              <w:rPr>
                <w:noProof/>
                <w:sz w:val="24"/>
              </w:rPr>
              <w:t>and fund-specific challenges identified in the published evaluations and preliminary evaluations results.</w:t>
            </w:r>
          </w:p>
        </w:tc>
        <w:tc>
          <w:tcPr>
            <w:tcW w:w="4417" w:type="dxa"/>
          </w:tcPr>
          <w:p w:rsidR="003A1527" w:rsidRDefault="00742A12">
            <w:pPr>
              <w:spacing w:line="240" w:lineRule="auto"/>
              <w:jc w:val="both"/>
              <w:rPr>
                <w:noProof/>
                <w:sz w:val="24"/>
                <w:szCs w:val="24"/>
              </w:rPr>
            </w:pPr>
            <w:r>
              <w:rPr>
                <w:noProof/>
                <w:sz w:val="24"/>
                <w:szCs w:val="24"/>
              </w:rPr>
              <w:t>Published evaluations, preliminary evaluation results and stakeholder consultations have identified specific challenges to each of the funds. When ana</w:t>
            </w:r>
            <w:r>
              <w:rPr>
                <w:noProof/>
                <w:sz w:val="24"/>
                <w:szCs w:val="24"/>
              </w:rPr>
              <w:t>lysing them, it appeared that they could be grouped in to the four overall MFF challenges, i.e. interaction and synergies between fund, alignment to policies and flexibility, simplification and performance and result orientation. The cross cutting MFF chal</w:t>
            </w:r>
            <w:r>
              <w:rPr>
                <w:noProof/>
                <w:sz w:val="24"/>
                <w:szCs w:val="24"/>
              </w:rPr>
              <w:t xml:space="preserve">lenges find therefore a translation for each fund (Section 2.1.2.2).  </w:t>
            </w:r>
          </w:p>
        </w:tc>
      </w:tr>
      <w:tr w:rsidR="003A1527">
        <w:tc>
          <w:tcPr>
            <w:tcW w:w="4417" w:type="dxa"/>
          </w:tcPr>
          <w:p w:rsidR="003A1527" w:rsidRDefault="00742A12">
            <w:pPr>
              <w:spacing w:line="240" w:lineRule="auto"/>
              <w:jc w:val="both"/>
              <w:rPr>
                <w:noProof/>
                <w:sz w:val="24"/>
                <w:szCs w:val="24"/>
              </w:rPr>
            </w:pPr>
            <w:r>
              <w:rPr>
                <w:noProof/>
                <w:sz w:val="24"/>
                <w:szCs w:val="24"/>
              </w:rPr>
              <w:t>(2) Clarify the main rational for merging the funds and the risks associated to the merge.</w:t>
            </w:r>
          </w:p>
        </w:tc>
        <w:tc>
          <w:tcPr>
            <w:tcW w:w="4417" w:type="dxa"/>
          </w:tcPr>
          <w:p w:rsidR="003A1527" w:rsidRDefault="00742A12">
            <w:pPr>
              <w:spacing w:line="240" w:lineRule="auto"/>
              <w:jc w:val="both"/>
              <w:rPr>
                <w:noProof/>
                <w:sz w:val="24"/>
                <w:szCs w:val="24"/>
              </w:rPr>
            </w:pPr>
            <w:r>
              <w:rPr>
                <w:noProof/>
                <w:sz w:val="24"/>
                <w:szCs w:val="24"/>
              </w:rPr>
              <w:t>Additional explanation has been included in order to explain the reasons for merging the rele</w:t>
            </w:r>
            <w:r>
              <w:rPr>
                <w:noProof/>
                <w:sz w:val="24"/>
                <w:szCs w:val="24"/>
              </w:rPr>
              <w:t>vant funds together and for keeping the EGF out of this new fund. In addition, the main risk raised by stakeholders that the merged fund would increase the administrative burden is mitigated as ex-FEAD and EaSI type of measures will remain subject to simpl</w:t>
            </w:r>
            <w:r>
              <w:rPr>
                <w:noProof/>
                <w:sz w:val="24"/>
                <w:szCs w:val="24"/>
              </w:rPr>
              <w:t xml:space="preserve">er rules (Section 4.1.1). </w:t>
            </w:r>
          </w:p>
        </w:tc>
      </w:tr>
      <w:tr w:rsidR="003A1527">
        <w:tc>
          <w:tcPr>
            <w:tcW w:w="4417" w:type="dxa"/>
          </w:tcPr>
          <w:p w:rsidR="003A1527" w:rsidRDefault="00742A12">
            <w:pPr>
              <w:spacing w:line="240" w:lineRule="auto"/>
              <w:jc w:val="both"/>
              <w:rPr>
                <w:noProof/>
                <w:sz w:val="24"/>
                <w:szCs w:val="24"/>
              </w:rPr>
            </w:pPr>
            <w:r>
              <w:rPr>
                <w:noProof/>
                <w:sz w:val="24"/>
                <w:szCs w:val="24"/>
              </w:rPr>
              <w:t>(3) The baseline of the ESF+ programme needs to reflect the impact of Brexit.</w:t>
            </w:r>
          </w:p>
        </w:tc>
        <w:tc>
          <w:tcPr>
            <w:tcW w:w="4417" w:type="dxa"/>
          </w:tcPr>
          <w:p w:rsidR="003A1527" w:rsidRDefault="00742A12">
            <w:pPr>
              <w:spacing w:line="240" w:lineRule="auto"/>
              <w:jc w:val="both"/>
              <w:rPr>
                <w:noProof/>
                <w:sz w:val="24"/>
                <w:szCs w:val="24"/>
              </w:rPr>
            </w:pPr>
            <w:r>
              <w:rPr>
                <w:noProof/>
                <w:sz w:val="24"/>
                <w:szCs w:val="24"/>
              </w:rPr>
              <w:t>Baseline following Brexit inserted in the text under section 2.1.1.</w:t>
            </w:r>
          </w:p>
        </w:tc>
      </w:tr>
      <w:tr w:rsidR="003A1527">
        <w:tc>
          <w:tcPr>
            <w:tcW w:w="4417" w:type="dxa"/>
          </w:tcPr>
          <w:p w:rsidR="003A1527" w:rsidRDefault="00742A12">
            <w:pPr>
              <w:spacing w:line="240" w:lineRule="auto"/>
              <w:jc w:val="both"/>
              <w:rPr>
                <w:noProof/>
                <w:sz w:val="24"/>
                <w:szCs w:val="24"/>
              </w:rPr>
            </w:pPr>
            <w:r>
              <w:rPr>
                <w:noProof/>
                <w:sz w:val="24"/>
                <w:szCs w:val="24"/>
              </w:rPr>
              <w:t xml:space="preserve">(4) Be more transparent on the prioritisation of the ESF+. Clarify the key </w:t>
            </w:r>
            <w:r>
              <w:rPr>
                <w:noProof/>
                <w:sz w:val="24"/>
                <w:szCs w:val="24"/>
              </w:rPr>
              <w:t>changes in the policy priorities of the ESF+, including as regards the link to the European Pillar of Social Rights. Explain if and how the ESF+ will cover all or some of the different domains on the Pillar. Better explain the link between the structural r</w:t>
            </w:r>
            <w:r>
              <w:rPr>
                <w:noProof/>
                <w:sz w:val="24"/>
                <w:szCs w:val="24"/>
              </w:rPr>
              <w:t>eforms and the European Semester Process.</w:t>
            </w:r>
          </w:p>
        </w:tc>
        <w:tc>
          <w:tcPr>
            <w:tcW w:w="4417" w:type="dxa"/>
          </w:tcPr>
          <w:p w:rsidR="003A1527" w:rsidRDefault="00742A12">
            <w:pPr>
              <w:spacing w:line="240" w:lineRule="auto"/>
              <w:jc w:val="both"/>
              <w:rPr>
                <w:noProof/>
                <w:sz w:val="24"/>
                <w:szCs w:val="24"/>
              </w:rPr>
            </w:pPr>
            <w:r>
              <w:rPr>
                <w:noProof/>
                <w:sz w:val="24"/>
                <w:szCs w:val="24"/>
              </w:rPr>
              <w:t xml:space="preserve">It was clarified in the text of the report that the merged fund will not as such change the priorities of the funding instrument, which results to be an aggregation of the previously partly overlapping policy </w:t>
            </w:r>
            <w:r>
              <w:rPr>
                <w:noProof/>
                <w:sz w:val="24"/>
                <w:szCs w:val="24"/>
              </w:rPr>
              <w:t>priorities of the different funds. The ESF+ will support the policy priorities of the European Pillar of Social Rights which are part of its scope. The text further clarifies which Pillar rights and principles will fall under the scope of the ESF+. The que</w:t>
            </w:r>
            <w:r>
              <w:rPr>
                <w:noProof/>
                <w:sz w:val="24"/>
                <w:szCs w:val="24"/>
              </w:rPr>
              <w:t>stion of prioritisation is clarified on pages 30-31.</w:t>
            </w:r>
          </w:p>
        </w:tc>
      </w:tr>
      <w:tr w:rsidR="003A1527">
        <w:tc>
          <w:tcPr>
            <w:tcW w:w="4417" w:type="dxa"/>
          </w:tcPr>
          <w:p w:rsidR="003A1527" w:rsidRDefault="00742A12">
            <w:pPr>
              <w:spacing w:line="240" w:lineRule="auto"/>
              <w:jc w:val="both"/>
              <w:rPr>
                <w:noProof/>
                <w:sz w:val="24"/>
                <w:szCs w:val="24"/>
              </w:rPr>
            </w:pPr>
            <w:r>
              <w:rPr>
                <w:noProof/>
                <w:sz w:val="24"/>
                <w:szCs w:val="24"/>
              </w:rPr>
              <w:t xml:space="preserve">(5) Clarify whether and to what extent the ESF+ will address public administration reform. Refer to possible future support from other funding programmes (e.g. SRSP) </w:t>
            </w:r>
          </w:p>
        </w:tc>
        <w:tc>
          <w:tcPr>
            <w:tcW w:w="4417" w:type="dxa"/>
          </w:tcPr>
          <w:p w:rsidR="003A1527" w:rsidRDefault="00742A12">
            <w:pPr>
              <w:spacing w:line="240" w:lineRule="auto"/>
              <w:jc w:val="both"/>
              <w:rPr>
                <w:noProof/>
                <w:sz w:val="24"/>
                <w:szCs w:val="24"/>
              </w:rPr>
            </w:pPr>
            <w:r>
              <w:rPr>
                <w:noProof/>
                <w:sz w:val="24"/>
                <w:szCs w:val="24"/>
              </w:rPr>
              <w:t>The text clarifies the scope of the</w:t>
            </w:r>
            <w:r>
              <w:rPr>
                <w:noProof/>
                <w:sz w:val="24"/>
                <w:szCs w:val="24"/>
              </w:rPr>
              <w:t xml:space="preserve"> ESF+ regarding public administration reform to the extent possible given that at the time of writing this IA, the scope of the future SRSP is not yet known.</w:t>
            </w:r>
          </w:p>
        </w:tc>
      </w:tr>
      <w:tr w:rsidR="003A1527">
        <w:tc>
          <w:tcPr>
            <w:tcW w:w="4417" w:type="dxa"/>
          </w:tcPr>
          <w:p w:rsidR="003A1527" w:rsidRDefault="00742A12">
            <w:pPr>
              <w:spacing w:line="240" w:lineRule="auto"/>
              <w:jc w:val="both"/>
              <w:rPr>
                <w:noProof/>
                <w:sz w:val="24"/>
                <w:szCs w:val="24"/>
              </w:rPr>
            </w:pPr>
            <w:r>
              <w:rPr>
                <w:noProof/>
                <w:sz w:val="24"/>
                <w:szCs w:val="24"/>
              </w:rPr>
              <w:t>(6) Identify the key changes in the delivery mechanisms of the ESF+</w:t>
            </w:r>
          </w:p>
        </w:tc>
        <w:tc>
          <w:tcPr>
            <w:tcW w:w="4417" w:type="dxa"/>
          </w:tcPr>
          <w:p w:rsidR="003A1527" w:rsidRDefault="00742A12">
            <w:pPr>
              <w:spacing w:line="240" w:lineRule="auto"/>
              <w:jc w:val="both"/>
              <w:rPr>
                <w:noProof/>
                <w:sz w:val="24"/>
                <w:szCs w:val="24"/>
              </w:rPr>
            </w:pPr>
            <w:r>
              <w:rPr>
                <w:noProof/>
                <w:sz w:val="24"/>
                <w:szCs w:val="24"/>
              </w:rPr>
              <w:t>The changes proposed in the d</w:t>
            </w:r>
            <w:r>
              <w:rPr>
                <w:noProof/>
                <w:sz w:val="24"/>
                <w:szCs w:val="24"/>
              </w:rPr>
              <w:t>elivery mechanisms address different issues and are therefore of different nature. In terms of programming for example a key change is to align the funding and policy process by streamlining the programming documents. In terms of implementation, a key chan</w:t>
            </w:r>
            <w:r>
              <w:rPr>
                <w:noProof/>
                <w:sz w:val="24"/>
                <w:szCs w:val="24"/>
              </w:rPr>
              <w:t xml:space="preserve">ge is to apply in a more flexible way the territorial rules for the ESF and to introduce continuous conditionalities (Section 4). </w:t>
            </w:r>
          </w:p>
        </w:tc>
      </w:tr>
      <w:tr w:rsidR="003A1527">
        <w:tc>
          <w:tcPr>
            <w:tcW w:w="4417" w:type="dxa"/>
          </w:tcPr>
          <w:p w:rsidR="003A1527" w:rsidRDefault="00742A12">
            <w:pPr>
              <w:spacing w:line="240" w:lineRule="auto"/>
              <w:jc w:val="both"/>
              <w:rPr>
                <w:noProof/>
                <w:sz w:val="24"/>
                <w:szCs w:val="24"/>
              </w:rPr>
            </w:pPr>
            <w:r>
              <w:rPr>
                <w:noProof/>
                <w:sz w:val="24"/>
                <w:szCs w:val="24"/>
              </w:rPr>
              <w:t>(7) Strengthen the rationale for the EGF’s revision.</w:t>
            </w:r>
          </w:p>
        </w:tc>
        <w:tc>
          <w:tcPr>
            <w:tcW w:w="4417" w:type="dxa"/>
          </w:tcPr>
          <w:p w:rsidR="003A1527" w:rsidRDefault="00742A12">
            <w:pPr>
              <w:spacing w:line="240" w:lineRule="auto"/>
              <w:jc w:val="both"/>
              <w:rPr>
                <w:noProof/>
                <w:sz w:val="24"/>
                <w:szCs w:val="24"/>
              </w:rPr>
            </w:pPr>
            <w:r>
              <w:rPr>
                <w:noProof/>
                <w:sz w:val="24"/>
                <w:szCs w:val="24"/>
              </w:rPr>
              <w:t xml:space="preserve">See Main considerations, point 2. </w:t>
            </w:r>
          </w:p>
        </w:tc>
      </w:tr>
      <w:tr w:rsidR="003A1527">
        <w:tc>
          <w:tcPr>
            <w:tcW w:w="4417" w:type="dxa"/>
          </w:tcPr>
          <w:p w:rsidR="003A1527" w:rsidRDefault="00742A12">
            <w:pPr>
              <w:spacing w:line="240" w:lineRule="auto"/>
              <w:jc w:val="both"/>
              <w:rPr>
                <w:noProof/>
                <w:sz w:val="24"/>
                <w:szCs w:val="24"/>
              </w:rPr>
            </w:pPr>
            <w:r>
              <w:rPr>
                <w:noProof/>
                <w:sz w:val="24"/>
                <w:szCs w:val="24"/>
              </w:rPr>
              <w:t>(8) Clarify the coherence between t</w:t>
            </w:r>
            <w:r>
              <w:rPr>
                <w:noProof/>
                <w:sz w:val="24"/>
                <w:szCs w:val="24"/>
              </w:rPr>
              <w:t>he ESF+ and ERDF and Erasmus</w:t>
            </w:r>
          </w:p>
        </w:tc>
        <w:tc>
          <w:tcPr>
            <w:tcW w:w="4417" w:type="dxa"/>
          </w:tcPr>
          <w:p w:rsidR="003A1527" w:rsidRDefault="00742A12">
            <w:pPr>
              <w:spacing w:line="240" w:lineRule="auto"/>
              <w:jc w:val="both"/>
              <w:rPr>
                <w:noProof/>
                <w:sz w:val="24"/>
                <w:szCs w:val="24"/>
              </w:rPr>
            </w:pPr>
            <w:r>
              <w:rPr>
                <w:noProof/>
                <w:sz w:val="24"/>
                <w:szCs w:val="24"/>
              </w:rPr>
              <w:t>Aspects of coherence between the ESF+ and ERDF and Erasmus programme have been included in the main body of the report. Additional information is provided in annex 4.</w:t>
            </w:r>
          </w:p>
        </w:tc>
      </w:tr>
      <w:tr w:rsidR="003A1527">
        <w:tc>
          <w:tcPr>
            <w:tcW w:w="4417" w:type="dxa"/>
          </w:tcPr>
          <w:p w:rsidR="003A1527" w:rsidRDefault="00742A12">
            <w:pPr>
              <w:spacing w:line="240" w:lineRule="auto"/>
              <w:jc w:val="both"/>
              <w:rPr>
                <w:noProof/>
                <w:sz w:val="24"/>
                <w:szCs w:val="24"/>
              </w:rPr>
            </w:pPr>
            <w:r>
              <w:rPr>
                <w:noProof/>
                <w:sz w:val="24"/>
                <w:szCs w:val="24"/>
              </w:rPr>
              <w:t>(9) Explain how the monitoring system will address the crit</w:t>
            </w:r>
            <w:r>
              <w:rPr>
                <w:noProof/>
                <w:sz w:val="24"/>
                <w:szCs w:val="24"/>
              </w:rPr>
              <w:t>icisms voiced during the 2007-2013 period. The evaluation planning should include an interim evaluation of each fund. Explain how the stakeholders views were taken into account</w:t>
            </w:r>
          </w:p>
        </w:tc>
        <w:tc>
          <w:tcPr>
            <w:tcW w:w="4417" w:type="dxa"/>
          </w:tcPr>
          <w:p w:rsidR="003A1527" w:rsidRDefault="00742A12">
            <w:pPr>
              <w:spacing w:line="240" w:lineRule="auto"/>
              <w:jc w:val="both"/>
              <w:rPr>
                <w:noProof/>
                <w:sz w:val="24"/>
                <w:szCs w:val="24"/>
              </w:rPr>
            </w:pPr>
            <w:r>
              <w:rPr>
                <w:noProof/>
                <w:sz w:val="24"/>
                <w:szCs w:val="24"/>
              </w:rPr>
              <w:t>On monitoring and evaluation, see Main considerations, point 3. The views of st</w:t>
            </w:r>
            <w:r>
              <w:rPr>
                <w:noProof/>
                <w:sz w:val="24"/>
                <w:szCs w:val="24"/>
              </w:rPr>
              <w:t>akeholders are summarised in the main body of the report (section 1.2.2) and are more detailed in annex 2, see in particular Section 6.2 which explains how stakeholder views were taken into account.</w:t>
            </w:r>
          </w:p>
        </w:tc>
      </w:tr>
    </w:tbl>
    <w:p w:rsidR="003A1527" w:rsidRDefault="003A1527">
      <w:pPr>
        <w:spacing w:line="240" w:lineRule="auto"/>
        <w:jc w:val="both"/>
        <w:rPr>
          <w:rFonts w:ascii="Times New Roman" w:hAnsi="Times New Roman" w:cs="Times New Roman"/>
          <w:noProof/>
          <w:sz w:val="24"/>
          <w:szCs w:val="24"/>
        </w:rPr>
      </w:pPr>
    </w:p>
    <w:p w:rsidR="003A1527" w:rsidRDefault="003A1527">
      <w:pPr>
        <w:spacing w:line="240" w:lineRule="auto"/>
        <w:jc w:val="both"/>
        <w:rPr>
          <w:rFonts w:ascii="Times New Roman" w:hAnsi="Times New Roman" w:cs="Times New Roman"/>
          <w:noProof/>
          <w:sz w:val="24"/>
          <w:szCs w:val="24"/>
        </w:rPr>
      </w:pPr>
    </w:p>
    <w:p w:rsidR="003A1527" w:rsidRDefault="00742A12">
      <w:pPr>
        <w:pStyle w:val="Heading1"/>
        <w:keepLines w:val="0"/>
        <w:numPr>
          <w:ilvl w:val="0"/>
          <w:numId w:val="3"/>
        </w:numPr>
        <w:spacing w:before="240" w:after="240"/>
        <w:jc w:val="both"/>
        <w:rPr>
          <w:rFonts w:ascii="Times New Roman" w:hAnsi="Times New Roman" w:cs="Times New Roman"/>
          <w:noProof/>
          <w:color w:val="auto"/>
          <w:sz w:val="24"/>
          <w:szCs w:val="24"/>
        </w:rPr>
      </w:pPr>
      <w:bookmarkStart w:id="90" w:name="_Toc471997758"/>
      <w:bookmarkStart w:id="91" w:name="_Toc509831778"/>
      <w:bookmarkStart w:id="92" w:name="_Toc509833370"/>
      <w:bookmarkStart w:id="93" w:name="_Toc509843339"/>
      <w:bookmarkStart w:id="94" w:name="_Toc509848056"/>
      <w:bookmarkStart w:id="95" w:name="_Toc514401943"/>
      <w:r>
        <w:rPr>
          <w:rFonts w:ascii="Times New Roman" w:hAnsi="Times New Roman" w:cs="Times New Roman"/>
          <w:noProof/>
          <w:color w:val="auto"/>
          <w:sz w:val="24"/>
          <w:szCs w:val="24"/>
        </w:rPr>
        <w:t>Evidence, sources and quality</w:t>
      </w:r>
      <w:bookmarkEnd w:id="90"/>
      <w:bookmarkEnd w:id="91"/>
      <w:bookmarkEnd w:id="92"/>
      <w:bookmarkEnd w:id="93"/>
      <w:bookmarkEnd w:id="94"/>
      <w:bookmarkEnd w:id="95"/>
      <w:r>
        <w:rPr>
          <w:rFonts w:ascii="Times New Roman" w:hAnsi="Times New Roman" w:cs="Times New Roman"/>
          <w:noProof/>
          <w:color w:val="auto"/>
          <w:sz w:val="24"/>
          <w:szCs w:val="24"/>
        </w:rPr>
        <w:t xml:space="preserve"> </w:t>
      </w:r>
    </w:p>
    <w:p w:rsidR="003A1527" w:rsidRDefault="00742A12">
      <w:pPr>
        <w:spacing w:before="3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services have contracted a number of studies to inform the Impact Assessment and the legislative- making process (please see the list below). In addition, a contractor has specifically conducted a literature review of relevant sources which </w:t>
      </w:r>
      <w:r>
        <w:rPr>
          <w:rFonts w:ascii="Times New Roman" w:hAnsi="Times New Roman" w:cs="Times New Roman"/>
          <w:noProof/>
          <w:sz w:val="24"/>
          <w:szCs w:val="24"/>
        </w:rPr>
        <w:t xml:space="preserve">has fed into the Impact Assessment (first in the list of sources).  </w:t>
      </w:r>
    </w:p>
    <w:p w:rsidR="003A1527" w:rsidRDefault="003A1527">
      <w:pPr>
        <w:spacing w:line="240" w:lineRule="auto"/>
        <w:jc w:val="both"/>
        <w:rPr>
          <w:rFonts w:ascii="Times New Roman" w:hAnsi="Times New Roman" w:cs="Times New Roman"/>
          <w:noProof/>
          <w:sz w:val="24"/>
          <w:szCs w:val="24"/>
        </w:rPr>
        <w:sectPr w:rsidR="003A1527">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276" w:left="1587" w:header="601" w:footer="219" w:gutter="0"/>
          <w:cols w:space="720"/>
          <w:titlePg/>
        </w:sectPr>
      </w:pPr>
    </w:p>
    <w:p w:rsidR="003A1527" w:rsidRDefault="003A1527">
      <w:pPr>
        <w:spacing w:line="240" w:lineRule="auto"/>
        <w:jc w:val="both"/>
        <w:rPr>
          <w:rFonts w:ascii="Times New Roman" w:eastAsia="Times New Roman" w:hAnsi="Times New Roman" w:cs="Times New Roman"/>
          <w:noProof/>
          <w:sz w:val="24"/>
          <w:szCs w:val="24"/>
        </w:rPr>
      </w:pPr>
    </w:p>
    <w:tbl>
      <w:tblPr>
        <w:tblW w:w="15667" w:type="dxa"/>
        <w:tblInd w:w="113" w:type="dxa"/>
        <w:tblLayout w:type="fixed"/>
        <w:tblLook w:val="04A0" w:firstRow="1" w:lastRow="0" w:firstColumn="1" w:lastColumn="0" w:noHBand="0" w:noVBand="1"/>
      </w:tblPr>
      <w:tblGrid>
        <w:gridCol w:w="3397"/>
        <w:gridCol w:w="8505"/>
        <w:gridCol w:w="3765"/>
      </w:tblGrid>
      <w:tr w:rsidR="003A1527">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527" w:rsidRDefault="00742A12">
            <w:pPr>
              <w:spacing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Name of the study</w:t>
            </w:r>
          </w:p>
        </w:tc>
        <w:tc>
          <w:tcPr>
            <w:tcW w:w="8505" w:type="dxa"/>
            <w:tcBorders>
              <w:top w:val="single" w:sz="4" w:space="0" w:color="auto"/>
              <w:left w:val="nil"/>
              <w:bottom w:val="single" w:sz="4" w:space="0" w:color="auto"/>
              <w:right w:val="single" w:sz="4" w:space="0" w:color="auto"/>
            </w:tcBorders>
            <w:shd w:val="clear" w:color="auto" w:fill="auto"/>
            <w:vAlign w:val="bottom"/>
            <w:hideMark/>
          </w:tcPr>
          <w:p w:rsidR="003A1527" w:rsidRDefault="00742A12">
            <w:pPr>
              <w:spacing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Description</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rsidR="003A1527" w:rsidRDefault="00742A12">
            <w:pPr>
              <w:spacing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Links</w:t>
            </w:r>
          </w:p>
        </w:tc>
      </w:tr>
      <w:tr w:rsidR="003A1527">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3A1527" w:rsidRDefault="00742A12">
            <w:pPr>
              <w:spacing w:line="240" w:lineRule="auto"/>
              <w:rPr>
                <w:rFonts w:ascii="Times New Roman" w:eastAsia="Times New Roman" w:hAnsi="Times New Roman" w:cs="Times New Roman"/>
                <w:noProof/>
                <w:sz w:val="24"/>
                <w:szCs w:val="24"/>
                <w:lang w:eastAsia="en-GB"/>
              </w:rPr>
            </w:pPr>
            <w:bookmarkStart w:id="96" w:name="RANGE!B3:E25"/>
            <w:r>
              <w:rPr>
                <w:rFonts w:ascii="Times New Roman" w:eastAsia="Times New Roman" w:hAnsi="Times New Roman" w:cs="Times New Roman"/>
                <w:noProof/>
                <w:sz w:val="24"/>
                <w:szCs w:val="24"/>
                <w:lang w:eastAsia="en-GB"/>
              </w:rPr>
              <w:t>Study to support the DG EMPL Impact assessment (FGB)</w:t>
            </w:r>
            <w:bookmarkEnd w:id="96"/>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The study</w:t>
            </w:r>
            <w:r>
              <w:rPr>
                <w:rFonts w:ascii="Times New Roman" w:eastAsia="Times New Roman" w:hAnsi="Times New Roman" w:cs="Times New Roman"/>
                <w:iCs/>
                <w:noProof/>
                <w:sz w:val="24"/>
                <w:szCs w:val="24"/>
                <w:lang w:eastAsia="en-GB"/>
              </w:rPr>
              <w:t xml:space="preserve"> aims to feed into the Commission's assessment of the benefits of the Union's expenditure in human capital, into the establishment of a strong intervention logic narrative for future investment in human capital and in the assessment of the impacts of possi</w:t>
            </w:r>
            <w:r>
              <w:rPr>
                <w:rFonts w:ascii="Times New Roman" w:eastAsia="Times New Roman" w:hAnsi="Times New Roman" w:cs="Times New Roman"/>
                <w:iCs/>
                <w:noProof/>
                <w:sz w:val="24"/>
                <w:szCs w:val="24"/>
                <w:lang w:eastAsia="en-GB"/>
              </w:rPr>
              <w:t>ble scenarios for the future. The study also supports the associated consultation work by the Commission.</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8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the assessment of the adequacy of the ESF's design to support human capital policies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study expands and solidifies the evidence base and provides suggestions for the future development of a post-2020 ESF. The project evolved from assessing the strengths and weaknesses of the ESF into a more detailed assessment of the ESF’s main challen</w:t>
            </w:r>
            <w:r>
              <w:rPr>
                <w:rFonts w:ascii="Times New Roman" w:hAnsi="Times New Roman" w:cs="Times New Roman"/>
                <w:noProof/>
                <w:sz w:val="24"/>
                <w:szCs w:val="24"/>
              </w:rPr>
              <w:t>ges. By departing from the existing challenges, the study provides a detailed empirical base as input for the identification of policy options. The policy options defined throughout the study can be structured along three broad dimensions: (1) revising exi</w:t>
            </w:r>
            <w:r>
              <w:rPr>
                <w:rFonts w:ascii="Times New Roman" w:hAnsi="Times New Roman" w:cs="Times New Roman"/>
                <w:noProof/>
                <w:sz w:val="24"/>
                <w:szCs w:val="24"/>
              </w:rPr>
              <w:t>sting architecture of funds investing in human capital; (2) strengthening the link of ESF programming to EU priorities; (3) taking additional steps to support simplification of ESF. Key challenges are defined for each of the three dimensions, which are the</w:t>
            </w:r>
            <w:r>
              <w:rPr>
                <w:rFonts w:ascii="Times New Roman" w:hAnsi="Times New Roman" w:cs="Times New Roman"/>
                <w:noProof/>
                <w:sz w:val="24"/>
                <w:szCs w:val="24"/>
              </w:rPr>
              <w:t xml:space="preserve">n explicitly linked to possible policy alternatives. </w:t>
            </w:r>
            <w:r>
              <w:rPr>
                <w:rFonts w:ascii="Times New Roman" w:hAnsi="Times New Roman" w:cs="Times New Roman"/>
                <w:bCs/>
                <w:noProof/>
                <w:sz w:val="24"/>
                <w:szCs w:val="24"/>
              </w:rPr>
              <w:t>The list of suggested options is not exhaustive and political considerations may lead to other options.</w:t>
            </w:r>
          </w:p>
          <w:p w:rsidR="003A1527" w:rsidRDefault="003A1527">
            <w:pPr>
              <w:spacing w:line="240" w:lineRule="auto"/>
              <w:jc w:val="both"/>
              <w:rPr>
                <w:rFonts w:ascii="Times New Roman" w:eastAsia="Times New Roman" w:hAnsi="Times New Roman" w:cs="Times New Roman"/>
                <w:i/>
                <w:iCs/>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11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Study on the analysis of the first results of the implementation of the YEI and related ESF youth employment actions </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The Youth Employment Initiative (YEI) launched in 2013 provides funding of €6.4 billion to support youth employment by targeting young peo</w:t>
            </w:r>
            <w:r>
              <w:rPr>
                <w:rFonts w:ascii="Times New Roman" w:hAnsi="Times New Roman" w:cs="Times New Roman"/>
                <w:noProof/>
                <w:sz w:val="24"/>
                <w:szCs w:val="24"/>
                <w:lang w:val="en"/>
              </w:rPr>
              <w:t>ple aged below 25 years (or below 29 in some Member States) who are not in employment, education or training and who reside in the regions of the European Union particularly affected by unemployment. This study provides an overview of the implementation pr</w:t>
            </w:r>
            <w:r>
              <w:rPr>
                <w:rFonts w:ascii="Times New Roman" w:hAnsi="Times New Roman" w:cs="Times New Roman"/>
                <w:noProof/>
                <w:sz w:val="24"/>
                <w:szCs w:val="24"/>
                <w:lang w:val="en"/>
              </w:rPr>
              <w:t xml:space="preserve">ogress of the YEI from September 2013 to the end of November 2015 across the 20 eligible Member States. It also includes an </w:t>
            </w:r>
            <w:hyperlink r:id="rId35" w:history="1">
              <w:r>
                <w:rPr>
                  <w:rStyle w:val="Hyperlink"/>
                  <w:rFonts w:ascii="Times New Roman" w:hAnsi="Times New Roman" w:cs="Times New Roman"/>
                  <w:noProof/>
                  <w:color w:val="auto"/>
                  <w:sz w:val="24"/>
                  <w:szCs w:val="24"/>
                  <w:lang w:val="en"/>
                </w:rPr>
                <w:t>in-depth analysis for a sample of countries</w:t>
              </w:r>
            </w:hyperlink>
            <w:r>
              <w:rPr>
                <w:rFonts w:ascii="Times New Roman" w:hAnsi="Times New Roman" w:cs="Times New Roman"/>
                <w:noProof/>
                <w:sz w:val="24"/>
                <w:szCs w:val="24"/>
                <w:lang w:val="en"/>
              </w:rPr>
              <w:t xml:space="preserve"> and </w:t>
            </w:r>
            <w:hyperlink r:id="rId36" w:history="1">
              <w:r>
                <w:rPr>
                  <w:rStyle w:val="Hyperlink"/>
                  <w:rFonts w:ascii="Times New Roman" w:hAnsi="Times New Roman" w:cs="Times New Roman"/>
                  <w:noProof/>
                  <w:color w:val="auto"/>
                  <w:sz w:val="24"/>
                  <w:szCs w:val="24"/>
                  <w:lang w:val="en"/>
                </w:rPr>
                <w:t>key points from the national evaluations</w:t>
              </w:r>
            </w:hyperlink>
            <w:r>
              <w:rPr>
                <w:rFonts w:ascii="Times New Roman" w:hAnsi="Times New Roman" w:cs="Times New Roman"/>
                <w:noProof/>
                <w:sz w:val="24"/>
                <w:szCs w:val="24"/>
                <w:lang w:val="en"/>
              </w:rPr>
              <w:t>.</w:t>
            </w:r>
          </w:p>
          <w:p w:rsidR="003A1527" w:rsidRDefault="003A1527">
            <w:pPr>
              <w:spacing w:line="240" w:lineRule="auto"/>
              <w:jc w:val="both"/>
              <w:rPr>
                <w:rFonts w:ascii="Times New Roman" w:eastAsia="Times New Roman" w:hAnsi="Times New Roman" w:cs="Times New Roman"/>
                <w:i/>
                <w:iCs/>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37" w:history="1">
              <w:r>
                <w:rPr>
                  <w:rStyle w:val="Hyperlink"/>
                  <w:rFonts w:ascii="Times New Roman" w:eastAsia="Times New Roman" w:hAnsi="Times New Roman" w:cs="Times New Roman"/>
                  <w:i/>
                  <w:iCs/>
                  <w:noProof/>
                  <w:color w:val="auto"/>
                  <w:sz w:val="24"/>
                  <w:szCs w:val="24"/>
                  <w:lang w:eastAsia="en-GB"/>
                </w:rPr>
                <w:t>http://ec.europa.eu/social/main.jsp?catId=738&amp;langId=en&amp;pubId=7931</w:t>
              </w:r>
            </w:hyperlink>
            <w:r>
              <w:rPr>
                <w:rFonts w:ascii="Times New Roman" w:eastAsia="Times New Roman" w:hAnsi="Times New Roman" w:cs="Times New Roman"/>
                <w:i/>
                <w:iCs/>
                <w:noProof/>
                <w:sz w:val="24"/>
                <w:szCs w:val="24"/>
                <w:lang w:eastAsia="en-GB"/>
              </w:rPr>
              <w:t xml:space="preserve">      </w:t>
            </w:r>
          </w:p>
          <w:p w:rsidR="003A1527" w:rsidRDefault="003A1527">
            <w:pPr>
              <w:spacing w:line="240" w:lineRule="auto"/>
              <w:jc w:val="both"/>
              <w:rPr>
                <w:rFonts w:ascii="Times New Roman" w:eastAsia="Times New Roman" w:hAnsi="Times New Roman" w:cs="Times New Roman"/>
                <w:i/>
                <w:iCs/>
                <w:noProof/>
                <w:sz w:val="24"/>
                <w:szCs w:val="24"/>
                <w:lang w:eastAsia="en-GB"/>
              </w:rPr>
            </w:pPr>
          </w:p>
        </w:tc>
      </w:tr>
      <w:tr w:rsidR="003A1527">
        <w:trPr>
          <w:trHeight w:val="13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Analysis of the outcome of the negotiations concerning the Partnership Agreements and ESF Operational Programmes, for the programming period 2014-2020</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hAnsi="Times New Roman" w:cs="Times New Roman"/>
                <w:noProof/>
                <w:sz w:val="24"/>
                <w:szCs w:val="24"/>
                <w:lang w:val="en-US"/>
              </w:rPr>
              <w:t xml:space="preserve">The aim of the study was </w:t>
            </w:r>
            <w:r>
              <w:rPr>
                <w:rFonts w:ascii="Times New Roman" w:hAnsi="Times New Roman" w:cs="Times New Roman"/>
                <w:noProof/>
                <w:sz w:val="24"/>
                <w:szCs w:val="24"/>
                <w:lang w:val="en-US"/>
              </w:rPr>
              <w:t>to provide an evidence-based review of EU Member States’ strategic choices related to the programming of the European Social Fund for the 2014-2020 period. It consisted in a mapping of the content of Partnership Agreements and ESF Operational Programmes, i</w:t>
            </w:r>
            <w:r>
              <w:rPr>
                <w:rFonts w:ascii="Times New Roman" w:hAnsi="Times New Roman" w:cs="Times New Roman"/>
                <w:noProof/>
                <w:sz w:val="24"/>
                <w:szCs w:val="24"/>
                <w:lang w:val="en-US"/>
              </w:rPr>
              <w:t>ncluding ESF multi-fund OPs, and analysing the extent to which the main innovations introduced by the ESF Regulation and the relevant CPR have been integrated in the programming documents, with a particular focus on the provisions concerning strategic prog</w:t>
            </w:r>
            <w:r>
              <w:rPr>
                <w:rFonts w:ascii="Times New Roman" w:hAnsi="Times New Roman" w:cs="Times New Roman"/>
                <w:noProof/>
                <w:sz w:val="24"/>
                <w:szCs w:val="24"/>
                <w:lang w:val="en-US"/>
              </w:rPr>
              <w:t>ramming and result orientation.</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38" w:history="1">
              <w:r>
                <w:rPr>
                  <w:rStyle w:val="Hyperlink"/>
                  <w:rFonts w:ascii="Times New Roman" w:eastAsia="Times New Roman" w:hAnsi="Times New Roman" w:cs="Times New Roman"/>
                  <w:i/>
                  <w:iCs/>
                  <w:noProof/>
                  <w:color w:val="auto"/>
                  <w:sz w:val="24"/>
                  <w:szCs w:val="24"/>
                  <w:lang w:eastAsia="en-GB"/>
                </w:rPr>
                <w:t>http://ec.europa.eu/social/BlobServlet?docId=16970&amp;langId=en</w:t>
              </w:r>
            </w:hyperlink>
            <w:r>
              <w:rPr>
                <w:rFonts w:ascii="Times New Roman" w:eastAsia="Times New Roman" w:hAnsi="Times New Roman" w:cs="Times New Roman"/>
                <w:i/>
                <w:iCs/>
                <w:noProof/>
                <w:sz w:val="24"/>
                <w:szCs w:val="24"/>
                <w:lang w:eastAsia="en-GB"/>
              </w:rPr>
              <w:t xml:space="preserve">  </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Study on linkage with Country Specific Recommendations and supporting structural </w:t>
            </w:r>
            <w:r>
              <w:rPr>
                <w:rFonts w:ascii="Times New Roman" w:eastAsia="Times New Roman" w:hAnsi="Times New Roman" w:cs="Times New Roman"/>
                <w:noProof/>
                <w:sz w:val="24"/>
                <w:szCs w:val="24"/>
                <w:lang w:eastAsia="en-GB"/>
              </w:rPr>
              <w:t>reforms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The study’s objective is to assess to which extent the ESI Funds, and especially Structural funds, contribute to the implementation of structural reforms by Member States, in particular those which were put forward in the Country Specific Recommend</w:t>
            </w:r>
            <w:r>
              <w:rPr>
                <w:rFonts w:ascii="Times New Roman" w:eastAsia="Times New Roman" w:hAnsi="Times New Roman" w:cs="Times New Roman"/>
                <w:iCs/>
                <w:noProof/>
                <w:sz w:val="24"/>
                <w:szCs w:val="24"/>
                <w:lang w:eastAsia="en-GB"/>
              </w:rPr>
              <w:t xml:space="preserve">ations (CSRs).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3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ESF Performance and Thematic Reports 2014-2015</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3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the Monitoring and Evaluation Systems of the ESF</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Ex post evaluation of the EGF</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39" w:history="1">
              <w:r>
                <w:rPr>
                  <w:rStyle w:val="Hyperlink"/>
                  <w:rFonts w:ascii="Times New Roman" w:eastAsia="Times New Roman" w:hAnsi="Times New Roman" w:cs="Times New Roman"/>
                  <w:i/>
                  <w:iCs/>
                  <w:noProof/>
                  <w:color w:val="auto"/>
                  <w:sz w:val="24"/>
                  <w:szCs w:val="24"/>
                  <w:lang w:eastAsia="en-GB"/>
                </w:rPr>
                <w:t>http://ec.europa.eu/social/BlobServlet?docId=14371&amp;langId</w:t>
              </w:r>
            </w:hyperlink>
            <w:r>
              <w:rPr>
                <w:rFonts w:ascii="Times New Roman" w:eastAsia="Times New Roman" w:hAnsi="Times New Roman" w:cs="Times New Roman"/>
                <w:i/>
                <w:iCs/>
                <w:noProof/>
                <w:sz w:val="24"/>
                <w:szCs w:val="24"/>
                <w:lang w:eastAsia="en-GB"/>
              </w:rPr>
              <w:t xml:space="preserve">   </w:t>
            </w:r>
          </w:p>
        </w:tc>
      </w:tr>
      <w:tr w:rsidR="003A1527">
        <w:trPr>
          <w:trHeight w:val="3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Mid-term evaluations of the EaSI programme</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315"/>
        </w:trPr>
        <w:tc>
          <w:tcPr>
            <w:tcW w:w="3397" w:type="dxa"/>
            <w:tcBorders>
              <w:top w:val="nil"/>
              <w:left w:val="single" w:sz="4" w:space="0" w:color="auto"/>
              <w:bottom w:val="single" w:sz="4" w:space="0" w:color="auto"/>
              <w:right w:val="single" w:sz="4" w:space="0" w:color="auto"/>
            </w:tcBorders>
            <w:shd w:val="clear" w:color="000000" w:fill="FFFFFF"/>
            <w:vAlign w:val="center"/>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Mid-term evaluations of the FEAD</w:t>
            </w:r>
          </w:p>
        </w:tc>
        <w:tc>
          <w:tcPr>
            <w:tcW w:w="8505" w:type="dxa"/>
            <w:tcBorders>
              <w:top w:val="nil"/>
              <w:left w:val="nil"/>
              <w:bottom w:val="single" w:sz="4" w:space="0" w:color="auto"/>
              <w:right w:val="single" w:sz="4" w:space="0" w:color="auto"/>
            </w:tcBorders>
            <w:shd w:val="clear" w:color="auto" w:fill="auto"/>
            <w:vAlign w:val="center"/>
          </w:tcPr>
          <w:p w:rsidR="003A1527" w:rsidRDefault="003A1527">
            <w:pPr>
              <w:spacing w:line="240" w:lineRule="auto"/>
              <w:jc w:val="both"/>
              <w:rPr>
                <w:rFonts w:ascii="Times New Roman" w:eastAsia="Times New Roman" w:hAnsi="Times New Roman" w:cs="Times New Roman"/>
                <w:i/>
                <w:iCs/>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315"/>
        </w:trPr>
        <w:tc>
          <w:tcPr>
            <w:tcW w:w="3397" w:type="dxa"/>
            <w:tcBorders>
              <w:top w:val="nil"/>
              <w:left w:val="single" w:sz="4" w:space="0" w:color="auto"/>
              <w:bottom w:val="single" w:sz="4" w:space="0" w:color="auto"/>
              <w:right w:val="single" w:sz="4" w:space="0" w:color="auto"/>
            </w:tcBorders>
            <w:shd w:val="clear" w:color="000000" w:fill="FFFFFF"/>
            <w:vAlign w:val="center"/>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Mid-term evaluation of </w:t>
            </w:r>
            <w:r>
              <w:rPr>
                <w:rFonts w:ascii="Times New Roman" w:eastAsia="Times New Roman" w:hAnsi="Times New Roman" w:cs="Times New Roman"/>
                <w:noProof/>
                <w:sz w:val="24"/>
                <w:szCs w:val="24"/>
                <w:lang w:eastAsia="en-GB"/>
              </w:rPr>
              <w:t>the EGF</w:t>
            </w:r>
          </w:p>
        </w:tc>
        <w:tc>
          <w:tcPr>
            <w:tcW w:w="8505" w:type="dxa"/>
            <w:tcBorders>
              <w:top w:val="nil"/>
              <w:left w:val="nil"/>
              <w:bottom w:val="single" w:sz="4" w:space="0" w:color="auto"/>
              <w:right w:val="single" w:sz="4" w:space="0" w:color="auto"/>
            </w:tcBorders>
            <w:shd w:val="clear" w:color="auto" w:fill="auto"/>
            <w:vAlign w:val="center"/>
          </w:tcPr>
          <w:p w:rsidR="003A1527" w:rsidRDefault="003A1527">
            <w:pPr>
              <w:spacing w:line="240" w:lineRule="auto"/>
              <w:jc w:val="both"/>
              <w:rPr>
                <w:rFonts w:ascii="Times New Roman" w:eastAsia="Times New Roman" w:hAnsi="Times New Roman" w:cs="Times New Roman"/>
                <w:iCs/>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Cs/>
                <w:noProof/>
                <w:sz w:val="24"/>
                <w:szCs w:val="24"/>
                <w:lang w:eastAsia="en-GB"/>
              </w:rPr>
              <w:t>COM(2018) 297 final, 16.5.2018</w:t>
            </w:r>
            <w:r>
              <w:rPr>
                <w:rFonts w:ascii="Times New Roman" w:eastAsia="Times New Roman" w:hAnsi="Times New Roman" w:cs="Times New Roman"/>
                <w:i/>
                <w:iCs/>
                <w:noProof/>
                <w:sz w:val="24"/>
                <w:szCs w:val="24"/>
                <w:lang w:eastAsia="en-GB"/>
              </w:rPr>
              <w:t xml:space="preserve"> and </w:t>
            </w:r>
            <w:r>
              <w:rPr>
                <w:rFonts w:ascii="Times New Roman" w:eastAsia="Times New Roman" w:hAnsi="Times New Roman" w:cs="Times New Roman"/>
                <w:iCs/>
                <w:noProof/>
                <w:sz w:val="24"/>
                <w:szCs w:val="24"/>
                <w:lang w:eastAsia="en-GB"/>
              </w:rPr>
              <w:t>SWD(2018)192 final, 16.5.2018</w:t>
            </w:r>
          </w:p>
        </w:tc>
      </w:tr>
      <w:tr w:rsidR="003A1527">
        <w:trPr>
          <w:trHeight w:val="5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7th report on economic, social and territorial cohesion. European Commission</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pStyle w:val="NormalWeb"/>
              <w:spacing w:line="240" w:lineRule="auto"/>
              <w:jc w:val="both"/>
              <w:rPr>
                <w:noProof/>
                <w:lang w:val="en"/>
              </w:rPr>
            </w:pPr>
            <w:r>
              <w:rPr>
                <w:noProof/>
                <w:lang w:val="en"/>
              </w:rPr>
              <w:t xml:space="preserve">Analysing the current state of the EU's economic, social and territorial cohesion, the Cohesion Report covers all EU territories. Europe's economy is bouncing back but disparities persist between and within our Member States. </w:t>
            </w:r>
          </w:p>
          <w:p w:rsidR="003A1527" w:rsidRDefault="00742A12">
            <w:pPr>
              <w:pStyle w:val="NormalWeb"/>
              <w:spacing w:line="240" w:lineRule="auto"/>
              <w:jc w:val="both"/>
              <w:rPr>
                <w:noProof/>
                <w:lang w:val="en"/>
              </w:rPr>
            </w:pPr>
            <w:r>
              <w:rPr>
                <w:noProof/>
                <w:lang w:val="en"/>
              </w:rPr>
              <w:t>Public investment in the EU i</w:t>
            </w:r>
            <w:r>
              <w:rPr>
                <w:noProof/>
                <w:lang w:val="en"/>
              </w:rPr>
              <w:t>s still below pre-crisis levels, while regions and Member States need to invest more to respond to today’s challenges such as the digital revolution, globalisation, demographic change, social cohesion and economic convergence.</w:t>
            </w:r>
          </w:p>
          <w:p w:rsidR="003A1527" w:rsidRDefault="00742A12">
            <w:pPr>
              <w:pStyle w:val="NormalWeb"/>
              <w:spacing w:line="240" w:lineRule="auto"/>
              <w:jc w:val="both"/>
              <w:rPr>
                <w:noProof/>
                <w:lang w:val="en"/>
              </w:rPr>
            </w:pPr>
            <w:r>
              <w:rPr>
                <w:noProof/>
                <w:lang w:val="en"/>
              </w:rPr>
              <w:t>The Report suggests an EU-wid</w:t>
            </w:r>
            <w:r>
              <w:rPr>
                <w:noProof/>
                <w:lang w:val="en"/>
              </w:rPr>
              <w:t>e policy serving three main purposes: harnessing globalisation, leaving no one behind and supporting structural reforms.</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0" w:history="1">
              <w:r>
                <w:rPr>
                  <w:rStyle w:val="Hyperlink"/>
                  <w:rFonts w:ascii="Times New Roman" w:eastAsia="Times New Roman" w:hAnsi="Times New Roman" w:cs="Times New Roman"/>
                  <w:i/>
                  <w:iCs/>
                  <w:noProof/>
                  <w:color w:val="auto"/>
                  <w:sz w:val="24"/>
                  <w:szCs w:val="24"/>
                  <w:lang w:eastAsia="en-GB"/>
                </w:rPr>
                <w:t>http://ec.europa.eu/regional_po</w:t>
              </w:r>
              <w:r>
                <w:rPr>
                  <w:rStyle w:val="Hyperlink"/>
                  <w:rFonts w:ascii="Times New Roman" w:eastAsia="Times New Roman" w:hAnsi="Times New Roman" w:cs="Times New Roman"/>
                  <w:i/>
                  <w:iCs/>
                  <w:noProof/>
                  <w:color w:val="auto"/>
                  <w:sz w:val="24"/>
                  <w:szCs w:val="24"/>
                  <w:lang w:eastAsia="en-GB"/>
                </w:rPr>
                <w:t>licy/sources/docoffic/official/reports/cohesion7/7cr.pdf</w:t>
              </w:r>
            </w:hyperlink>
            <w:r>
              <w:rPr>
                <w:rFonts w:ascii="Times New Roman" w:eastAsia="Times New Roman" w:hAnsi="Times New Roman" w:cs="Times New Roman"/>
                <w:i/>
                <w:iCs/>
                <w:noProof/>
                <w:sz w:val="24"/>
                <w:szCs w:val="24"/>
                <w:lang w:eastAsia="en-GB"/>
              </w:rPr>
              <w:t xml:space="preserve"> </w:t>
            </w:r>
          </w:p>
        </w:tc>
      </w:tr>
      <w:tr w:rsidR="003A1527">
        <w:trPr>
          <w:trHeight w:val="9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val="fr-BE" w:eastAsia="en-GB"/>
              </w:rPr>
            </w:pPr>
            <w:r>
              <w:rPr>
                <w:rFonts w:ascii="Times New Roman" w:eastAsia="Times New Roman" w:hAnsi="Times New Roman" w:cs="Times New Roman"/>
                <w:noProof/>
                <w:sz w:val="24"/>
                <w:szCs w:val="24"/>
                <w:lang w:val="fr-BE" w:eastAsia="en-GB"/>
              </w:rPr>
              <w:t>European Commission Synthesis report ex-post evaluation ESF 2007-2013.</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Cs/>
                <w:noProof/>
                <w:sz w:val="24"/>
                <w:szCs w:val="24"/>
                <w:lang w:eastAsia="en-GB"/>
              </w:rPr>
              <w:t xml:space="preserve">Main lessons included the following (which have already been partly included in the 2014-2020 reform): </w:t>
            </w:r>
            <w:r>
              <w:rPr>
                <w:rFonts w:ascii="Times New Roman" w:hAnsi="Times New Roman" w:cs="Times New Roman"/>
                <w:noProof/>
                <w:sz w:val="24"/>
                <w:szCs w:val="24"/>
              </w:rPr>
              <w:t>The ESF should continue</w:t>
            </w:r>
            <w:r>
              <w:rPr>
                <w:rFonts w:ascii="Times New Roman" w:hAnsi="Times New Roman" w:cs="Times New Roman"/>
                <w:noProof/>
                <w:sz w:val="24"/>
                <w:szCs w:val="24"/>
              </w:rPr>
              <w:t xml:space="preserve"> to be closely aligned with EU and national policy priorities, as well as those of the European Semester. It should maintain its flexibility to adjust to emerging needs, ensuring good coverage of disadvantaged groups – focusing both on young and older peop</w:t>
            </w:r>
            <w:r>
              <w:rPr>
                <w:rFonts w:ascii="Times New Roman" w:hAnsi="Times New Roman" w:cs="Times New Roman"/>
                <w:noProof/>
                <w:sz w:val="24"/>
                <w:szCs w:val="24"/>
              </w:rPr>
              <w:t>le. More tailored training activities to the needs of stakeholders would be an improvement. The ESF should be even more result-oriented by defining, for example, robust objectives and targets and by strengthening monitoring and evaluation systems. In order</w:t>
            </w:r>
            <w:r>
              <w:rPr>
                <w:rFonts w:ascii="Times New Roman" w:hAnsi="Times New Roman" w:cs="Times New Roman"/>
                <w:noProof/>
                <w:sz w:val="24"/>
                <w:szCs w:val="24"/>
              </w:rPr>
              <w:t xml:space="preserve"> to reduce the administrative burden of the fund management, further simplification should be developed and implemented while the Member states administrative capacity should be further enhanced.</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1" w:history="1">
              <w:r>
                <w:rPr>
                  <w:rStyle w:val="Hyperlink"/>
                  <w:rFonts w:ascii="Times New Roman" w:eastAsia="Times New Roman" w:hAnsi="Times New Roman" w:cs="Times New Roman"/>
                  <w:i/>
                  <w:iCs/>
                  <w:noProof/>
                  <w:color w:val="auto"/>
                  <w:sz w:val="24"/>
                  <w:szCs w:val="24"/>
                  <w:lang w:eastAsia="en-GB"/>
                </w:rPr>
                <w:t>http://ec.europa.eu/social/BlobServlet?docId=16810&amp;langId=en</w:t>
              </w:r>
            </w:hyperlink>
            <w:r>
              <w:rPr>
                <w:rFonts w:ascii="Times New Roman" w:eastAsia="Times New Roman" w:hAnsi="Times New Roman" w:cs="Times New Roman"/>
                <w:i/>
                <w:iCs/>
                <w:noProof/>
                <w:sz w:val="24"/>
                <w:szCs w:val="24"/>
                <w:lang w:eastAsia="en-GB"/>
              </w:rPr>
              <w:t xml:space="preserve"> </w:t>
            </w:r>
          </w:p>
        </w:tc>
      </w:tr>
      <w:tr w:rsidR="003A1527">
        <w:trPr>
          <w:trHeight w:val="551"/>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the use of new provisions during the programming phase of the European Structural and Investment (ESI) Funds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pStyle w:val="NormalWeb"/>
              <w:spacing w:line="240" w:lineRule="auto"/>
              <w:jc w:val="both"/>
              <w:rPr>
                <w:noProof/>
                <w:lang w:val="en"/>
              </w:rPr>
            </w:pPr>
            <w:r>
              <w:rPr>
                <w:noProof/>
                <w:lang w:val="en"/>
              </w:rPr>
              <w:t>The analysis covered the 28 Partnership Agreements and of 292 operational and co-operation programmes for the 2014-2020 period financed by the European Regional Development Fund, the Cohesion Fund and the European Social Fund. It was completed with a surve</w:t>
            </w:r>
            <w:r>
              <w:rPr>
                <w:noProof/>
                <w:lang w:val="en"/>
              </w:rPr>
              <w:t>y of managing authorities and interviews at European, national and regional levels. It revealed that the new regulatory framework has significantly altered the Member States’ approach to programming. The new provisions required programmers to link strategi</w:t>
            </w:r>
            <w:r>
              <w:rPr>
                <w:noProof/>
                <w:lang w:val="en"/>
              </w:rPr>
              <w:t xml:space="preserve">c thinking and result-based management, and relate strategic thinking with the objectives and the means of the Europe 2020 strategy. </w:t>
            </w:r>
          </w:p>
          <w:p w:rsidR="003A1527" w:rsidRDefault="00742A12">
            <w:pPr>
              <w:spacing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new programming approach succeeded to make the strategy behind the allocation of resources, the links between means an</w:t>
            </w:r>
            <w:r>
              <w:rPr>
                <w:rFonts w:ascii="Times New Roman" w:eastAsia="Times New Roman" w:hAnsi="Times New Roman" w:cs="Times New Roman"/>
                <w:noProof/>
                <w:sz w:val="24"/>
                <w:szCs w:val="24"/>
                <w:lang w:val="en" w:eastAsia="en-GB"/>
              </w:rPr>
              <w:t>d results more specific and transparent than before. However, the presentation of programmes became rather complicated. The wide range of needs addressed suggests an apparent demand for integrated territorial approach. At the same time, the scope for apply</w:t>
            </w:r>
            <w:r>
              <w:rPr>
                <w:rFonts w:ascii="Times New Roman" w:eastAsia="Times New Roman" w:hAnsi="Times New Roman" w:cs="Times New Roman"/>
                <w:noProof/>
                <w:sz w:val="24"/>
                <w:szCs w:val="24"/>
                <w:lang w:val="en" w:eastAsia="en-GB"/>
              </w:rPr>
              <w:t xml:space="preserve">ing the integrated instruments in all sectors and types of areas has not yet been exhausted. </w:t>
            </w:r>
          </w:p>
          <w:p w:rsidR="003A1527" w:rsidRDefault="00742A12">
            <w:pPr>
              <w:spacing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Implementation-related new provisions were among the less controversial elements of the nineteen new provisions analyzed, and in general, Member States did comply</w:t>
            </w:r>
            <w:r>
              <w:rPr>
                <w:rFonts w:ascii="Times New Roman" w:eastAsia="Times New Roman" w:hAnsi="Times New Roman" w:cs="Times New Roman"/>
                <w:noProof/>
                <w:sz w:val="24"/>
                <w:szCs w:val="24"/>
                <w:lang w:val="en" w:eastAsia="en-GB"/>
              </w:rPr>
              <w:t xml:space="preserve"> with new requirements in this area. This provides a good basis for further developing implementation capacity.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2" w:history="1">
              <w:r>
                <w:rPr>
                  <w:rStyle w:val="Hyperlink"/>
                  <w:rFonts w:ascii="Times New Roman" w:eastAsia="Times New Roman" w:hAnsi="Times New Roman" w:cs="Times New Roman"/>
                  <w:i/>
                  <w:iCs/>
                  <w:noProof/>
                  <w:color w:val="auto"/>
                  <w:sz w:val="24"/>
                  <w:szCs w:val="24"/>
                  <w:lang w:eastAsia="en-GB"/>
                </w:rPr>
                <w:t>http://ec.eur</w:t>
              </w:r>
              <w:r>
                <w:rPr>
                  <w:rStyle w:val="Hyperlink"/>
                  <w:rFonts w:ascii="Times New Roman" w:eastAsia="Times New Roman" w:hAnsi="Times New Roman" w:cs="Times New Roman"/>
                  <w:i/>
                  <w:iCs/>
                  <w:noProof/>
                  <w:color w:val="auto"/>
                  <w:sz w:val="24"/>
                  <w:szCs w:val="24"/>
                  <w:lang w:eastAsia="en-GB"/>
                </w:rPr>
                <w:t>opa.eu/regional_policy/sources/policy/how/studies_integration/new_provision_progr_esif_report_en.pdf</w:t>
              </w:r>
            </w:hyperlink>
            <w:r>
              <w:rPr>
                <w:rFonts w:ascii="Times New Roman" w:eastAsia="Times New Roman" w:hAnsi="Times New Roman" w:cs="Times New Roman"/>
                <w:i/>
                <w:iCs/>
                <w:noProof/>
                <w:sz w:val="24"/>
                <w:szCs w:val="24"/>
                <w:lang w:eastAsia="en-GB"/>
              </w:rPr>
              <w:t xml:space="preserve"> </w:t>
            </w:r>
          </w:p>
        </w:tc>
      </w:tr>
      <w:tr w:rsidR="003A1527">
        <w:trPr>
          <w:trHeight w:val="12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Study on the implementation of the provisions in relation to the ex-ante conditionalities during the programming phase of the European Structural and </w:t>
            </w:r>
            <w:r>
              <w:rPr>
                <w:rFonts w:ascii="Times New Roman" w:eastAsia="Times New Roman" w:hAnsi="Times New Roman" w:cs="Times New Roman"/>
                <w:noProof/>
                <w:sz w:val="24"/>
                <w:szCs w:val="24"/>
                <w:lang w:eastAsia="en-GB"/>
              </w:rPr>
              <w:t>Investment (ESI) Funds;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hAnsi="Times New Roman" w:cs="Times New Roman"/>
                <w:noProof/>
                <w:sz w:val="24"/>
                <w:szCs w:val="24"/>
                <w:lang w:val="en"/>
              </w:rPr>
              <w:t xml:space="preserve">The study reviews the implementation of the ex-ante conditionalities that were introduced in the Regulations of the 2014-2020 European Structural and Investment Funds and were assessed through the Partnership Agreements and </w:t>
            </w:r>
            <w:r>
              <w:rPr>
                <w:rFonts w:ascii="Times New Roman" w:hAnsi="Times New Roman" w:cs="Times New Roman"/>
                <w:noProof/>
                <w:sz w:val="24"/>
                <w:szCs w:val="24"/>
                <w:lang w:val="en"/>
              </w:rPr>
              <w:t>Operational Programmes developed to deliver those funds. The research findings highlight the value of ex-ante conditionalities, in encouraging the fulfilment of EU regulatory requirements faster than might have been the case in their absence and reinforcin</w:t>
            </w:r>
            <w:r>
              <w:rPr>
                <w:rFonts w:ascii="Times New Roman" w:hAnsi="Times New Roman" w:cs="Times New Roman"/>
                <w:noProof/>
                <w:sz w:val="24"/>
                <w:szCs w:val="24"/>
                <w:lang w:val="en"/>
              </w:rPr>
              <w:t xml:space="preserve">g effectiveness through associated strategies in the policy areas supported by ESI Funds. The process has also allowed the Commission to engage in a dialogue with Member States, resulting in an improved understanding of the situation in the Member States. </w:t>
            </w:r>
            <w:r>
              <w:rPr>
                <w:rFonts w:ascii="Times New Roman" w:hAnsi="Times New Roman" w:cs="Times New Roman"/>
                <w:noProof/>
                <w:sz w:val="24"/>
                <w:szCs w:val="24"/>
                <w:lang w:val="en"/>
              </w:rPr>
              <w:t>However, in some of the ‘older’ EU-15 Member States, the added value was perceived to be limited and the process of assuring the conditionalities attracted some criticism for being disproportionate to the benefits. Timing, costs and the extent of actions r</w:t>
            </w:r>
            <w:r>
              <w:rPr>
                <w:rFonts w:ascii="Times New Roman" w:hAnsi="Times New Roman" w:cs="Times New Roman"/>
                <w:noProof/>
                <w:sz w:val="24"/>
                <w:szCs w:val="24"/>
                <w:lang w:val="en"/>
              </w:rPr>
              <w:t>equired to fulfil some of the conditionalities have generally exceeded the original estimates or required more resources than was envisaged, by both the Commission and Member States.</w:t>
            </w: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3" w:history="1">
              <w:r>
                <w:rPr>
                  <w:rStyle w:val="Hyperlink"/>
                  <w:rFonts w:ascii="Times New Roman" w:eastAsia="Times New Roman" w:hAnsi="Times New Roman" w:cs="Times New Roman"/>
                  <w:i/>
                  <w:iCs/>
                  <w:noProof/>
                  <w:color w:val="auto"/>
                  <w:sz w:val="24"/>
                  <w:szCs w:val="24"/>
                  <w:lang w:eastAsia="en-GB"/>
                </w:rPr>
                <w:t>http://ec.europa.eu/regional_policy/sources/policy/how/studies_integration/impl_exante_esif_report_en.pdf</w:t>
              </w:r>
            </w:hyperlink>
            <w:r>
              <w:rPr>
                <w:rFonts w:ascii="Times New Roman" w:eastAsia="Times New Roman" w:hAnsi="Times New Roman" w:cs="Times New Roman"/>
                <w:i/>
                <w:iCs/>
                <w:noProof/>
                <w:sz w:val="24"/>
                <w:szCs w:val="24"/>
                <w:lang w:eastAsia="en-GB"/>
              </w:rPr>
              <w:t xml:space="preserve"> </w:t>
            </w:r>
          </w:p>
        </w:tc>
      </w:tr>
      <w:tr w:rsidR="003A1527">
        <w:trPr>
          <w:trHeight w:val="12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Study on the implementation of the provisions in relation to the performance framework during the </w:t>
            </w:r>
            <w:r>
              <w:rPr>
                <w:rFonts w:ascii="Times New Roman" w:eastAsia="Times New Roman" w:hAnsi="Times New Roman" w:cs="Times New Roman"/>
                <w:noProof/>
                <w:sz w:val="24"/>
                <w:szCs w:val="24"/>
                <w:lang w:eastAsia="en-GB"/>
              </w:rPr>
              <w:t>programming phase of the European Structural and Investment (ESI) Funds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hAnsi="Times New Roman" w:cs="Times New Roman"/>
                <w:noProof/>
                <w:sz w:val="24"/>
                <w:szCs w:val="24"/>
                <w:lang w:val="en"/>
              </w:rPr>
              <w:t>The performance framework (PF) and performance reserve have been included as compulsory elements in programmes in the 2014-2020 programming period of the European Structural and Invest</w:t>
            </w:r>
            <w:r>
              <w:rPr>
                <w:rFonts w:ascii="Times New Roman" w:hAnsi="Times New Roman" w:cs="Times New Roman"/>
                <w:noProof/>
                <w:sz w:val="24"/>
                <w:szCs w:val="24"/>
                <w:lang w:val="en"/>
              </w:rPr>
              <w:t>ment (ESI) Funds in order to ensure that programmes are kept on track to achieve their objectives and that progress can be adequately measured. This report provides a synthesis covering the manner in which the provisions relating to the PF and the performa</w:t>
            </w:r>
            <w:r>
              <w:rPr>
                <w:rFonts w:ascii="Times New Roman" w:hAnsi="Times New Roman" w:cs="Times New Roman"/>
                <w:noProof/>
                <w:sz w:val="24"/>
                <w:szCs w:val="24"/>
                <w:lang w:val="en"/>
              </w:rPr>
              <w:t>nce reserve are reflected in all Partnership Agreements (PA), operational programmes (OP) under the Investment for Growth and Jobs Goal (IGJ) financed by the European Regional Development Fund (ERDF) and the Cohesion Fund (CF), including multi-fund program</w:t>
            </w:r>
            <w:r>
              <w:rPr>
                <w:rFonts w:ascii="Times New Roman" w:hAnsi="Times New Roman" w:cs="Times New Roman"/>
                <w:noProof/>
                <w:sz w:val="24"/>
                <w:szCs w:val="24"/>
                <w:lang w:val="en"/>
              </w:rPr>
              <w:t>mes co-financed by the European Social Fund (ESF), and the European Territorial Cooperation (ETC) programmes financed by the ERDF. The study is based on 60 interviews, desk research and additional information provided, a focus group with representatives fr</w:t>
            </w:r>
            <w:r>
              <w:rPr>
                <w:rFonts w:ascii="Times New Roman" w:hAnsi="Times New Roman" w:cs="Times New Roman"/>
                <w:noProof/>
                <w:sz w:val="24"/>
                <w:szCs w:val="24"/>
                <w:lang w:val="en"/>
              </w:rPr>
              <w:t>om the European Commission and a web-survey. This final report analyses and assesses the processes for the establishment of the PF, how PFs have been designed (i.e. the indicators used for milestones and targets), the establishment of the performance reser</w:t>
            </w:r>
            <w:r>
              <w:rPr>
                <w:rFonts w:ascii="Times New Roman" w:hAnsi="Times New Roman" w:cs="Times New Roman"/>
                <w:noProof/>
                <w:sz w:val="24"/>
                <w:szCs w:val="24"/>
                <w:lang w:val="en"/>
              </w:rPr>
              <w:t>ve, and the strengths and weaknesses of the PF and performance reserve. The findings show that the PF is overall helpful in focussing programmes and contributing to a results-oriented approach. However, while there are clear benefits from the PF, there are</w:t>
            </w:r>
            <w:r>
              <w:rPr>
                <w:rFonts w:ascii="Times New Roman" w:hAnsi="Times New Roman" w:cs="Times New Roman"/>
                <w:noProof/>
                <w:sz w:val="24"/>
                <w:szCs w:val="24"/>
                <w:lang w:val="en"/>
              </w:rPr>
              <w:t xml:space="preserve"> also a number of caveats and challenges emerging from the analysis.</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4" w:history="1">
              <w:r>
                <w:rPr>
                  <w:rStyle w:val="Hyperlink"/>
                  <w:rFonts w:ascii="Times New Roman" w:eastAsia="Times New Roman" w:hAnsi="Times New Roman" w:cs="Times New Roman"/>
                  <w:i/>
                  <w:iCs/>
                  <w:noProof/>
                  <w:color w:val="auto"/>
                  <w:sz w:val="24"/>
                  <w:szCs w:val="24"/>
                  <w:lang w:eastAsia="en-GB"/>
                </w:rPr>
                <w:t>http://ec.europa.eu/regional_policy/sources/policy/how/studies_integr</w:t>
              </w:r>
              <w:r>
                <w:rPr>
                  <w:rStyle w:val="Hyperlink"/>
                  <w:rFonts w:ascii="Times New Roman" w:eastAsia="Times New Roman" w:hAnsi="Times New Roman" w:cs="Times New Roman"/>
                  <w:i/>
                  <w:iCs/>
                  <w:noProof/>
                  <w:color w:val="auto"/>
                  <w:sz w:val="24"/>
                  <w:szCs w:val="24"/>
                  <w:lang w:eastAsia="en-GB"/>
                </w:rPr>
                <w:t>ation/impl_pf_esif_report_en.pdf</w:t>
              </w:r>
            </w:hyperlink>
            <w:r>
              <w:rPr>
                <w:rFonts w:ascii="Times New Roman" w:eastAsia="Times New Roman" w:hAnsi="Times New Roman" w:cs="Times New Roman"/>
                <w:i/>
                <w:iCs/>
                <w:noProof/>
                <w:sz w:val="24"/>
                <w:szCs w:val="24"/>
                <w:lang w:eastAsia="en-GB"/>
              </w:rPr>
              <w:t xml:space="preserve"> </w:t>
            </w:r>
          </w:p>
        </w:tc>
      </w:tr>
      <w:tr w:rsidR="003A1527">
        <w:trPr>
          <w:trHeight w:val="13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the implementation of the partnership principle and multi-level governance during the programming phase of the European Structural and Investment (ESI) Funds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pStyle w:val="NormalWeb"/>
              <w:spacing w:line="240" w:lineRule="auto"/>
              <w:jc w:val="both"/>
              <w:rPr>
                <w:noProof/>
                <w:lang w:val="en"/>
              </w:rPr>
            </w:pPr>
            <w:r>
              <w:rPr>
                <w:noProof/>
                <w:lang w:val="en"/>
              </w:rPr>
              <w:t>In the legislative framework for the 2014-2020 ESI Fun</w:t>
            </w:r>
            <w:r>
              <w:rPr>
                <w:noProof/>
                <w:lang w:val="en"/>
              </w:rPr>
              <w:t>ds the partnership principle has been strengthened. Article 5 of the Common Provision Regulation (CPR) makes it compulsory for each ESI Fund programme to organise a partnership at all programming stages and at all levels. A European Code of Conduct on Part</w:t>
            </w:r>
            <w:r>
              <w:rPr>
                <w:noProof/>
                <w:lang w:val="en"/>
              </w:rPr>
              <w:t>nership (CoC) has been set up to support Member States to ensure that all partners are involved at all stages in the implementation of Partnership Agreements and programmes. Even though the partnership principle is not new for the 2014-2020 ESI Funds, more</w:t>
            </w:r>
            <w:r>
              <w:rPr>
                <w:noProof/>
                <w:lang w:val="en"/>
              </w:rPr>
              <w:t xml:space="preserve"> importance has been given to stakeholder involvement and influence. The aim of this study is to review the establishment of the partnership principle and the application of the CoC in the Partnership Agreements and programmes financed by the European Regi</w:t>
            </w:r>
            <w:r>
              <w:rPr>
                <w:noProof/>
                <w:lang w:val="en"/>
              </w:rPr>
              <w:t>onal Development Fund (ERDF) and the Cohesion Fund (CF), including European Territorial Cooperation (ETC) programmes and multi-fund programmes co-financed by the European Social Fund (ESF). The study analyses data collected by document analysis, web-survey</w:t>
            </w:r>
            <w:r>
              <w:rPr>
                <w:noProof/>
                <w:lang w:val="en"/>
              </w:rPr>
              <w:t xml:space="preserve"> and interviews.</w:t>
            </w:r>
          </w:p>
          <w:p w:rsidR="003A1527" w:rsidRDefault="00742A12">
            <w:pPr>
              <w:spacing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The partnership principle has been satisfactorily respected in a wide range of countries and programmes. However, there are still challenges across a broad range of countries concerning the mobilisation of partners. Generally the modified </w:t>
            </w:r>
            <w:r>
              <w:rPr>
                <w:rFonts w:ascii="Times New Roman" w:eastAsia="Times New Roman" w:hAnsi="Times New Roman" w:cs="Times New Roman"/>
                <w:noProof/>
                <w:sz w:val="24"/>
                <w:szCs w:val="24"/>
                <w:lang w:val="en" w:eastAsia="en-GB"/>
              </w:rPr>
              <w:t xml:space="preserve">legal framework was perceived as positive as it increased awareness and visibility of the partnership principle. The level of stakeholder involvement has improved since the 2007-2013 programming period, although there are sometimes differences between the </w:t>
            </w:r>
            <w:r>
              <w:rPr>
                <w:rFonts w:ascii="Times New Roman" w:eastAsia="Times New Roman" w:hAnsi="Times New Roman" w:cs="Times New Roman"/>
                <w:noProof/>
                <w:sz w:val="24"/>
                <w:szCs w:val="24"/>
                <w:lang w:val="en" w:eastAsia="en-GB"/>
              </w:rPr>
              <w:t>content of the programming documents and the perception of stakeholders. Overall, the partnership principle adds value to the implementation of European public policies. </w:t>
            </w:r>
          </w:p>
          <w:p w:rsidR="003A1527" w:rsidRDefault="003A1527">
            <w:pPr>
              <w:spacing w:line="240" w:lineRule="auto"/>
              <w:jc w:val="both"/>
              <w:rPr>
                <w:rFonts w:ascii="Times New Roman" w:eastAsia="Times New Roman" w:hAnsi="Times New Roman" w:cs="Times New Roman"/>
                <w:i/>
                <w:iCs/>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5" w:history="1">
              <w:r>
                <w:rPr>
                  <w:rStyle w:val="Hyperlink"/>
                  <w:rFonts w:ascii="Times New Roman" w:eastAsia="Times New Roman" w:hAnsi="Times New Roman" w:cs="Times New Roman"/>
                  <w:i/>
                  <w:iCs/>
                  <w:noProof/>
                  <w:color w:val="auto"/>
                  <w:sz w:val="24"/>
                  <w:szCs w:val="24"/>
                  <w:lang w:eastAsia="en-GB"/>
                </w:rPr>
                <w:t>http://ec.europa.eu/regional_policy/sources/policy/how/studies_integration/impl_partner_report_en.pdf</w:t>
              </w:r>
            </w:hyperlink>
            <w:r>
              <w:rPr>
                <w:rFonts w:ascii="Times New Roman" w:eastAsia="Times New Roman" w:hAnsi="Times New Roman" w:cs="Times New Roman"/>
                <w:i/>
                <w:iCs/>
                <w:noProof/>
                <w:sz w:val="24"/>
                <w:szCs w:val="24"/>
                <w:lang w:eastAsia="en-GB"/>
              </w:rPr>
              <w:t xml:space="preserve"> </w:t>
            </w:r>
          </w:p>
        </w:tc>
      </w:tr>
      <w:tr w:rsidR="003A1527">
        <w:trPr>
          <w:trHeight w:val="12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3A1527">
            <w:pPr>
              <w:spacing w:line="240" w:lineRule="auto"/>
              <w:jc w:val="both"/>
              <w:rPr>
                <w:rFonts w:ascii="Times New Roman" w:eastAsia="Times New Roman" w:hAnsi="Times New Roman" w:cs="Times New Roman"/>
                <w:noProof/>
                <w:sz w:val="24"/>
                <w:szCs w:val="24"/>
                <w:lang w:eastAsia="en-GB"/>
              </w:rPr>
            </w:pP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pStyle w:val="NormalWeb"/>
              <w:spacing w:line="240" w:lineRule="auto"/>
              <w:jc w:val="both"/>
              <w:rPr>
                <w:noProof/>
                <w:lang w:val="en"/>
              </w:rPr>
            </w:pPr>
            <w:r>
              <w:rPr>
                <w:noProof/>
                <w:lang w:val="en"/>
              </w:rPr>
              <w:t xml:space="preserve">In order to reduce the </w:t>
            </w:r>
            <w:r>
              <w:rPr>
                <w:noProof/>
                <w:lang w:val="en"/>
              </w:rPr>
              <w:t>administrative burden, respect the principle of proportionality, ensure sound financial management, and facilitate the implementation of the European Structural and Investment (ESI) Funds both for the Member States and the beneficiaries, the Common Provisi</w:t>
            </w:r>
            <w:r>
              <w:rPr>
                <w:noProof/>
                <w:lang w:val="en"/>
              </w:rPr>
              <w:t>ons Regulation establishes a set of thresholds and limits on administrative requirements for operations benefitting from ESI Funds.</w:t>
            </w:r>
          </w:p>
          <w:p w:rsidR="003A1527" w:rsidRDefault="003A1527">
            <w:pPr>
              <w:spacing w:line="240" w:lineRule="auto"/>
              <w:jc w:val="both"/>
              <w:rPr>
                <w:rFonts w:ascii="Times New Roman" w:eastAsia="Times New Roman" w:hAnsi="Times New Roman" w:cs="Times New Roman"/>
                <w:i/>
                <w:iCs/>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hideMark/>
          </w:tcPr>
          <w:p w:rsidR="003A1527" w:rsidRDefault="003A1527">
            <w:pPr>
              <w:spacing w:line="240" w:lineRule="auto"/>
              <w:jc w:val="both"/>
              <w:rPr>
                <w:rFonts w:ascii="Times New Roman" w:eastAsia="Times New Roman" w:hAnsi="Times New Roman" w:cs="Times New Roman"/>
                <w:i/>
                <w:iCs/>
                <w:noProof/>
                <w:sz w:val="24"/>
                <w:szCs w:val="24"/>
                <w:lang w:eastAsia="en-GB"/>
              </w:rPr>
            </w:pPr>
          </w:p>
        </w:tc>
      </w:tr>
      <w:tr w:rsidR="003A1527">
        <w:trPr>
          <w:trHeight w:val="1260"/>
        </w:trPr>
        <w:tc>
          <w:tcPr>
            <w:tcW w:w="3397" w:type="dxa"/>
            <w:tcBorders>
              <w:top w:val="nil"/>
              <w:left w:val="single" w:sz="4" w:space="0" w:color="auto"/>
              <w:bottom w:val="single" w:sz="4" w:space="0" w:color="auto"/>
              <w:right w:val="single" w:sz="4" w:space="0" w:color="auto"/>
            </w:tcBorders>
            <w:shd w:val="clear" w:color="000000" w:fill="FFFFFF"/>
            <w:vAlign w:val="center"/>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setting up a database to assess impacts and effects of certain thresholds and limits in the ESI Funds regulation</w:t>
            </w:r>
          </w:p>
        </w:tc>
        <w:tc>
          <w:tcPr>
            <w:tcW w:w="8505" w:type="dxa"/>
            <w:tcBorders>
              <w:top w:val="nil"/>
              <w:left w:val="nil"/>
              <w:bottom w:val="single" w:sz="4" w:space="0" w:color="auto"/>
              <w:right w:val="single" w:sz="4" w:space="0" w:color="auto"/>
            </w:tcBorders>
            <w:shd w:val="clear" w:color="auto" w:fill="auto"/>
            <w:vAlign w:val="center"/>
          </w:tcPr>
          <w:p w:rsidR="003A1527" w:rsidRDefault="00742A12">
            <w:pPr>
              <w:spacing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Modelling the impact of these new thresholds at the level of the operations with existing data was problematic as data was only available at an aggregate level. Therefore, the European Commission initiated this study to establish a database and subsequent</w:t>
            </w:r>
            <w:r>
              <w:rPr>
                <w:rFonts w:ascii="Times New Roman" w:eastAsia="Times New Roman" w:hAnsi="Times New Roman" w:cs="Times New Roman"/>
                <w:noProof/>
                <w:sz w:val="24"/>
                <w:szCs w:val="24"/>
                <w:lang w:val="en" w:eastAsia="en-GB"/>
              </w:rPr>
              <w:t>ly analyse operation-level data from Operational Programmes supported by the ERDF and CF under the 2007-2013 programming period. Where possible, data that could not be collected was estimated.</w:t>
            </w:r>
          </w:p>
          <w:p w:rsidR="003A1527" w:rsidRDefault="00742A12">
            <w:pPr>
              <w:spacing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assembled database was then used to analyse the distributio</w:t>
            </w:r>
            <w:r>
              <w:rPr>
                <w:rFonts w:ascii="Times New Roman" w:eastAsia="Times New Roman" w:hAnsi="Times New Roman" w:cs="Times New Roman"/>
                <w:noProof/>
                <w:sz w:val="24"/>
                <w:szCs w:val="24"/>
                <w:lang w:val="en" w:eastAsia="en-GB"/>
              </w:rPr>
              <w:t xml:space="preserve">n of operations, both in terms of the number of operations and their total cost, around six thresholds. This analysis was also applied to show the impact based on other criteria, including category of region, priority theme, territorial dimension, and for </w:t>
            </w:r>
            <w:r>
              <w:rPr>
                <w:rFonts w:ascii="Times New Roman" w:eastAsia="Times New Roman" w:hAnsi="Times New Roman" w:cs="Times New Roman"/>
                <w:noProof/>
                <w:sz w:val="24"/>
                <w:szCs w:val="24"/>
                <w:lang w:val="en" w:eastAsia="en-GB"/>
              </w:rPr>
              <w:t>individual Member States. Finally, sensitivity analyses were conducted to analyse the impact that any potential changes in the thresholds would have on these parameters.</w:t>
            </w:r>
          </w:p>
          <w:p w:rsidR="003A1527" w:rsidRDefault="003A1527">
            <w:pPr>
              <w:pStyle w:val="NormalWeb"/>
              <w:spacing w:line="240" w:lineRule="auto"/>
              <w:jc w:val="both"/>
              <w:rPr>
                <w:i/>
                <w:iCs/>
                <w:noProof/>
              </w:rPr>
            </w:pPr>
          </w:p>
        </w:tc>
        <w:tc>
          <w:tcPr>
            <w:tcW w:w="3765" w:type="dxa"/>
            <w:tcBorders>
              <w:top w:val="nil"/>
              <w:left w:val="nil"/>
              <w:bottom w:val="single" w:sz="4" w:space="0" w:color="auto"/>
              <w:right w:val="single" w:sz="4" w:space="0" w:color="auto"/>
            </w:tcBorders>
            <w:shd w:val="clear" w:color="auto" w:fill="auto"/>
            <w:vAlign w:val="center"/>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6" w:history="1">
              <w:r>
                <w:rPr>
                  <w:rStyle w:val="Hyperlink"/>
                  <w:rFonts w:ascii="Times New Roman" w:eastAsia="Times New Roman" w:hAnsi="Times New Roman" w:cs="Times New Roman"/>
                  <w:i/>
                  <w:iCs/>
                  <w:noProof/>
                  <w:color w:val="auto"/>
                  <w:sz w:val="24"/>
                  <w:szCs w:val="24"/>
                  <w:lang w:eastAsia="en-GB"/>
                </w:rPr>
                <w:t>http://ec.europa.eu/regional_policy/sources/policy/how/studies_integration/setting_db_report_en.pdf</w:t>
              </w:r>
            </w:hyperlink>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the use of new provisions on simplification during the early implementation phase of ESI Funds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noProof/>
                <w:sz w:val="24"/>
                <w:szCs w:val="24"/>
                <w:lang w:eastAsia="en-GB"/>
              </w:rPr>
              <w:t xml:space="preserve">The study reviews </w:t>
            </w:r>
            <w:r>
              <w:rPr>
                <w:rFonts w:ascii="Times New Roman" w:eastAsia="Times New Roman" w:hAnsi="Times New Roman" w:cs="Times New Roman"/>
                <w:noProof/>
                <w:sz w:val="24"/>
                <w:szCs w:val="24"/>
                <w:lang w:eastAsia="en-GB"/>
              </w:rPr>
              <w:t>whether 21 selected simplification measures generated the expected reductions. While previous studies addressed only single funds, this study, for the first time collected comparable figures on administrative costs and burden for all five ESI Funds.</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hyperlink r:id="rId47" w:history="1">
              <w:r>
                <w:rPr>
                  <w:rStyle w:val="Hyperlink"/>
                  <w:rFonts w:ascii="Times New Roman" w:eastAsia="Times New Roman" w:hAnsi="Times New Roman" w:cs="Times New Roman"/>
                  <w:i/>
                  <w:iCs/>
                  <w:noProof/>
                  <w:color w:val="auto"/>
                  <w:sz w:val="24"/>
                  <w:szCs w:val="24"/>
                  <w:lang w:eastAsia="en-GB"/>
                </w:rPr>
                <w:t>http://ec.europa.eu/regional_policy/en/information/publications/studies/2017/use-of</w:t>
              </w:r>
              <w:r>
                <w:rPr>
                  <w:rStyle w:val="Hyperlink"/>
                  <w:rFonts w:ascii="Times New Roman" w:eastAsia="Times New Roman" w:hAnsi="Times New Roman" w:cs="Times New Roman"/>
                  <w:i/>
                  <w:iCs/>
                  <w:noProof/>
                  <w:color w:val="auto"/>
                  <w:sz w:val="24"/>
                  <w:szCs w:val="24"/>
                  <w:lang w:eastAsia="en-GB"/>
                </w:rPr>
                <w:t>-new-provisions-on-simplification-during-the-early-implementation-phase-of-esif</w:t>
              </w:r>
            </w:hyperlink>
            <w:r>
              <w:rPr>
                <w:rFonts w:ascii="Times New Roman" w:eastAsia="Times New Roman" w:hAnsi="Times New Roman" w:cs="Times New Roman"/>
                <w:i/>
                <w:iCs/>
                <w:noProof/>
                <w:sz w:val="24"/>
                <w:szCs w:val="24"/>
                <w:lang w:eastAsia="en-GB"/>
              </w:rPr>
              <w:t xml:space="preserve"> </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a new assessment of administrative costs and burdens in the ESI Funds</w:t>
            </w:r>
          </w:p>
        </w:tc>
        <w:tc>
          <w:tcPr>
            <w:tcW w:w="8505" w:type="dxa"/>
            <w:tcBorders>
              <w:top w:val="nil"/>
              <w:left w:val="nil"/>
              <w:bottom w:val="single" w:sz="4" w:space="0" w:color="auto"/>
              <w:right w:val="single" w:sz="4" w:space="0" w:color="auto"/>
            </w:tcBorders>
            <w:shd w:val="clear" w:color="auto" w:fill="auto"/>
            <w:vAlign w:val="center"/>
          </w:tcPr>
          <w:p w:rsidR="003A1527" w:rsidRDefault="003A1527">
            <w:pPr>
              <w:spacing w:line="240" w:lineRule="auto"/>
              <w:jc w:val="both"/>
              <w:rPr>
                <w:rFonts w:ascii="Times New Roman" w:eastAsia="Times New Roman" w:hAnsi="Times New Roman" w:cs="Times New Roman"/>
                <w:noProof/>
                <w:sz w:val="24"/>
                <w:szCs w:val="24"/>
                <w:lang w:eastAsia="en-GB"/>
              </w:rPr>
            </w:pPr>
          </w:p>
        </w:tc>
        <w:tc>
          <w:tcPr>
            <w:tcW w:w="3765" w:type="dxa"/>
            <w:tcBorders>
              <w:top w:val="nil"/>
              <w:left w:val="nil"/>
              <w:bottom w:val="single" w:sz="4" w:space="0" w:color="auto"/>
              <w:right w:val="single" w:sz="4" w:space="0" w:color="auto"/>
            </w:tcBorders>
            <w:shd w:val="clear" w:color="auto" w:fill="auto"/>
            <w:vAlign w:val="center"/>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alternative delivery modes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Feasibility study on performance based</w:t>
            </w:r>
            <w:r>
              <w:rPr>
                <w:rFonts w:ascii="Times New Roman" w:eastAsia="Times New Roman" w:hAnsi="Times New Roman" w:cs="Times New Roman"/>
                <w:noProof/>
                <w:sz w:val="24"/>
                <w:szCs w:val="24"/>
                <w:lang w:eastAsia="en-GB"/>
              </w:rPr>
              <w:t xml:space="preserve"> budget support including legal set-up</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coordination and harmonisation of the ESI funds and other EU instruments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improving the take up and effectiveness of financial instruments</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12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Study on the extent to which</w:t>
            </w:r>
            <w:r>
              <w:rPr>
                <w:rFonts w:ascii="Times New Roman" w:eastAsia="Times New Roman" w:hAnsi="Times New Roman" w:cs="Times New Roman"/>
                <w:noProof/>
                <w:sz w:val="24"/>
                <w:szCs w:val="24"/>
                <w:lang w:eastAsia="en-GB"/>
              </w:rPr>
              <w:t xml:space="preserve"> and how Member States used the ESF and the ERDF in the programming periods 2007-2013 and 2014-2020 to support their justice system. </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r w:rsidR="003A1527">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3A1527" w:rsidRDefault="00742A12">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Evaluation of the EU Framework for NRIS up to 2020 (covers the use of ESI Funds for Roma inclusion)</w:t>
            </w:r>
          </w:p>
        </w:tc>
        <w:tc>
          <w:tcPr>
            <w:tcW w:w="850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w:t>
            </w:r>
          </w:p>
        </w:tc>
        <w:tc>
          <w:tcPr>
            <w:tcW w:w="3765" w:type="dxa"/>
            <w:tcBorders>
              <w:top w:val="nil"/>
              <w:left w:val="nil"/>
              <w:bottom w:val="single" w:sz="4" w:space="0" w:color="auto"/>
              <w:right w:val="single" w:sz="4" w:space="0" w:color="auto"/>
            </w:tcBorders>
            <w:shd w:val="clear" w:color="auto" w:fill="auto"/>
            <w:vAlign w:val="center"/>
            <w:hideMark/>
          </w:tcPr>
          <w:p w:rsidR="003A1527" w:rsidRDefault="00742A12">
            <w:pPr>
              <w:spacing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Ongoing</w:t>
            </w:r>
          </w:p>
        </w:tc>
      </w:tr>
    </w:tbl>
    <w:p w:rsidR="003A1527" w:rsidRDefault="003A1527">
      <w:pPr>
        <w:spacing w:line="240" w:lineRule="auto"/>
        <w:jc w:val="both"/>
        <w:rPr>
          <w:rFonts w:ascii="Times New Roman" w:hAnsi="Times New Roman" w:cs="Times New Roman"/>
          <w:noProof/>
          <w:sz w:val="24"/>
          <w:szCs w:val="24"/>
        </w:rPr>
        <w:sectPr w:rsidR="003A1527">
          <w:headerReference w:type="even" r:id="rId48"/>
          <w:headerReference w:type="default" r:id="rId49"/>
          <w:footerReference w:type="even" r:id="rId50"/>
          <w:footerReference w:type="default" r:id="rId51"/>
          <w:headerReference w:type="first" r:id="rId52"/>
          <w:footerReference w:type="first" r:id="rId53"/>
          <w:pgSz w:w="16838" w:h="11906" w:orient="landscape"/>
          <w:pgMar w:top="1587" w:right="1020" w:bottom="1701" w:left="1020" w:header="601" w:footer="1077" w:gutter="0"/>
          <w:cols w:space="720"/>
          <w:titlePg/>
          <w:docGrid w:linePitch="299"/>
        </w:sectPr>
      </w:pPr>
    </w:p>
    <w:p w:rsidR="003A1527" w:rsidRDefault="00742A12">
      <w:pPr>
        <w:pStyle w:val="AnnexTitle"/>
        <w:rPr>
          <w:b w:val="0"/>
          <w:noProof/>
          <w:sz w:val="24"/>
          <w:szCs w:val="24"/>
        </w:rPr>
      </w:pPr>
      <w:bookmarkStart w:id="97" w:name="_Toc509843340"/>
      <w:bookmarkStart w:id="98" w:name="_Toc509848057"/>
      <w:bookmarkStart w:id="99" w:name="_Toc514401944"/>
      <w:r>
        <w:rPr>
          <w:noProof/>
        </w:rPr>
        <w:t>Annex 2: Stakeholder consultation</w:t>
      </w:r>
      <w:bookmarkEnd w:id="97"/>
      <w:bookmarkEnd w:id="98"/>
      <w:bookmarkEnd w:id="99"/>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Better Regulation Guidelines (Tool #55), this Annex summarises the DG EMPL consultation activities and their results.</w:t>
      </w:r>
    </w:p>
    <w:p w:rsidR="003A1527" w:rsidRDefault="003A1527">
      <w:pPr>
        <w:spacing w:line="240" w:lineRule="auto"/>
        <w:jc w:val="both"/>
        <w:rPr>
          <w:rFonts w:ascii="Times New Roman" w:hAnsi="Times New Roman" w:cs="Times New Roman"/>
          <w:noProof/>
          <w:sz w:val="24"/>
          <w:szCs w:val="24"/>
        </w:rPr>
      </w:pPr>
    </w:p>
    <w:p w:rsidR="003A1527" w:rsidRDefault="00742A12">
      <w:pPr>
        <w:pStyle w:val="AppendixH1"/>
        <w:numPr>
          <w:ilvl w:val="0"/>
          <w:numId w:val="19"/>
        </w:numPr>
        <w:spacing w:line="240" w:lineRule="auto"/>
        <w:jc w:val="both"/>
        <w:rPr>
          <w:noProof/>
        </w:rPr>
      </w:pPr>
      <w:r>
        <w:rPr>
          <w:noProof/>
        </w:rPr>
        <w:t>Objective of the consultation strategy</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overall aim of DG EMPL’s consultation was to:</w:t>
      </w:r>
    </w:p>
    <w:p w:rsidR="003A1527" w:rsidRDefault="00742A12">
      <w:pPr>
        <w:pStyle w:val="ListParagraph"/>
        <w:numPr>
          <w:ilvl w:val="0"/>
          <w:numId w:val="20"/>
        </w:numPr>
        <w:suppressAutoHyphens/>
        <w:autoSpaceDN w:val="0"/>
        <w:spacing w:after="20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Gather input from the stakeholders of the five funding instruments subject to this Impact Assessment on the design and priorities for post-2020 EU investments in social and employment policies. </w:t>
      </w:r>
    </w:p>
    <w:p w:rsidR="003A1527" w:rsidRDefault="00742A12">
      <w:pPr>
        <w:pStyle w:val="ListParagraph"/>
        <w:numPr>
          <w:ilvl w:val="0"/>
          <w:numId w:val="20"/>
        </w:numPr>
        <w:suppressAutoHyphens/>
        <w:autoSpaceDN w:val="0"/>
        <w:spacing w:after="20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Feed the stakeholders’ input into the drafting of the legisla</w:t>
      </w:r>
      <w:r>
        <w:rPr>
          <w:rFonts w:ascii="Times New Roman" w:hAnsi="Times New Roman" w:cs="Times New Roman"/>
          <w:noProof/>
          <w:sz w:val="24"/>
          <w:szCs w:val="24"/>
        </w:rPr>
        <w:t>tive proposal and the Impact Assessment accompanying it.</w:t>
      </w:r>
    </w:p>
    <w:p w:rsidR="003A1527" w:rsidRDefault="00742A12">
      <w:pPr>
        <w:pStyle w:val="AppendixH1"/>
        <w:numPr>
          <w:ilvl w:val="0"/>
          <w:numId w:val="19"/>
        </w:numPr>
        <w:spacing w:line="240" w:lineRule="auto"/>
        <w:jc w:val="both"/>
        <w:rPr>
          <w:noProof/>
        </w:rPr>
      </w:pPr>
      <w:r>
        <w:rPr>
          <w:noProof/>
        </w:rPr>
        <w:t>Identified stakeholders</w:t>
      </w:r>
    </w:p>
    <w:p w:rsidR="003A1527" w:rsidRDefault="00742A12">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consultation was based on a stakeholders mapping, which covers the main EU organisations and institutions working in the field of social and employment policy and relevant</w:t>
      </w:r>
      <w:r>
        <w:rPr>
          <w:rFonts w:ascii="Times New Roman" w:hAnsi="Times New Roman" w:cs="Times New Roman"/>
          <w:noProof/>
          <w:sz w:val="24"/>
          <w:szCs w:val="24"/>
        </w:rPr>
        <w:t xml:space="preserve"> investment – public authorities at all levels of government, social partners, civil society organisations, funding beneficiaries and end-users.</w:t>
      </w:r>
    </w:p>
    <w:p w:rsidR="003A1527" w:rsidRDefault="00742A12">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rPr>
        <w:t>A variety of stakeholders were reached in the consultation: members of the ESF, FEAD and EaSI Committee, EGF co</w:t>
      </w:r>
      <w:r>
        <w:rPr>
          <w:rFonts w:ascii="Times New Roman" w:hAnsi="Times New Roman" w:cs="Times New Roman"/>
          <w:noProof/>
          <w:sz w:val="24"/>
          <w:szCs w:val="24"/>
        </w:rPr>
        <w:t>ntact persons, EU-level platforms, networks and associations, representatives of for-profit and not-for-profit interests, including employers' organisations, SME organisations, trade unions, civil society organisations, national-level organisations or asso</w:t>
      </w:r>
      <w:r>
        <w:rPr>
          <w:rFonts w:ascii="Times New Roman" w:hAnsi="Times New Roman" w:cs="Times New Roman"/>
          <w:noProof/>
          <w:sz w:val="24"/>
          <w:szCs w:val="24"/>
        </w:rPr>
        <w:t>ciations representing for-profit and not-for-profit interests; public authorities at EU level, public authorities at the national/regional/local levels (Managing Authorities, Intermediary Bodies, Audit authorities, beneficiaries) and finally consultancies,</w:t>
      </w:r>
      <w:r>
        <w:rPr>
          <w:rFonts w:ascii="Times New Roman" w:hAnsi="Times New Roman" w:cs="Times New Roman"/>
          <w:noProof/>
          <w:sz w:val="24"/>
          <w:szCs w:val="24"/>
        </w:rPr>
        <w:t xml:space="preserve"> research organisations and academia. Finally, the four open public consultations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xml:space="preserve"> aimed to reach citizens across the EU.</w:t>
      </w:r>
      <w:r>
        <w:rPr>
          <w:rFonts w:ascii="Times New Roman" w:hAnsi="Times New Roman" w:cs="Times New Roman"/>
          <w:b/>
          <w:noProof/>
          <w:sz w:val="24"/>
          <w:szCs w:val="24"/>
        </w:rPr>
        <w:t xml:space="preserve">  </w:t>
      </w:r>
    </w:p>
    <w:p w:rsidR="003A1527" w:rsidRDefault="00742A12">
      <w:pPr>
        <w:pStyle w:val="AppendixH1"/>
        <w:numPr>
          <w:ilvl w:val="0"/>
          <w:numId w:val="19"/>
        </w:numPr>
        <w:spacing w:line="240" w:lineRule="auto"/>
        <w:jc w:val="both"/>
        <w:rPr>
          <w:noProof/>
        </w:rPr>
      </w:pPr>
      <w:r>
        <w:rPr>
          <w:noProof/>
        </w:rPr>
        <w:t>Consultation methods and tools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stakeholder consultation involved a variety of methods and tools in order to ensure that a sufficient variety and number of stakeholders would be reached, and that opinions would be crosschecked.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The consultation activities included: Open Public Cons</w:t>
      </w:r>
      <w:r>
        <w:rPr>
          <w:rFonts w:ascii="Times New Roman" w:hAnsi="Times New Roman" w:cs="Times New Roman"/>
          <w:noProof/>
          <w:sz w:val="24"/>
          <w:szCs w:val="24"/>
        </w:rPr>
        <w:t>ultations (OPC)</w:t>
      </w:r>
      <w:r>
        <w:rPr>
          <w:noProof/>
        </w:rPr>
        <w:t xml:space="preserve">, </w:t>
      </w:r>
      <w:r>
        <w:rPr>
          <w:rFonts w:ascii="Times New Roman" w:hAnsi="Times New Roman" w:cs="Times New Roman"/>
          <w:noProof/>
          <w:sz w:val="24"/>
          <w:szCs w:val="24"/>
        </w:rPr>
        <w:t>stakeholder conferences and meetings</w:t>
      </w:r>
      <w:r>
        <w:rPr>
          <w:noProof/>
        </w:rPr>
        <w:t xml:space="preserve">, </w:t>
      </w:r>
      <w:r>
        <w:rPr>
          <w:rFonts w:ascii="Times New Roman" w:hAnsi="Times New Roman" w:cs="Times New Roman"/>
          <w:noProof/>
          <w:sz w:val="24"/>
          <w:szCs w:val="24"/>
        </w:rPr>
        <w:t>focus groups</w:t>
      </w:r>
      <w:r>
        <w:rPr>
          <w:noProof/>
        </w:rPr>
        <w:t xml:space="preserve">, </w:t>
      </w:r>
      <w:r>
        <w:rPr>
          <w:rFonts w:ascii="Times New Roman" w:hAnsi="Times New Roman" w:cs="Times New Roman"/>
          <w:noProof/>
          <w:sz w:val="24"/>
          <w:szCs w:val="24"/>
        </w:rPr>
        <w:t>interviews</w:t>
      </w:r>
      <w:r>
        <w:rPr>
          <w:noProof/>
        </w:rPr>
        <w:t xml:space="preserve">, </w:t>
      </w:r>
      <w:r>
        <w:rPr>
          <w:rFonts w:ascii="Times New Roman" w:hAnsi="Times New Roman" w:cs="Times New Roman"/>
          <w:noProof/>
          <w:sz w:val="24"/>
          <w:szCs w:val="24"/>
        </w:rPr>
        <w:t>targeted online consultation</w:t>
      </w:r>
      <w:r>
        <w:rPr>
          <w:noProof/>
        </w:rPr>
        <w:t xml:space="preserve">, </w:t>
      </w:r>
      <w:r>
        <w:rPr>
          <w:rFonts w:ascii="Times New Roman" w:hAnsi="Times New Roman" w:cs="Times New Roman"/>
          <w:noProof/>
          <w:sz w:val="24"/>
          <w:szCs w:val="24"/>
        </w:rPr>
        <w:t xml:space="preserve">analysis of position papers. </w:t>
      </w:r>
    </w:p>
    <w:p w:rsidR="003A1527" w:rsidRDefault="00742A12">
      <w:pPr>
        <w:pStyle w:val="ListParagraph"/>
        <w:numPr>
          <w:ilvl w:val="1"/>
          <w:numId w:val="21"/>
        </w:numPr>
        <w:suppressAutoHyphens/>
        <w:autoSpaceDN w:val="0"/>
        <w:spacing w:after="200" w:line="240" w:lineRule="auto"/>
        <w:jc w:val="both"/>
        <w:textAlignment w:val="baseline"/>
        <w:rPr>
          <w:rFonts w:ascii="Times New Roman" w:hAnsi="Times New Roman" w:cs="Times New Roman"/>
          <w:b/>
          <w:noProof/>
          <w:sz w:val="24"/>
          <w:szCs w:val="24"/>
        </w:rPr>
      </w:pPr>
      <w:r>
        <w:rPr>
          <w:rFonts w:ascii="Times New Roman" w:hAnsi="Times New Roman" w:cs="Times New Roman"/>
          <w:b/>
          <w:noProof/>
          <w:sz w:val="24"/>
          <w:szCs w:val="24"/>
        </w:rPr>
        <w:t xml:space="preserve"> Open Public Consultation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aim of the web-based public consultations was to gather feedback from a broad range </w:t>
      </w:r>
      <w:r>
        <w:rPr>
          <w:rFonts w:ascii="Times New Roman" w:hAnsi="Times New Roman" w:cs="Times New Roman"/>
          <w:noProof/>
          <w:sz w:val="24"/>
          <w:szCs w:val="24"/>
        </w:rPr>
        <w:t>of stakeholders in all EU languages. It was based on both closed and open questions on the policy challenges, subsidiarity, objectives of the programmes and obstacles to reach them, simplification and synergy between the programmes. In addition, stakeholde</w:t>
      </w:r>
      <w:r>
        <w:rPr>
          <w:rFonts w:ascii="Times New Roman" w:hAnsi="Times New Roman" w:cs="Times New Roman"/>
          <w:noProof/>
          <w:sz w:val="24"/>
          <w:szCs w:val="24"/>
        </w:rPr>
        <w:t xml:space="preserve">rs could submit their position papers on the EU investment instruments post 2020. </w:t>
      </w:r>
    </w:p>
    <w:p w:rsidR="003A1527" w:rsidRDefault="00742A12">
      <w:pPr>
        <w:spacing w:line="240" w:lineRule="auto"/>
        <w:jc w:val="both"/>
        <w:rPr>
          <w:rFonts w:ascii="Times New Roman" w:hAnsi="Times New Roman" w:cs="Times New Roman"/>
          <w:noProof/>
          <w:sz w:val="22"/>
        </w:rPr>
      </w:pPr>
      <w:r>
        <w:rPr>
          <w:rFonts w:ascii="Times New Roman" w:hAnsi="Times New Roman" w:cs="Times New Roman"/>
          <w:noProof/>
          <w:sz w:val="24"/>
          <w:szCs w:val="24"/>
        </w:rPr>
        <w:t xml:space="preserve">Furthermore, the impact assessment takes into account feedback from OPCs on the ESF 2007-2013 </w:t>
      </w:r>
      <w:r>
        <w:rPr>
          <w:rFonts w:ascii="Times New Roman" w:hAnsi="Times New Roman" w:cs="Times New Roman"/>
          <w:i/>
          <w:noProof/>
          <w:sz w:val="24"/>
          <w:szCs w:val="24"/>
        </w:rPr>
        <w:t>ex- post</w:t>
      </w:r>
      <w:r>
        <w:rPr>
          <w:rFonts w:ascii="Times New Roman" w:hAnsi="Times New Roman" w:cs="Times New Roman"/>
          <w:noProof/>
          <w:sz w:val="24"/>
          <w:szCs w:val="24"/>
        </w:rPr>
        <w:t xml:space="preserve"> evaluation as well as the FEAD and EGF </w:t>
      </w:r>
      <w:r>
        <w:rPr>
          <w:rFonts w:ascii="Times New Roman" w:hAnsi="Times New Roman" w:cs="Times New Roman"/>
          <w:i/>
          <w:noProof/>
          <w:sz w:val="24"/>
          <w:szCs w:val="24"/>
        </w:rPr>
        <w:t>mid-term</w:t>
      </w:r>
      <w:r>
        <w:rPr>
          <w:rFonts w:ascii="Times New Roman" w:hAnsi="Times New Roman" w:cs="Times New Roman"/>
          <w:noProof/>
          <w:sz w:val="24"/>
          <w:szCs w:val="24"/>
        </w:rPr>
        <w:t xml:space="preserve"> evaluations</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w:t>
      </w:r>
    </w:p>
    <w:p w:rsidR="003A1527" w:rsidRDefault="00742A12">
      <w:pPr>
        <w:pStyle w:val="ListParagraph"/>
        <w:numPr>
          <w:ilvl w:val="1"/>
          <w:numId w:val="21"/>
        </w:numPr>
        <w:suppressAutoHyphens/>
        <w:autoSpaceDN w:val="0"/>
        <w:spacing w:after="200" w:line="240" w:lineRule="auto"/>
        <w:jc w:val="both"/>
        <w:textAlignment w:val="baseline"/>
        <w:rPr>
          <w:rFonts w:ascii="Times New Roman" w:hAnsi="Times New Roman" w:cs="Times New Roman"/>
          <w:b/>
          <w:noProof/>
          <w:sz w:val="24"/>
          <w:szCs w:val="24"/>
        </w:rPr>
      </w:pPr>
      <w:r>
        <w:rPr>
          <w:rFonts w:ascii="Times New Roman" w:hAnsi="Times New Roman" w:cs="Times New Roman"/>
          <w:b/>
          <w:noProof/>
          <w:sz w:val="24"/>
          <w:szCs w:val="24"/>
        </w:rPr>
        <w:t>Stak</w:t>
      </w:r>
      <w:r>
        <w:rPr>
          <w:rFonts w:ascii="Times New Roman" w:hAnsi="Times New Roman" w:cs="Times New Roman"/>
          <w:b/>
          <w:noProof/>
          <w:sz w:val="24"/>
          <w:szCs w:val="24"/>
        </w:rPr>
        <w:t>eholder conferences and meetings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conferences and meetings aimed to gather contributions from a number of stakeholders through direct interaction.</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first stakeholder conference in Malta opened the discussions on the ESF post-2020. Building on these, in</w:t>
      </w:r>
      <w:r>
        <w:rPr>
          <w:rFonts w:ascii="Times New Roman" w:hAnsi="Times New Roman" w:cs="Times New Roman"/>
          <w:noProof/>
          <w:sz w:val="24"/>
          <w:szCs w:val="24"/>
        </w:rPr>
        <w:t xml:space="preserve"> cooperation with the Bulgarian Presidency DG EMPL organised a second stakeholder conference ‘Investing in People: the Way Forward” on 15-16 February 2018 that brought together more than 350 stakeholders of all 5 Funds under DG EMPL’s responsibility, inclu</w:t>
      </w:r>
      <w:r>
        <w:rPr>
          <w:rFonts w:ascii="Times New Roman" w:hAnsi="Times New Roman" w:cs="Times New Roman"/>
          <w:noProof/>
          <w:sz w:val="24"/>
          <w:szCs w:val="24"/>
        </w:rPr>
        <w:t>ding policymakers from across the EU, social partners, academia, civil society and business organisations. Participants took part in 8 workshops discussing key topics for the funds post-2020.</w:t>
      </w:r>
      <w:r>
        <w:rPr>
          <w:rStyle w:val="FootnoteReference"/>
          <w:rFonts w:ascii="Times New Roman" w:hAnsi="Times New Roman" w:cs="Times New Roman"/>
          <w:noProof/>
          <w:sz w:val="24"/>
          <w:szCs w:val="24"/>
        </w:rPr>
        <w:footnoteReference w:id="139"/>
      </w:r>
      <w:r>
        <w:rPr>
          <w:rFonts w:ascii="Times New Roman" w:hAnsi="Times New Roman" w:cs="Times New Roman"/>
          <w:noProof/>
          <w:sz w:val="24"/>
          <w:szCs w:val="24"/>
        </w:rPr>
        <w:t xml:space="preserve"> Furthermore, participants actively engaged in the panel discuss</w:t>
      </w:r>
      <w:r>
        <w:rPr>
          <w:rFonts w:ascii="Times New Roman" w:hAnsi="Times New Roman" w:cs="Times New Roman"/>
          <w:noProof/>
          <w:sz w:val="24"/>
          <w:szCs w:val="24"/>
        </w:rPr>
        <w:t xml:space="preserve">ions on the future EU investment in people by asking 251 questions and submitting 509 votes to polls through the Sli.do tool during the conference.   </w:t>
      </w:r>
    </w:p>
    <w:p w:rsidR="003A1527" w:rsidRDefault="00742A12">
      <w:pPr>
        <w:spacing w:line="240" w:lineRule="auto"/>
        <w:jc w:val="both"/>
        <w:rPr>
          <w:noProof/>
        </w:rPr>
      </w:pPr>
      <w:r>
        <w:rPr>
          <w:rFonts w:ascii="Times New Roman" w:hAnsi="Times New Roman" w:cs="Times New Roman"/>
          <w:noProof/>
          <w:sz w:val="24"/>
          <w:szCs w:val="24"/>
        </w:rPr>
        <w:t>The proposals for investing in people post-2020 were also discussed with committees and groups involved i</w:t>
      </w:r>
      <w:r>
        <w:rPr>
          <w:rFonts w:ascii="Times New Roman" w:hAnsi="Times New Roman" w:cs="Times New Roman"/>
          <w:noProof/>
          <w:sz w:val="24"/>
          <w:szCs w:val="24"/>
        </w:rPr>
        <w:t xml:space="preserve">n the fund management/coordination (e.g. EaSI / ESF / FEAD committee members, members of EURES coordination group, EGF Contact Persons) including public authorities, social partners, and civil society organisations. </w:t>
      </w:r>
    </w:p>
    <w:p w:rsidR="003A1527" w:rsidRDefault="00742A12">
      <w:pPr>
        <w:pStyle w:val="ListParagraph"/>
        <w:numPr>
          <w:ilvl w:val="1"/>
          <w:numId w:val="21"/>
        </w:numPr>
        <w:suppressAutoHyphens/>
        <w:autoSpaceDN w:val="0"/>
        <w:spacing w:after="200" w:line="240" w:lineRule="auto"/>
        <w:jc w:val="both"/>
        <w:textAlignment w:val="baseline"/>
        <w:rPr>
          <w:rFonts w:ascii="Times New Roman" w:hAnsi="Times New Roman" w:cs="Times New Roman"/>
          <w:b/>
          <w:noProof/>
          <w:sz w:val="24"/>
          <w:szCs w:val="24"/>
        </w:rPr>
      </w:pPr>
      <w:r>
        <w:rPr>
          <w:rFonts w:ascii="Times New Roman" w:hAnsi="Times New Roman" w:cs="Times New Roman"/>
          <w:b/>
          <w:noProof/>
          <w:sz w:val="24"/>
          <w:szCs w:val="24"/>
        </w:rPr>
        <w:t xml:space="preserve"> Focus groups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heme="minorHAnsi"/>
          <w:noProof/>
          <w:sz w:val="24"/>
          <w:szCs w:val="24"/>
        </w:rPr>
        <w:t>Two focus groups of 20-2</w:t>
      </w:r>
      <w:r>
        <w:rPr>
          <w:rFonts w:ascii="Times New Roman" w:hAnsi="Times New Roman" w:cstheme="minorHAnsi"/>
          <w:noProof/>
          <w:sz w:val="24"/>
          <w:szCs w:val="24"/>
        </w:rPr>
        <w:t xml:space="preserve">5 participants were organised in the framework of the study supporting DG EMPL’s impact assessment. Each focus group involved 20-25 participants, mainly stakeholders of the 5 Funds. </w:t>
      </w:r>
    </w:p>
    <w:p w:rsidR="003A1527" w:rsidRDefault="00742A12">
      <w:pPr>
        <w:pStyle w:val="ListParagraph"/>
        <w:numPr>
          <w:ilvl w:val="1"/>
          <w:numId w:val="21"/>
        </w:numPr>
        <w:suppressAutoHyphens/>
        <w:autoSpaceDN w:val="0"/>
        <w:spacing w:after="200" w:line="240" w:lineRule="auto"/>
        <w:jc w:val="both"/>
        <w:textAlignment w:val="baseline"/>
        <w:rPr>
          <w:rFonts w:ascii="Times New Roman" w:hAnsi="Times New Roman" w:cs="Times New Roman"/>
          <w:b/>
          <w:noProof/>
          <w:sz w:val="24"/>
          <w:szCs w:val="24"/>
        </w:rPr>
      </w:pPr>
      <w:r>
        <w:rPr>
          <w:rFonts w:ascii="Times New Roman" w:hAnsi="Times New Roman" w:cs="Times New Roman"/>
          <w:b/>
          <w:noProof/>
          <w:sz w:val="24"/>
          <w:szCs w:val="24"/>
        </w:rPr>
        <w:t xml:space="preserve"> Targeted online consultation </w:t>
      </w:r>
    </w:p>
    <w:p w:rsidR="003A1527" w:rsidRDefault="00742A12">
      <w:pPr>
        <w:spacing w:line="240" w:lineRule="auto"/>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 xml:space="preserve">Two questionnaires were designed for the purpose of the study </w:t>
      </w:r>
      <w:r>
        <w:rPr>
          <w:rFonts w:ascii="Times New Roman" w:hAnsi="Times New Roman" w:cstheme="minorHAnsi"/>
          <w:noProof/>
          <w:sz w:val="22"/>
          <w:szCs w:val="22"/>
          <w:lang w:val="en-US"/>
        </w:rPr>
        <w:t>supporting DG EMPL’s IA</w:t>
      </w:r>
      <w:r>
        <w:rPr>
          <w:rFonts w:ascii="Times New Roman" w:hAnsi="Times New Roman" w:cs="Times New Roman"/>
          <w:noProof/>
          <w:sz w:val="24"/>
          <w:szCs w:val="24"/>
          <w:lang w:val="en-US"/>
        </w:rPr>
        <w:t xml:space="preserve">: one targeting managing authorities and other stakeholders involved in the funds’ management and the other targeting beneficiaries and end-users’. </w:t>
      </w:r>
    </w:p>
    <w:p w:rsidR="003A1527" w:rsidRDefault="00742A12">
      <w:pPr>
        <w:pStyle w:val="ListParagraph"/>
        <w:numPr>
          <w:ilvl w:val="1"/>
          <w:numId w:val="21"/>
        </w:numPr>
        <w:suppressAutoHyphens/>
        <w:autoSpaceDN w:val="0"/>
        <w:spacing w:after="200" w:line="240" w:lineRule="auto"/>
        <w:jc w:val="both"/>
        <w:textAlignment w:val="baseline"/>
        <w:rPr>
          <w:rFonts w:ascii="Times New Roman" w:hAnsi="Times New Roman" w:cs="Times New Roman"/>
          <w:b/>
          <w:noProof/>
          <w:sz w:val="24"/>
          <w:szCs w:val="24"/>
        </w:rPr>
      </w:pPr>
      <w:r>
        <w:rPr>
          <w:rFonts w:ascii="Times New Roman" w:hAnsi="Times New Roman" w:cs="Times New Roman"/>
          <w:b/>
          <w:noProof/>
          <w:sz w:val="24"/>
          <w:szCs w:val="24"/>
        </w:rPr>
        <w:t xml:space="preserve"> Analysis of position </w:t>
      </w:r>
      <w:r>
        <w:rPr>
          <w:rFonts w:ascii="Times New Roman" w:hAnsi="Times New Roman" w:cs="Times New Roman"/>
          <w:b/>
          <w:noProof/>
          <w:sz w:val="24"/>
          <w:szCs w:val="24"/>
        </w:rPr>
        <w:t xml:space="preserve">papers </w:t>
      </w:r>
    </w:p>
    <w:p w:rsidR="003A1527" w:rsidRDefault="00742A12">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Stakeholders expressed their views on the 5 Funds post-2020 by submitting more than 700 position papers. </w:t>
      </w:r>
    </w:p>
    <w:p w:rsidR="003A1527" w:rsidRDefault="00742A12">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8 Member States formally or informally submitted views on the EGF post-2020. </w:t>
      </w:r>
    </w:p>
    <w:p w:rsidR="003A1527" w:rsidRDefault="003A1527">
      <w:pPr>
        <w:pStyle w:val="ListParagraph"/>
        <w:spacing w:line="240" w:lineRule="auto"/>
        <w:jc w:val="both"/>
        <w:rPr>
          <w:rFonts w:ascii="Times New Roman" w:hAnsi="Times New Roman" w:cs="Times New Roman"/>
          <w:noProof/>
          <w:sz w:val="24"/>
          <w:szCs w:val="24"/>
        </w:rPr>
      </w:pPr>
    </w:p>
    <w:p w:rsidR="003A1527" w:rsidRDefault="003A1527">
      <w:pPr>
        <w:spacing w:line="240" w:lineRule="auto"/>
        <w:jc w:val="both"/>
        <w:rPr>
          <w:rFonts w:ascii="Times New Roman" w:hAnsi="Times New Roman" w:cs="Times New Roman"/>
          <w:noProof/>
          <w:sz w:val="24"/>
          <w:szCs w:val="24"/>
        </w:rPr>
      </w:pPr>
    </w:p>
    <w:p w:rsidR="003A1527" w:rsidRDefault="00742A12">
      <w:pPr>
        <w:pStyle w:val="AppendixH1"/>
        <w:numPr>
          <w:ilvl w:val="0"/>
          <w:numId w:val="19"/>
        </w:numPr>
        <w:spacing w:line="240" w:lineRule="auto"/>
        <w:jc w:val="both"/>
        <w:rPr>
          <w:noProof/>
        </w:rPr>
      </w:pPr>
      <w:r>
        <w:rPr>
          <w:noProof/>
        </w:rPr>
        <w:t>Data processing and analysis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External experts helped process and analyse the data. A consortium led by the Fondazione Giacomo Brodolini analysed the results from the focus groups, conference, interviews and targeted consultation as part of the study supporting the drafting of the Impa</w:t>
      </w:r>
      <w:r>
        <w:rPr>
          <w:rFonts w:ascii="Times New Roman" w:hAnsi="Times New Roman" w:cs="Times New Roman"/>
          <w:noProof/>
          <w:sz w:val="24"/>
          <w:szCs w:val="24"/>
        </w:rPr>
        <w:t xml:space="preserve">ct Assessment (ongoing). </w:t>
      </w: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results of the OPC on cohesion were analysed by external experts in </w:t>
      </w:r>
      <w:r>
        <w:rPr>
          <w:rFonts w:ascii="Times New Roman" w:hAnsi="Times New Roman" w:cs="Times New Roman"/>
          <w:i/>
          <w:noProof/>
          <w:sz w:val="24"/>
          <w:szCs w:val="24"/>
        </w:rPr>
        <w:t>Applica</w:t>
      </w:r>
      <w:r>
        <w:rPr>
          <w:rFonts w:ascii="Times New Roman" w:hAnsi="Times New Roman" w:cs="Times New Roman"/>
          <w:noProof/>
          <w:sz w:val="24"/>
          <w:szCs w:val="24"/>
        </w:rPr>
        <w:t xml:space="preserve">.  </w:t>
      </w:r>
    </w:p>
    <w:p w:rsidR="003A1527" w:rsidRDefault="00742A12">
      <w:pPr>
        <w:pStyle w:val="AppendixH1"/>
        <w:numPr>
          <w:ilvl w:val="0"/>
          <w:numId w:val="19"/>
        </w:numPr>
        <w:spacing w:line="240" w:lineRule="auto"/>
        <w:jc w:val="both"/>
        <w:rPr>
          <w:i/>
          <w:noProof/>
        </w:rPr>
      </w:pPr>
      <w:r>
        <w:rPr>
          <w:noProof/>
        </w:rPr>
        <w:t xml:space="preserve">Results </w:t>
      </w:r>
    </w:p>
    <w:p w:rsidR="003A1527" w:rsidRDefault="00742A12">
      <w:pPr>
        <w:pStyle w:val="AppendixH1"/>
        <w:numPr>
          <w:ilvl w:val="0"/>
          <w:numId w:val="0"/>
        </w:numPr>
        <w:suppressAutoHyphens w:val="0"/>
        <w:autoSpaceDN/>
        <w:spacing w:after="0" w:line="240" w:lineRule="auto"/>
        <w:jc w:val="both"/>
        <w:textAlignment w:val="auto"/>
        <w:rPr>
          <w:noProof/>
        </w:rPr>
      </w:pPr>
      <w:r>
        <w:rPr>
          <w:noProof/>
        </w:rPr>
        <w:t>5.1 Open Public Consultation</w:t>
      </w:r>
    </w:p>
    <w:p w:rsidR="003A1527" w:rsidRDefault="003A1527">
      <w:pPr>
        <w:pStyle w:val="AppendixH1"/>
        <w:numPr>
          <w:ilvl w:val="0"/>
          <w:numId w:val="0"/>
        </w:numPr>
        <w:suppressAutoHyphens w:val="0"/>
        <w:autoSpaceDN/>
        <w:spacing w:after="0" w:line="240" w:lineRule="auto"/>
        <w:jc w:val="both"/>
        <w:textAlignment w:val="auto"/>
        <w:rPr>
          <w:b w:val="0"/>
          <w:noProof/>
        </w:rPr>
      </w:pPr>
    </w:p>
    <w:p w:rsidR="003A1527" w:rsidRDefault="00742A12">
      <w:pPr>
        <w:pStyle w:val="AppendixH1"/>
        <w:numPr>
          <w:ilvl w:val="0"/>
          <w:numId w:val="0"/>
        </w:numPr>
        <w:suppressAutoHyphens w:val="0"/>
        <w:autoSpaceDN/>
        <w:spacing w:after="0" w:line="240" w:lineRule="auto"/>
        <w:jc w:val="both"/>
        <w:textAlignment w:val="auto"/>
        <w:rPr>
          <w:rFonts w:cstheme="minorHAnsi"/>
          <w:b w:val="0"/>
          <w:noProof/>
        </w:rPr>
      </w:pPr>
      <w:r>
        <w:rPr>
          <w:rFonts w:cstheme="minorHAnsi"/>
          <w:noProof/>
        </w:rPr>
        <w:t xml:space="preserve">5.1.1. Cluster on Cohesion </w:t>
      </w:r>
    </w:p>
    <w:p w:rsidR="003A1527" w:rsidRDefault="003A1527">
      <w:pPr>
        <w:pStyle w:val="AppendixH1"/>
        <w:numPr>
          <w:ilvl w:val="0"/>
          <w:numId w:val="0"/>
        </w:numPr>
        <w:suppressAutoHyphens w:val="0"/>
        <w:autoSpaceDN/>
        <w:spacing w:after="0" w:line="240" w:lineRule="auto"/>
        <w:jc w:val="both"/>
        <w:textAlignment w:val="auto"/>
        <w:rPr>
          <w:rFonts w:cstheme="minorHAnsi"/>
          <w:noProof/>
        </w:rPr>
      </w:pPr>
    </w:p>
    <w:p w:rsidR="003A1527" w:rsidRDefault="00742A12">
      <w:pPr>
        <w:spacing w:line="240" w:lineRule="auto"/>
        <w:jc w:val="both"/>
        <w:rPr>
          <w:rFonts w:ascii="Times New Roman" w:hAnsi="Times New Roman"/>
          <w:noProof/>
          <w:sz w:val="24"/>
          <w:szCs w:val="24"/>
        </w:rPr>
      </w:pPr>
      <w:r>
        <w:rPr>
          <w:rFonts w:ascii="Times New Roman" w:hAnsi="Times New Roman" w:cstheme="minorHAnsi"/>
          <w:noProof/>
          <w:sz w:val="24"/>
          <w:szCs w:val="24"/>
        </w:rPr>
        <w:t xml:space="preserve">The OPC on Cohesion policy gathered 4395 responses, of which 2426 from organisations and 1969 from individuals. </w:t>
      </w:r>
      <w:r>
        <w:rPr>
          <w:rFonts w:ascii="Times New Roman" w:hAnsi="Times New Roman"/>
          <w:noProof/>
          <w:sz w:val="24"/>
          <w:szCs w:val="24"/>
        </w:rPr>
        <w:t>After ‘cleaning’ the responses,</w:t>
      </w:r>
      <w:r>
        <w:rPr>
          <w:rStyle w:val="FootnoteReference"/>
          <w:rFonts w:ascii="Times New Roman" w:hAnsi="Times New Roman"/>
          <w:noProof/>
          <w:sz w:val="24"/>
          <w:szCs w:val="24"/>
        </w:rPr>
        <w:footnoteReference w:id="140"/>
      </w:r>
      <w:r>
        <w:rPr>
          <w:rFonts w:ascii="Times New Roman" w:hAnsi="Times New Roman"/>
          <w:noProof/>
          <w:sz w:val="24"/>
          <w:szCs w:val="24"/>
        </w:rPr>
        <w:t xml:space="preserve"> the questionnaires were reduced to 3,958. Responses were submitted by a similar number of individuals (47%) and</w:t>
      </w:r>
      <w:r>
        <w:rPr>
          <w:rFonts w:ascii="Times New Roman" w:hAnsi="Times New Roman"/>
          <w:noProof/>
          <w:sz w:val="24"/>
          <w:szCs w:val="24"/>
        </w:rPr>
        <w:t xml:space="preserve"> organisations (53%). There is a significant overlap between those with experience of the different funds subject to the OPC; 57% of respondents reported experience of the ESF, 7% of the FEAD, 9% of the EaSI and 2% of the EGF. Regional and local authoritie</w:t>
      </w:r>
      <w:r>
        <w:rPr>
          <w:rFonts w:ascii="Times New Roman" w:hAnsi="Times New Roman"/>
          <w:noProof/>
          <w:sz w:val="24"/>
          <w:szCs w:val="24"/>
        </w:rPr>
        <w:t>s represent the largest type of organisation replying (18%); followed by NGOs (8%), and national public authorities (4%), and the rest each 2-3%. Importantly, micro and small enterprises made up over two-thirds of ‘private companies’ replying (which implie</w:t>
      </w:r>
      <w:r>
        <w:rPr>
          <w:rFonts w:ascii="Times New Roman" w:hAnsi="Times New Roman"/>
          <w:noProof/>
          <w:sz w:val="24"/>
          <w:szCs w:val="24"/>
        </w:rPr>
        <w:t>s that medium-sized and large companies are disproportionately represented) and universities 65% of the ‘research and academia’ category.</w:t>
      </w:r>
    </w:p>
    <w:p w:rsidR="003A1527" w:rsidRDefault="00742A12">
      <w:pPr>
        <w:spacing w:line="240" w:lineRule="auto"/>
        <w:jc w:val="both"/>
        <w:rPr>
          <w:rFonts w:ascii="Times New Roman" w:hAnsi="Times New Roman"/>
          <w:b/>
          <w:noProof/>
          <w:sz w:val="24"/>
          <w:szCs w:val="24"/>
        </w:rPr>
      </w:pPr>
      <w:r>
        <w:rPr>
          <w:rFonts w:ascii="Times New Roman" w:hAnsi="Times New Roman"/>
          <w:noProof/>
          <w:sz w:val="24"/>
          <w:szCs w:val="24"/>
        </w:rPr>
        <w:t>Responses to the consultation were submitted from all the Member States, though the number from each differed markedly</w:t>
      </w:r>
      <w:r>
        <w:rPr>
          <w:rFonts w:ascii="Times New Roman" w:hAnsi="Times New Roman"/>
          <w:noProof/>
          <w:sz w:val="24"/>
          <w:szCs w:val="24"/>
        </w:rPr>
        <w:t>. The largest number of responses came from Italy (21%), followed by Poland (14%) – i.e. the two together accounting for over a third of the total replies received. France, Germany and Spain accounted for just under a quarter. To some extent, the number of</w:t>
      </w:r>
      <w:r>
        <w:rPr>
          <w:rFonts w:ascii="Times New Roman" w:hAnsi="Times New Roman"/>
          <w:noProof/>
          <w:sz w:val="24"/>
          <w:szCs w:val="24"/>
        </w:rPr>
        <w:t xml:space="preserve"> responses appears to be related to the amount of Cohesion policy funds received.</w:t>
      </w:r>
    </w:p>
    <w:p w:rsidR="003A1527" w:rsidRDefault="00742A12">
      <w:pPr>
        <w:pStyle w:val="AppendixH1"/>
        <w:numPr>
          <w:ilvl w:val="0"/>
          <w:numId w:val="0"/>
        </w:numPr>
        <w:spacing w:after="0" w:line="240" w:lineRule="auto"/>
        <w:jc w:val="both"/>
        <w:rPr>
          <w:b w:val="0"/>
          <w:noProof/>
        </w:rPr>
      </w:pPr>
      <w:r>
        <w:rPr>
          <w:rFonts w:cstheme="minorHAnsi"/>
          <w:b w:val="0"/>
          <w:noProof/>
        </w:rPr>
        <w:t xml:space="preserve">The majority of respondents (78.9%) report that the Funds subject to this IA </w:t>
      </w:r>
      <w:r>
        <w:rPr>
          <w:rFonts w:cstheme="minorHAnsi"/>
          <w:noProof/>
        </w:rPr>
        <w:t>add value compared to what Member States could achieve without EU funding</w:t>
      </w:r>
      <w:r>
        <w:rPr>
          <w:rFonts w:cstheme="minorHAnsi"/>
          <w:b w:val="0"/>
          <w:noProof/>
        </w:rPr>
        <w:t xml:space="preserve"> to a large extent (47.5</w:t>
      </w:r>
      <w:r>
        <w:rPr>
          <w:rFonts w:cstheme="minorHAnsi"/>
          <w:b w:val="0"/>
          <w:noProof/>
        </w:rPr>
        <w:t>%) or to a fairly large extent (31.4%).</w:t>
      </w:r>
      <w:r>
        <w:rPr>
          <w:b w:val="0"/>
          <w:noProof/>
        </w:rPr>
        <w:t xml:space="preserve"> The added value of the funds is linked to promoting effective and efficient public investment; knowledge exchange between countries and regions; contribution to social integration and a more inclusive Europe;</w:t>
      </w:r>
      <w:r>
        <w:rPr>
          <w:noProof/>
        </w:rPr>
        <w:t xml:space="preserve"> </w:t>
      </w:r>
      <w:r>
        <w:rPr>
          <w:b w:val="0"/>
          <w:noProof/>
        </w:rPr>
        <w:t>support</w:t>
      </w:r>
      <w:r>
        <w:rPr>
          <w:b w:val="0"/>
          <w:noProof/>
        </w:rPr>
        <w:t xml:space="preserve"> given to policy experimentation and innovation; reducing regional disparities and facilitating convergence; and leverage effect of cohesion policy on public and private investment. Respondents from Austria, Croatia, Italy and Romania had the least positiv</w:t>
      </w:r>
      <w:r>
        <w:rPr>
          <w:b w:val="0"/>
          <w:noProof/>
        </w:rPr>
        <w:t>e opinion of the added-value of Cohesion policy, while respondents from Denmark, Finland, Latvia, Luxembourg, Portugal, Sweden and the UK had the most positive opinion</w:t>
      </w:r>
      <w:r>
        <w:rPr>
          <w:noProof/>
        </w:rPr>
        <w:t xml:space="preserve"> </w:t>
      </w:r>
    </w:p>
    <w:p w:rsidR="003A1527" w:rsidRDefault="00742A12">
      <w:pPr>
        <w:spacing w:before="120" w:line="240" w:lineRule="auto"/>
        <w:jc w:val="both"/>
        <w:rPr>
          <w:rFonts w:ascii="Times New Roman" w:hAnsi="Times New Roman"/>
          <w:b/>
          <w:noProof/>
          <w:sz w:val="24"/>
          <w:szCs w:val="24"/>
        </w:rPr>
      </w:pPr>
      <w:r>
        <w:rPr>
          <w:rFonts w:ascii="Times New Roman" w:hAnsi="Times New Roman" w:cstheme="minorHAnsi"/>
          <w:noProof/>
          <w:sz w:val="24"/>
          <w:szCs w:val="24"/>
        </w:rPr>
        <w:t xml:space="preserve">A high priority was assigned to all of the </w:t>
      </w:r>
      <w:r>
        <w:rPr>
          <w:rFonts w:ascii="Times New Roman" w:hAnsi="Times New Roman" w:cstheme="minorHAnsi"/>
          <w:b/>
          <w:noProof/>
          <w:sz w:val="24"/>
          <w:szCs w:val="24"/>
        </w:rPr>
        <w:t>policy challenges</w:t>
      </w:r>
      <w:r>
        <w:rPr>
          <w:rFonts w:ascii="Times New Roman" w:hAnsi="Times New Roman" w:cstheme="minorHAnsi"/>
          <w:noProof/>
          <w:sz w:val="24"/>
          <w:szCs w:val="24"/>
        </w:rPr>
        <w:t>, but above all were: ‘Redu</w:t>
      </w:r>
      <w:r>
        <w:rPr>
          <w:rFonts w:ascii="Times New Roman" w:hAnsi="Times New Roman" w:cstheme="minorHAnsi"/>
          <w:noProof/>
          <w:sz w:val="24"/>
          <w:szCs w:val="24"/>
        </w:rPr>
        <w:t>ce regional disparities’ (94% of all those replying), ‘Reduce unemployment, promote quality jobs and labour mobility’ (92%) and ‘Promote social inclusion and combat poverty’ (91%). Importantly, there is very little difference in the relative importance att</w:t>
      </w:r>
      <w:r>
        <w:rPr>
          <w:rFonts w:ascii="Times New Roman" w:hAnsi="Times New Roman" w:cstheme="minorHAnsi"/>
          <w:noProof/>
          <w:sz w:val="24"/>
          <w:szCs w:val="24"/>
        </w:rPr>
        <w:t>ached to the different challenges between respondents according to their experience of the different funds or country. Additional challenges identified include security, cultural heritage, demographic change, combating corruption and migration (although on</w:t>
      </w:r>
      <w:r>
        <w:rPr>
          <w:rFonts w:ascii="Times New Roman" w:hAnsi="Times New Roman" w:cstheme="minorHAnsi"/>
          <w:noProof/>
          <w:sz w:val="24"/>
          <w:szCs w:val="24"/>
        </w:rPr>
        <w:t xml:space="preserve">ly 1% or less of respondents identified them). </w:t>
      </w:r>
    </w:p>
    <w:p w:rsidR="003A1527" w:rsidRDefault="003A1527">
      <w:pPr>
        <w:pStyle w:val="AppendixH1"/>
        <w:numPr>
          <w:ilvl w:val="0"/>
          <w:numId w:val="0"/>
        </w:numPr>
        <w:spacing w:after="0" w:line="240" w:lineRule="auto"/>
        <w:jc w:val="both"/>
        <w:rPr>
          <w:rFonts w:cstheme="minorHAnsi"/>
          <w:b w:val="0"/>
          <w:noProof/>
        </w:rPr>
      </w:pPr>
    </w:p>
    <w:p w:rsidR="003A1527" w:rsidRDefault="00742A12">
      <w:pPr>
        <w:spacing w:line="240" w:lineRule="auto"/>
        <w:jc w:val="both"/>
        <w:rPr>
          <w:rFonts w:ascii="Times New Roman" w:hAnsi="Times New Roman"/>
          <w:b/>
          <w:noProof/>
          <w:sz w:val="24"/>
          <w:szCs w:val="24"/>
        </w:rPr>
      </w:pPr>
      <w:r>
        <w:rPr>
          <w:rFonts w:ascii="Times New Roman" w:hAnsi="Times New Roman"/>
          <w:noProof/>
          <w:sz w:val="24"/>
          <w:szCs w:val="24"/>
          <w:lang w:val="en-US"/>
        </w:rPr>
        <w:t xml:space="preserve">According to respondents, </w:t>
      </w:r>
      <w:r>
        <w:rPr>
          <w:rFonts w:ascii="Times New Roman" w:hAnsi="Times New Roman"/>
          <w:b/>
          <w:noProof/>
          <w:sz w:val="24"/>
          <w:szCs w:val="24"/>
          <w:lang w:val="en-US"/>
        </w:rPr>
        <w:t>the most successfully addressed</w:t>
      </w:r>
      <w:r>
        <w:rPr>
          <w:rFonts w:ascii="Times New Roman" w:hAnsi="Times New Roman"/>
          <w:noProof/>
          <w:sz w:val="24"/>
          <w:szCs w:val="24"/>
          <w:lang w:val="en-US"/>
        </w:rPr>
        <w:t xml:space="preserve"> </w:t>
      </w:r>
      <w:r>
        <w:rPr>
          <w:rFonts w:ascii="Times New Roman" w:hAnsi="Times New Roman"/>
          <w:b/>
          <w:noProof/>
          <w:sz w:val="24"/>
          <w:szCs w:val="24"/>
          <w:lang w:val="en-US"/>
        </w:rPr>
        <w:t>challenges</w:t>
      </w:r>
      <w:r>
        <w:rPr>
          <w:rFonts w:ascii="Times New Roman" w:hAnsi="Times New Roman"/>
          <w:noProof/>
          <w:sz w:val="24"/>
          <w:szCs w:val="24"/>
          <w:lang w:val="en-US"/>
        </w:rPr>
        <w:t xml:space="preserve"> are ‘Research and innovation’ and ‘Territorial cooperation’, followed by ‘Economic growth’, ‘Regional disparities’ and ‘Education and trai</w:t>
      </w:r>
      <w:r>
        <w:rPr>
          <w:rFonts w:ascii="Times New Roman" w:hAnsi="Times New Roman"/>
          <w:noProof/>
          <w:sz w:val="24"/>
          <w:szCs w:val="24"/>
          <w:lang w:val="en-US"/>
        </w:rPr>
        <w:t xml:space="preserve">ning’ , while the less successfully addressed challenges remain ‘Globalisation’, ‘The quality of institutions’ and ‘Sound economic governance and reforms’. </w:t>
      </w:r>
      <w:r>
        <w:rPr>
          <w:rFonts w:ascii="Times New Roman" w:hAnsi="Times New Roman"/>
          <w:noProof/>
          <w:sz w:val="24"/>
          <w:szCs w:val="24"/>
        </w:rPr>
        <w:t xml:space="preserve">Complex procedures are seen as the most important </w:t>
      </w:r>
      <w:r>
        <w:rPr>
          <w:rFonts w:ascii="Times New Roman" w:hAnsi="Times New Roman"/>
          <w:b/>
          <w:noProof/>
          <w:sz w:val="24"/>
          <w:szCs w:val="24"/>
        </w:rPr>
        <w:t>obstacle to funds successfully achieving their obj</w:t>
      </w:r>
      <w:r>
        <w:rPr>
          <w:rFonts w:ascii="Times New Roman" w:hAnsi="Times New Roman"/>
          <w:b/>
          <w:noProof/>
          <w:sz w:val="24"/>
          <w:szCs w:val="24"/>
        </w:rPr>
        <w:t>ectives</w:t>
      </w:r>
      <w:r>
        <w:rPr>
          <w:rFonts w:ascii="Times New Roman" w:hAnsi="Times New Roman"/>
          <w:noProof/>
          <w:sz w:val="24"/>
          <w:szCs w:val="24"/>
        </w:rPr>
        <w:t xml:space="preserve">, 86% of respondents agreeing to a large or a fairly large extent. The next most important obstacles are the heavy audit and control procedures (68% agreeing to a large extent or a fairly large extent that this is an obstacle); lack of flexibility </w:t>
      </w:r>
      <w:r>
        <w:rPr>
          <w:rFonts w:ascii="Times New Roman" w:hAnsi="Times New Roman"/>
          <w:noProof/>
          <w:sz w:val="24"/>
          <w:szCs w:val="24"/>
        </w:rPr>
        <w:t>to react to unforeseen circumstances (60% agreeing to a large extent or to a fairly large extent that this obstructs policy). Furthermore, 57% agreed to a large extent or to fairly large extent that the difficulty of ensuring the sustainability of projects</w:t>
      </w:r>
      <w:r>
        <w:rPr>
          <w:rFonts w:ascii="Times New Roman" w:hAnsi="Times New Roman"/>
          <w:noProof/>
          <w:sz w:val="24"/>
          <w:szCs w:val="24"/>
        </w:rPr>
        <w:t xml:space="preserve"> was an obstacle to the funds achieving their objectives and 52% that insufficient administrative capacity was an obstacle. On the other hand, the difficulty of ensuring the financial sustainability of projects is viewed as being a more important obstacle </w:t>
      </w:r>
      <w:r>
        <w:rPr>
          <w:rFonts w:ascii="Times New Roman" w:hAnsi="Times New Roman"/>
          <w:noProof/>
          <w:sz w:val="24"/>
          <w:szCs w:val="24"/>
        </w:rPr>
        <w:t>than heavy audit and control requirements by respondents with experience of the FEAD and EaSI, and delays in payment and the insufficient involvement of civil society as being at least as important. Individuals and private enterprises, however, perceive co</w:t>
      </w:r>
      <w:r>
        <w:rPr>
          <w:rFonts w:ascii="Times New Roman" w:hAnsi="Times New Roman"/>
          <w:noProof/>
          <w:sz w:val="24"/>
          <w:szCs w:val="24"/>
        </w:rPr>
        <w:t>mplex procedures and control requirements as obstacles more than average, while regional and local authorities also regard the lack of flexibility to react to unforeseen circumstances as being important. For academia and research institutes as well as NGOs</w:t>
      </w:r>
      <w:r>
        <w:rPr>
          <w:rFonts w:ascii="Times New Roman" w:hAnsi="Times New Roman"/>
          <w:noProof/>
          <w:sz w:val="24"/>
          <w:szCs w:val="24"/>
        </w:rPr>
        <w:t xml:space="preserve">, the difficulty of ensuring the financial sustainability of projects is a more important obstacle than for other types of organisation. Additional obstacles identified in the OPC are: corruption and a lack of transparency in managing the Funds, a lack of </w:t>
      </w:r>
      <w:r>
        <w:rPr>
          <w:rFonts w:ascii="Times New Roman" w:hAnsi="Times New Roman"/>
          <w:noProof/>
          <w:sz w:val="24"/>
          <w:szCs w:val="24"/>
        </w:rPr>
        <w:t>strategy and priority setting in their allocation and a lack of integration of the Funds.</w:t>
      </w:r>
    </w:p>
    <w:p w:rsidR="003A1527" w:rsidRDefault="00742A12">
      <w:pPr>
        <w:spacing w:line="240" w:lineRule="auto"/>
        <w:jc w:val="both"/>
        <w:rPr>
          <w:rFonts w:ascii="Times New Roman" w:hAnsi="Times New Roman"/>
          <w:b/>
          <w:noProof/>
          <w:sz w:val="24"/>
          <w:szCs w:val="24"/>
        </w:rPr>
      </w:pPr>
      <w:r>
        <w:rPr>
          <w:rFonts w:ascii="Times New Roman" w:hAnsi="Times New Roman"/>
          <w:noProof/>
          <w:sz w:val="24"/>
          <w:szCs w:val="24"/>
        </w:rPr>
        <w:t xml:space="preserve">The most frequent responses to </w:t>
      </w:r>
      <w:r>
        <w:rPr>
          <w:rFonts w:ascii="Times New Roman" w:hAnsi="Times New Roman"/>
          <w:b/>
          <w:noProof/>
          <w:sz w:val="24"/>
          <w:szCs w:val="24"/>
        </w:rPr>
        <w:t xml:space="preserve">what would help to simplify and reduce administrative burdens for the ESF </w:t>
      </w:r>
      <w:r>
        <w:rPr>
          <w:rFonts w:ascii="Times New Roman" w:hAnsi="Times New Roman"/>
          <w:noProof/>
          <w:sz w:val="24"/>
          <w:szCs w:val="24"/>
        </w:rPr>
        <w:t>were: ‘Fewer, clearer, shorter rules’, 93% of the respondents</w:t>
      </w:r>
      <w:r>
        <w:rPr>
          <w:rFonts w:ascii="Times New Roman" w:hAnsi="Times New Roman"/>
          <w:noProof/>
          <w:sz w:val="24"/>
          <w:szCs w:val="24"/>
        </w:rPr>
        <w:t xml:space="preserve"> indicating that this would help to simplify and reduce administrative burdens to a large or to a fairly large extent; ‘Alignment of rules between EU funds, with 80.6%; ‘more flexibility of activity once funding is eligible’ and ‘More flexibility of resour</w:t>
      </w:r>
      <w:r>
        <w:rPr>
          <w:rFonts w:ascii="Times New Roman" w:hAnsi="Times New Roman"/>
          <w:noProof/>
          <w:sz w:val="24"/>
          <w:szCs w:val="24"/>
        </w:rPr>
        <w:t>ce allocation’ (78%); ‘More effective stakeholders’ involvement’ (72.6%); simplifying ex-ante conditionalities (65.6%). Merging funds was identified as the surest way to strengthen synergies and avoid duplication and overlaps – as long as it contributes to</w:t>
      </w:r>
      <w:r>
        <w:rPr>
          <w:rFonts w:ascii="Times New Roman" w:hAnsi="Times New Roman"/>
          <w:noProof/>
          <w:sz w:val="24"/>
          <w:szCs w:val="24"/>
        </w:rPr>
        <w:t xml:space="preserve"> simplification. The least frequent choice, interestingly, was ‘More freedom for national authorities to set rules’, which over half of respondents thought would help to simplify and reduce burden only to some extent or not at all. Although the above conce</w:t>
      </w:r>
      <w:r>
        <w:rPr>
          <w:rFonts w:ascii="Times New Roman" w:hAnsi="Times New Roman"/>
          <w:noProof/>
          <w:sz w:val="24"/>
          <w:szCs w:val="24"/>
        </w:rPr>
        <w:t>rns the ESF, there are few significant differences in the average values calculated for each of the steps when respondents are divided according to their experience of the different funds. The main difference seems to be that respondents with experience in</w:t>
      </w:r>
      <w:r>
        <w:rPr>
          <w:rFonts w:ascii="Times New Roman" w:hAnsi="Times New Roman"/>
          <w:noProof/>
          <w:sz w:val="24"/>
          <w:szCs w:val="24"/>
        </w:rPr>
        <w:t xml:space="preserve"> FEAD and EaSI regard the ‘involvement of stakeholders’, as more important in achieving more simplification and a less heavy administrative burden. Indeed, NGOs and ‘Churches and religious communities’ consider ‘stakeholder involvement’ to be a more import</w:t>
      </w:r>
      <w:r>
        <w:rPr>
          <w:rFonts w:ascii="Times New Roman" w:hAnsi="Times New Roman"/>
          <w:noProof/>
          <w:sz w:val="24"/>
          <w:szCs w:val="24"/>
        </w:rPr>
        <w:t xml:space="preserve">ant step towards simplifying and reducing administrative burdens than other organisations, while ‘Regional and local authorities’ give more importance to ‘alignment of rules between EU funds’ than others. </w:t>
      </w:r>
      <w:r>
        <w:rPr>
          <w:rFonts w:ascii="Times New Roman" w:hAnsi="Times New Roman" w:cstheme="minorHAnsi"/>
          <w:noProof/>
          <w:sz w:val="24"/>
          <w:szCs w:val="24"/>
        </w:rPr>
        <w:t xml:space="preserve">The main additional simplification measures listed </w:t>
      </w:r>
      <w:r>
        <w:rPr>
          <w:rFonts w:ascii="Times New Roman" w:hAnsi="Times New Roman" w:cstheme="minorHAnsi"/>
          <w:noProof/>
          <w:sz w:val="24"/>
          <w:szCs w:val="24"/>
        </w:rPr>
        <w:t xml:space="preserve">were </w:t>
      </w:r>
      <w:r>
        <w:rPr>
          <w:rFonts w:ascii="Times New Roman" w:hAnsi="Times New Roman"/>
          <w:noProof/>
          <w:sz w:val="24"/>
          <w:szCs w:val="24"/>
        </w:rPr>
        <w:t>‘coordination among actors’, ‘improved administrative capacity’, ‘changes in the system of controls’ and ‘more flexibility in the managements of the funds’.</w:t>
      </w:r>
    </w:p>
    <w:p w:rsidR="003A1527" w:rsidRDefault="00742A12">
      <w:pPr>
        <w:pStyle w:val="AppendixH1"/>
        <w:numPr>
          <w:ilvl w:val="0"/>
          <w:numId w:val="0"/>
        </w:numPr>
        <w:suppressAutoHyphens w:val="0"/>
        <w:autoSpaceDN/>
        <w:spacing w:after="0" w:line="240" w:lineRule="auto"/>
        <w:jc w:val="both"/>
        <w:textAlignment w:val="auto"/>
        <w:rPr>
          <w:b w:val="0"/>
          <w:noProof/>
        </w:rPr>
      </w:pPr>
      <w:r>
        <w:rPr>
          <w:b w:val="0"/>
          <w:noProof/>
        </w:rPr>
        <w:t>As regards EaSI, stakeholders provided several strengths of the programme. The transnational d</w:t>
      </w:r>
      <w:r>
        <w:rPr>
          <w:b w:val="0"/>
          <w:noProof/>
        </w:rPr>
        <w:t>evelopment and implementation aspect represents a very high added value as this cannot be achieved at national, regional or local level. Respondents highlighted that EaSI funds made it possible to test innovative devices at cross-border level and to create</w:t>
      </w:r>
      <w:r>
        <w:rPr>
          <w:b w:val="0"/>
          <w:noProof/>
        </w:rPr>
        <w:t xml:space="preserve"> a field of cooperation and dialogue between different types of actors. In addition to that, EaSI has been mentioned as one of the backbones for implementing the European Pillar of Social Rights and an essential tool for specific achievements, such as tran</w:t>
      </w:r>
      <w:r>
        <w:rPr>
          <w:b w:val="0"/>
          <w:noProof/>
        </w:rPr>
        <w:t>sforming and computerising social services etc.</w:t>
      </w:r>
      <w:r>
        <w:rPr>
          <w:b w:val="0"/>
          <w:i/>
          <w:noProof/>
        </w:rPr>
        <w:t xml:space="preserve"> </w:t>
      </w:r>
      <w:r>
        <w:rPr>
          <w:b w:val="0"/>
          <w:noProof/>
        </w:rPr>
        <w:t>Several stakeholders advocated for alignment or merging of funds, linking ESF and EaSI through a common framework or having one social fund after 2020.</w:t>
      </w:r>
    </w:p>
    <w:p w:rsidR="003A1527" w:rsidRDefault="003A1527">
      <w:pPr>
        <w:pStyle w:val="AppendixH1"/>
        <w:numPr>
          <w:ilvl w:val="0"/>
          <w:numId w:val="0"/>
        </w:numPr>
        <w:suppressAutoHyphens w:val="0"/>
        <w:autoSpaceDN/>
        <w:spacing w:after="0" w:line="240" w:lineRule="auto"/>
        <w:jc w:val="both"/>
        <w:textAlignment w:val="auto"/>
        <w:rPr>
          <w:b w:val="0"/>
          <w:noProof/>
        </w:rPr>
      </w:pPr>
    </w:p>
    <w:p w:rsidR="003A1527" w:rsidRDefault="00742A12">
      <w:pPr>
        <w:pStyle w:val="AppendixH1"/>
        <w:numPr>
          <w:ilvl w:val="0"/>
          <w:numId w:val="0"/>
        </w:numPr>
        <w:suppressAutoHyphens w:val="0"/>
        <w:autoSpaceDN/>
        <w:spacing w:after="0" w:line="240" w:lineRule="auto"/>
        <w:jc w:val="both"/>
        <w:textAlignment w:val="auto"/>
        <w:rPr>
          <w:noProof/>
        </w:rPr>
      </w:pPr>
      <w:r>
        <w:rPr>
          <w:noProof/>
        </w:rPr>
        <w:t>5.1.2. Cluster on migration</w:t>
      </w:r>
    </w:p>
    <w:p w:rsidR="003A1527" w:rsidRDefault="003A1527">
      <w:pPr>
        <w:pStyle w:val="AppendixH1"/>
        <w:numPr>
          <w:ilvl w:val="0"/>
          <w:numId w:val="0"/>
        </w:numPr>
        <w:suppressAutoHyphens w:val="0"/>
        <w:autoSpaceDN/>
        <w:spacing w:after="0" w:line="240" w:lineRule="auto"/>
        <w:jc w:val="both"/>
        <w:textAlignment w:val="auto"/>
        <w:rPr>
          <w:noProof/>
        </w:rPr>
      </w:pPr>
    </w:p>
    <w:p w:rsidR="003A1527" w:rsidRDefault="00742A12">
      <w:pPr>
        <w:pStyle w:val="AppendixH1"/>
        <w:numPr>
          <w:ilvl w:val="0"/>
          <w:numId w:val="0"/>
        </w:numPr>
        <w:spacing w:after="0" w:line="240" w:lineRule="auto"/>
        <w:jc w:val="both"/>
        <w:rPr>
          <w:b w:val="0"/>
          <w:noProof/>
        </w:rPr>
      </w:pPr>
      <w:r>
        <w:rPr>
          <w:b w:val="0"/>
          <w:noProof/>
        </w:rPr>
        <w:t>The OPC on migration gathered 350 responses, of which 185 come from organisations and 165 from individuals. Similarly to the respondents on cohesion policy, the majority (57%) of participants working with the European Structural and Investment Funds (inclu</w:t>
      </w:r>
      <w:r>
        <w:rPr>
          <w:b w:val="0"/>
          <w:noProof/>
        </w:rPr>
        <w:t xml:space="preserve">ding the ESF) believe that EU funding in the area of migration </w:t>
      </w:r>
      <w:r>
        <w:rPr>
          <w:noProof/>
        </w:rPr>
        <w:t>add value</w:t>
      </w:r>
      <w:r>
        <w:rPr>
          <w:b w:val="0"/>
          <w:noProof/>
        </w:rPr>
        <w:t xml:space="preserve"> compared to what Member States could achieve without EU funding to a large extent (23.7%) or to a fairly large extent (33.3%). For example, ‘’</w:t>
      </w:r>
      <w:r>
        <w:rPr>
          <w:b w:val="0"/>
          <w:i/>
          <w:noProof/>
        </w:rPr>
        <w:t>ESF measures such as social inclusion, tr</w:t>
      </w:r>
      <w:r>
        <w:rPr>
          <w:b w:val="0"/>
          <w:i/>
          <w:noProof/>
        </w:rPr>
        <w:t>aining and education are also available to help people becoming independent in managing their accommodation and budget’’</w:t>
      </w:r>
      <w:r>
        <w:rPr>
          <w:b w:val="0"/>
          <w:noProof/>
        </w:rPr>
        <w:t>, ‘</w:t>
      </w:r>
      <w:r>
        <w:rPr>
          <w:b w:val="0"/>
          <w:i/>
          <w:noProof/>
        </w:rPr>
        <w:t>’the ESF and the ERDF have strengthened interdepartmental cooperation contributing to the integration of recently arrived migrants’’</w:t>
      </w:r>
      <w:r>
        <w:rPr>
          <w:b w:val="0"/>
          <w:noProof/>
        </w:rPr>
        <w:t xml:space="preserve"> </w:t>
      </w:r>
      <w:r>
        <w:rPr>
          <w:b w:val="0"/>
          <w:noProof/>
        </w:rPr>
        <w:t>and ‘</w:t>
      </w:r>
      <w:r>
        <w:rPr>
          <w:b w:val="0"/>
          <w:i/>
          <w:noProof/>
        </w:rPr>
        <w:t>’ESF-funded organisations achieve independence from local, regional and national political actors and agendas and can thus operate as fully-fledged civil society agents’</w:t>
      </w:r>
      <w:r>
        <w:rPr>
          <w:b w:val="0"/>
          <w:noProof/>
        </w:rPr>
        <w:t xml:space="preserve">’. The main </w:t>
      </w:r>
      <w:r>
        <w:rPr>
          <w:noProof/>
        </w:rPr>
        <w:t>policy challenges</w:t>
      </w:r>
      <w:r>
        <w:rPr>
          <w:b w:val="0"/>
          <w:noProof/>
        </w:rPr>
        <w:t xml:space="preserve"> that the Funds in this area should address are suppo</w:t>
      </w:r>
      <w:r>
        <w:rPr>
          <w:b w:val="0"/>
          <w:noProof/>
        </w:rPr>
        <w:t xml:space="preserve">rting Member States’ work to accept and integrate migrants; meeting the reception needs of asylum seekers, refugees and other migrants; and ensuring solidarity with Member States facing the greatest migration pressure. However respondents see the </w:t>
      </w:r>
      <w:r>
        <w:rPr>
          <w:noProof/>
        </w:rPr>
        <w:t>main obst</w:t>
      </w:r>
      <w:r>
        <w:rPr>
          <w:noProof/>
        </w:rPr>
        <w:t>acles</w:t>
      </w:r>
      <w:r>
        <w:rPr>
          <w:b w:val="0"/>
          <w:noProof/>
        </w:rPr>
        <w:t xml:space="preserve"> which prevent the funds from successfully achieving their objectives, the complexity of rules and high administrative burden, the lack of flexibility to respond to changing circumstances and difficulty in combining EU and national/regional interventi</w:t>
      </w:r>
      <w:r>
        <w:rPr>
          <w:b w:val="0"/>
          <w:noProof/>
        </w:rPr>
        <w:t xml:space="preserve">ons. The main measures selected by respondents for reducing beneficiaries’ administrative burden are clearer rules and simplified procedures, simpler access to funding, wider scope for interventions able to be funded. </w:t>
      </w:r>
    </w:p>
    <w:p w:rsidR="003A1527" w:rsidRDefault="003A1527">
      <w:pPr>
        <w:pStyle w:val="AppendixH1"/>
        <w:numPr>
          <w:ilvl w:val="0"/>
          <w:numId w:val="0"/>
        </w:numPr>
        <w:spacing w:after="0" w:line="240" w:lineRule="auto"/>
        <w:jc w:val="both"/>
        <w:rPr>
          <w:b w:val="0"/>
          <w:noProof/>
        </w:rPr>
      </w:pPr>
    </w:p>
    <w:p w:rsidR="003A1527" w:rsidRDefault="00742A12">
      <w:pPr>
        <w:pStyle w:val="AppendixH1"/>
        <w:numPr>
          <w:ilvl w:val="0"/>
          <w:numId w:val="0"/>
        </w:numPr>
        <w:spacing w:after="0" w:line="240" w:lineRule="auto"/>
        <w:jc w:val="both"/>
        <w:rPr>
          <w:noProof/>
        </w:rPr>
      </w:pPr>
      <w:r>
        <w:rPr>
          <w:noProof/>
        </w:rPr>
        <w:t>5.1.3</w:t>
      </w:r>
      <w:r>
        <w:rPr>
          <w:noProof/>
        </w:rPr>
        <w:tab/>
        <w:t>Cluster on 'investment, resear</w:t>
      </w:r>
      <w:r>
        <w:rPr>
          <w:noProof/>
        </w:rPr>
        <w:t>ch &amp; innovation' and 'values and mobility' (EaSI relevant)</w:t>
      </w:r>
    </w:p>
    <w:p w:rsidR="003A1527" w:rsidRDefault="003A1527">
      <w:pPr>
        <w:pStyle w:val="AppendixH1"/>
        <w:numPr>
          <w:ilvl w:val="0"/>
          <w:numId w:val="0"/>
        </w:numPr>
        <w:spacing w:after="0" w:line="240" w:lineRule="auto"/>
        <w:jc w:val="both"/>
        <w:rPr>
          <w:noProof/>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127 respondents having experience of the EaSI in the OPC</w:t>
      </w:r>
      <w:r>
        <w:rPr>
          <w:rFonts w:ascii="Times New Roman" w:hAnsi="Times New Roman"/>
          <w:noProof/>
          <w:sz w:val="24"/>
        </w:rPr>
        <w:t xml:space="preserve"> on </w:t>
      </w:r>
      <w:r>
        <w:rPr>
          <w:rFonts w:ascii="Times New Roman" w:hAnsi="Times New Roman" w:cs="Times New Roman"/>
          <w:noProof/>
          <w:sz w:val="24"/>
          <w:szCs w:val="24"/>
        </w:rPr>
        <w:t>'</w:t>
      </w:r>
      <w:r>
        <w:rPr>
          <w:rFonts w:ascii="Times New Roman" w:hAnsi="Times New Roman"/>
          <w:noProof/>
          <w:sz w:val="24"/>
        </w:rPr>
        <w:t xml:space="preserve"> investment, research &amp; innovation, SMEs and single </w:t>
      </w:r>
      <w:r>
        <w:rPr>
          <w:rFonts w:ascii="Times New Roman" w:hAnsi="Times New Roman" w:cs="Times New Roman"/>
          <w:noProof/>
          <w:sz w:val="24"/>
          <w:szCs w:val="24"/>
        </w:rPr>
        <w:t>market’ suggest that the microfinance fund of EaSI could be transferred to othe</w:t>
      </w:r>
      <w:r>
        <w:rPr>
          <w:rFonts w:ascii="Times New Roman" w:hAnsi="Times New Roman" w:cs="Times New Roman"/>
          <w:noProof/>
          <w:sz w:val="24"/>
          <w:szCs w:val="24"/>
        </w:rPr>
        <w:t xml:space="preserve">r instruments that promote entrepreneurship (loan, guarantee) as a separate social strand/priority.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90 </w:t>
      </w:r>
      <w:r>
        <w:rPr>
          <w:rFonts w:ascii="Times New Roman" w:hAnsi="Times New Roman"/>
          <w:noProof/>
          <w:sz w:val="24"/>
        </w:rPr>
        <w:t>respondents</w:t>
      </w:r>
      <w:r>
        <w:rPr>
          <w:rFonts w:ascii="Times New Roman" w:hAnsi="Times New Roman" w:cs="Times New Roman"/>
          <w:noProof/>
          <w:sz w:val="24"/>
          <w:szCs w:val="24"/>
        </w:rPr>
        <w:t xml:space="preserve"> who had experience with 'mobility' related EaSI actions noted that a future umbrella fund for human capital should maintain the direct m</w:t>
      </w:r>
      <w:r>
        <w:rPr>
          <w:rFonts w:ascii="Times New Roman" w:hAnsi="Times New Roman" w:cs="Times New Roman"/>
          <w:noProof/>
          <w:sz w:val="24"/>
          <w:szCs w:val="24"/>
        </w:rPr>
        <w:t xml:space="preserve">anagement of EaSI as it is the only way to ensure that EURES border partnerships can continue to implement cross-border activities. </w:t>
      </w:r>
    </w:p>
    <w:p w:rsidR="003A1527" w:rsidRDefault="003A1527">
      <w:pPr>
        <w:pStyle w:val="AppendixH1"/>
        <w:numPr>
          <w:ilvl w:val="0"/>
          <w:numId w:val="0"/>
        </w:numPr>
        <w:spacing w:after="0" w:line="240" w:lineRule="auto"/>
        <w:jc w:val="both"/>
        <w:rPr>
          <w:noProof/>
        </w:rPr>
      </w:pPr>
    </w:p>
    <w:p w:rsidR="003A1527" w:rsidRDefault="00742A12">
      <w:pPr>
        <w:pStyle w:val="AppendixH1"/>
        <w:numPr>
          <w:ilvl w:val="0"/>
          <w:numId w:val="0"/>
        </w:numPr>
        <w:spacing w:after="0" w:line="240" w:lineRule="auto"/>
        <w:jc w:val="both"/>
        <w:rPr>
          <w:noProof/>
        </w:rPr>
      </w:pPr>
      <w:r>
        <w:rPr>
          <w:noProof/>
        </w:rPr>
        <w:t>5.1.4 Open public consultation (OPC) on the FEAD mid-term evaluation</w:t>
      </w:r>
    </w:p>
    <w:p w:rsidR="003A1527" w:rsidRDefault="003A1527">
      <w:pPr>
        <w:pStyle w:val="AppendixH1"/>
        <w:numPr>
          <w:ilvl w:val="0"/>
          <w:numId w:val="0"/>
        </w:numPr>
        <w:spacing w:after="0" w:line="240" w:lineRule="auto"/>
        <w:jc w:val="both"/>
        <w:rPr>
          <w:b w:val="0"/>
          <w:noProof/>
        </w:rPr>
      </w:pPr>
    </w:p>
    <w:p w:rsidR="003A1527" w:rsidRDefault="00742A12">
      <w:pPr>
        <w:pStyle w:val="AppendixH1"/>
        <w:numPr>
          <w:ilvl w:val="0"/>
          <w:numId w:val="0"/>
        </w:numPr>
        <w:spacing w:after="0" w:line="240" w:lineRule="auto"/>
        <w:jc w:val="both"/>
        <w:rPr>
          <w:b w:val="0"/>
          <w:noProof/>
        </w:rPr>
      </w:pPr>
      <w:r>
        <w:rPr>
          <w:b w:val="0"/>
          <w:noProof/>
        </w:rPr>
        <w:t xml:space="preserve">The OPC conducted in the framework of FEAD mid-term </w:t>
      </w:r>
      <w:r>
        <w:rPr>
          <w:b w:val="0"/>
          <w:noProof/>
        </w:rPr>
        <w:t>evaluation points to a broad agreement (93%) that supported activities make a difference to the most deprived, reaching the target groups (76%) and especially children at risk of poverty (79% OP I). The large number of responses to the OPC points to the re</w:t>
      </w:r>
      <w:r>
        <w:rPr>
          <w:b w:val="0"/>
          <w:noProof/>
        </w:rPr>
        <w:t>latively high visibility of the fund. These results were confirmed also by other fora such as focus groups conducted in the framework of mid-term evaluation that stressed necessity of maintaining the fund’s flexibility and established delivery networks.</w:t>
      </w:r>
    </w:p>
    <w:p w:rsidR="003A1527" w:rsidRDefault="003A1527">
      <w:pPr>
        <w:pStyle w:val="AppendixH1"/>
        <w:numPr>
          <w:ilvl w:val="0"/>
          <w:numId w:val="0"/>
        </w:numPr>
        <w:spacing w:after="0" w:line="240" w:lineRule="auto"/>
        <w:jc w:val="both"/>
        <w:rPr>
          <w:b w:val="0"/>
          <w:noProof/>
        </w:rPr>
      </w:pPr>
    </w:p>
    <w:p w:rsidR="003A1527" w:rsidRDefault="00742A12">
      <w:pPr>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5.1.5. Open public consultation on the EaSI mid-term evaluation </w:t>
      </w:r>
    </w:p>
    <w:p w:rsidR="003A1527" w:rsidRDefault="00742A12">
      <w:pPr>
        <w:spacing w:line="240" w:lineRule="auto"/>
        <w:jc w:val="both"/>
        <w:rPr>
          <w:noProof/>
        </w:rPr>
      </w:pPr>
      <w:r>
        <w:rPr>
          <w:rFonts w:ascii="Times New Roman" w:hAnsi="Times New Roman" w:cs="Times New Roman"/>
          <w:bCs/>
          <w:iCs/>
          <w:noProof/>
          <w:sz w:val="24"/>
          <w:szCs w:val="24"/>
        </w:rPr>
        <w:t>EaSI's EU added value is widely acknowledged by respondents. I</w:t>
      </w:r>
      <w:r>
        <w:rPr>
          <w:rFonts w:ascii="Times New Roman" w:hAnsi="Times New Roman" w:cs="Times New Roman"/>
          <w:noProof/>
          <w:sz w:val="24"/>
          <w:szCs w:val="24"/>
        </w:rPr>
        <w:t>t is considered that, while the main responsibility for developing labour market and social policies lies with the Member States,</w:t>
      </w:r>
      <w:r>
        <w:rPr>
          <w:rFonts w:ascii="Times New Roman" w:hAnsi="Times New Roman" w:cs="Times New Roman"/>
          <w:noProof/>
          <w:sz w:val="24"/>
          <w:szCs w:val="24"/>
        </w:rPr>
        <w:t xml:space="preserve"> the EU brings added value to their actions by acting as a catalyst and facilitator to trigger national reforms in support of the EU common objectives and priorities laid down in the Europe 2020 strategy. Efficiency could be improved by allocating t</w:t>
      </w:r>
      <w:r>
        <w:rPr>
          <w:rFonts w:ascii="Times New Roman" w:hAnsi="Times New Roman" w:cs="Times New Roman"/>
          <w:bCs/>
          <w:iCs/>
          <w:noProof/>
          <w:sz w:val="24"/>
          <w:szCs w:val="24"/>
        </w:rPr>
        <w:t>he fina</w:t>
      </w:r>
      <w:r>
        <w:rPr>
          <w:rFonts w:ascii="Times New Roman" w:hAnsi="Times New Roman" w:cs="Times New Roman"/>
          <w:bCs/>
          <w:iCs/>
          <w:noProof/>
          <w:sz w:val="24"/>
          <w:szCs w:val="24"/>
        </w:rPr>
        <w:t xml:space="preserve">ncial resources more equitably and coherently between and within the three axes. </w:t>
      </w:r>
    </w:p>
    <w:p w:rsidR="003A1527" w:rsidRDefault="00742A12">
      <w:pPr>
        <w:pStyle w:val="AppendixH1"/>
        <w:numPr>
          <w:ilvl w:val="0"/>
          <w:numId w:val="0"/>
        </w:numPr>
        <w:spacing w:line="240" w:lineRule="auto"/>
        <w:jc w:val="both"/>
        <w:rPr>
          <w:noProof/>
        </w:rPr>
      </w:pPr>
      <w:r>
        <w:rPr>
          <w:noProof/>
        </w:rPr>
        <w:t>5.2. Focus groups</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Participants suggested that the limited evidence on indirect and multiplier effects leads to an underestimation of Funds’ </w:t>
      </w:r>
      <w:r>
        <w:rPr>
          <w:rFonts w:ascii="Times New Roman" w:hAnsi="Times New Roman" w:cstheme="minorHAnsi"/>
          <w:b/>
          <w:noProof/>
          <w:sz w:val="24"/>
          <w:szCs w:val="24"/>
        </w:rPr>
        <w:t>European Added Value</w:t>
      </w:r>
      <w:r>
        <w:rPr>
          <w:rFonts w:ascii="Times New Roman" w:hAnsi="Times New Roman" w:cstheme="minorHAnsi"/>
          <w:noProof/>
          <w:sz w:val="24"/>
          <w:szCs w:val="24"/>
        </w:rPr>
        <w:t xml:space="preserve">, which is in </w:t>
      </w:r>
      <w:r>
        <w:rPr>
          <w:rFonts w:ascii="Times New Roman" w:hAnsi="Times New Roman" w:cstheme="minorHAnsi"/>
          <w:noProof/>
          <w:sz w:val="24"/>
          <w:szCs w:val="24"/>
        </w:rPr>
        <w:t xml:space="preserve">fact significant. Investment action at EU level contributing to upward social convergence is necessary for the well-functioning of the Single Market, and results in welfare system savings. Further </w:t>
      </w:r>
      <w:r>
        <w:rPr>
          <w:rFonts w:ascii="Times New Roman" w:hAnsi="Times New Roman" w:cstheme="minorHAnsi"/>
          <w:b/>
          <w:noProof/>
          <w:sz w:val="24"/>
          <w:szCs w:val="24"/>
        </w:rPr>
        <w:t xml:space="preserve">alignment between EU policy and funding </w:t>
      </w:r>
      <w:r>
        <w:rPr>
          <w:rFonts w:ascii="Times New Roman" w:hAnsi="Times New Roman" w:cstheme="minorHAnsi"/>
          <w:noProof/>
          <w:sz w:val="24"/>
          <w:szCs w:val="24"/>
        </w:rPr>
        <w:t xml:space="preserve">would increase the </w:t>
      </w:r>
      <w:r>
        <w:rPr>
          <w:rFonts w:ascii="Times New Roman" w:hAnsi="Times New Roman" w:cstheme="minorHAnsi"/>
          <w:noProof/>
          <w:sz w:val="24"/>
          <w:szCs w:val="24"/>
        </w:rPr>
        <w:t>EAV</w:t>
      </w:r>
      <w:r>
        <w:rPr>
          <w:rFonts w:ascii="Times New Roman" w:hAnsi="Times New Roman" w:cstheme="minorHAnsi"/>
          <w:b/>
          <w:noProof/>
          <w:sz w:val="24"/>
          <w:szCs w:val="24"/>
        </w:rPr>
        <w:t>.</w:t>
      </w:r>
      <w:r>
        <w:rPr>
          <w:rFonts w:ascii="Times New Roman" w:hAnsi="Times New Roman" w:cstheme="minorHAnsi"/>
          <w:noProof/>
          <w:sz w:val="24"/>
          <w:szCs w:val="24"/>
        </w:rPr>
        <w:t xml:space="preserve"> It is believed that without alignment, certain targets groups are at risk of not being targeted for political reasons (e.g. migrants, LGTB, Roma, people with disabilities). Participants stressed that social inclusion should not be neglected at the exp</w:t>
      </w:r>
      <w:r>
        <w:rPr>
          <w:rFonts w:ascii="Times New Roman" w:hAnsi="Times New Roman" w:cstheme="minorHAnsi"/>
          <w:noProof/>
          <w:sz w:val="24"/>
          <w:szCs w:val="24"/>
        </w:rPr>
        <w:t xml:space="preserve">ense of employment measures.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In this regard, the current use of </w:t>
      </w:r>
      <w:r>
        <w:rPr>
          <w:rFonts w:ascii="Times New Roman" w:hAnsi="Times New Roman" w:cstheme="minorHAnsi"/>
          <w:b/>
          <w:i/>
          <w:noProof/>
          <w:sz w:val="24"/>
          <w:szCs w:val="24"/>
        </w:rPr>
        <w:t>ex-ante</w:t>
      </w:r>
      <w:r>
        <w:rPr>
          <w:rFonts w:ascii="Times New Roman" w:hAnsi="Times New Roman" w:cstheme="minorHAnsi"/>
          <w:b/>
          <w:noProof/>
          <w:sz w:val="24"/>
          <w:szCs w:val="24"/>
        </w:rPr>
        <w:t xml:space="preserve"> conditionalities,</w:t>
      </w:r>
      <w:r>
        <w:rPr>
          <w:rFonts w:ascii="Times New Roman" w:hAnsi="Times New Roman" w:cstheme="minorHAnsi"/>
          <w:noProof/>
          <w:sz w:val="24"/>
          <w:szCs w:val="24"/>
        </w:rPr>
        <w:t xml:space="preserve"> while important, was seen as sufficient or even too high and it was suggested to limit their use to fund-specific issues. </w:t>
      </w:r>
      <w:r>
        <w:rPr>
          <w:rFonts w:ascii="Times New Roman" w:hAnsi="Times New Roman" w:cstheme="minorHAnsi"/>
          <w:i/>
          <w:noProof/>
          <w:sz w:val="24"/>
          <w:szCs w:val="24"/>
        </w:rPr>
        <w:t>Ex-ante</w:t>
      </w:r>
      <w:r>
        <w:rPr>
          <w:rFonts w:ascii="Times New Roman" w:hAnsi="Times New Roman" w:cstheme="minorHAnsi"/>
          <w:noProof/>
          <w:sz w:val="24"/>
          <w:szCs w:val="24"/>
        </w:rPr>
        <w:t xml:space="preserve"> conditionalities of a more general </w:t>
      </w:r>
      <w:r>
        <w:rPr>
          <w:rFonts w:ascii="Times New Roman" w:hAnsi="Times New Roman" w:cstheme="minorHAnsi"/>
          <w:noProof/>
          <w:sz w:val="24"/>
          <w:szCs w:val="24"/>
        </w:rPr>
        <w:t xml:space="preserve">nature raise questions of subsidiarity. It was also stated that </w:t>
      </w:r>
      <w:r>
        <w:rPr>
          <w:rFonts w:ascii="Times New Roman" w:hAnsi="Times New Roman" w:cstheme="minorHAnsi"/>
          <w:i/>
          <w:noProof/>
          <w:sz w:val="24"/>
          <w:szCs w:val="24"/>
        </w:rPr>
        <w:t>ex-ante</w:t>
      </w:r>
      <w:r>
        <w:rPr>
          <w:rFonts w:ascii="Times New Roman" w:hAnsi="Times New Roman" w:cstheme="minorHAnsi"/>
          <w:noProof/>
          <w:sz w:val="24"/>
          <w:szCs w:val="24"/>
        </w:rPr>
        <w:t xml:space="preserve"> conditionalities should be improved by having more time for production and implementation (‘rolling </w:t>
      </w:r>
      <w:r>
        <w:rPr>
          <w:rFonts w:ascii="Times New Roman" w:hAnsi="Times New Roman" w:cstheme="minorHAnsi"/>
          <w:i/>
          <w:noProof/>
          <w:sz w:val="24"/>
          <w:szCs w:val="24"/>
        </w:rPr>
        <w:t>ex-ante</w:t>
      </w:r>
      <w:r>
        <w:rPr>
          <w:rFonts w:ascii="Times New Roman" w:hAnsi="Times New Roman" w:cstheme="minorHAnsi"/>
          <w:noProof/>
          <w:sz w:val="24"/>
          <w:szCs w:val="24"/>
        </w:rPr>
        <w:t xml:space="preserve"> conditionalities’) and more stakeholder involvement, so that they do not rem</w:t>
      </w:r>
      <w:r>
        <w:rPr>
          <w:rFonts w:ascii="Times New Roman" w:hAnsi="Times New Roman" w:cstheme="minorHAnsi"/>
          <w:noProof/>
          <w:sz w:val="24"/>
          <w:szCs w:val="24"/>
        </w:rPr>
        <w:t xml:space="preserve">ain a box-ticking exercise. Further on aligning policy and funding, strengthening the link between the funds and </w:t>
      </w:r>
      <w:r>
        <w:rPr>
          <w:rFonts w:ascii="Times New Roman" w:hAnsi="Times New Roman" w:cstheme="minorHAnsi"/>
          <w:b/>
          <w:noProof/>
          <w:sz w:val="24"/>
          <w:szCs w:val="24"/>
        </w:rPr>
        <w:t>the European Semester</w:t>
      </w:r>
      <w:r>
        <w:rPr>
          <w:rFonts w:ascii="Times New Roman" w:hAnsi="Times New Roman" w:cstheme="minorHAnsi"/>
          <w:noProof/>
          <w:sz w:val="24"/>
          <w:szCs w:val="24"/>
        </w:rPr>
        <w:t xml:space="preserve"> requires paying greater attention to CSRs’ impact on social goals (e.g. need for accompanying social impact assessment). </w:t>
      </w:r>
      <w:r>
        <w:rPr>
          <w:rFonts w:ascii="Times New Roman" w:hAnsi="Times New Roman" w:cstheme="minorHAnsi"/>
          <w:noProof/>
          <w:sz w:val="24"/>
          <w:szCs w:val="24"/>
        </w:rPr>
        <w:t xml:space="preserve">Regarding </w:t>
      </w:r>
      <w:r>
        <w:rPr>
          <w:rFonts w:ascii="Times New Roman" w:hAnsi="Times New Roman" w:cstheme="minorHAnsi"/>
          <w:b/>
          <w:noProof/>
          <w:sz w:val="24"/>
          <w:szCs w:val="24"/>
        </w:rPr>
        <w:t>allocation</w:t>
      </w:r>
      <w:r>
        <w:rPr>
          <w:rFonts w:ascii="Times New Roman" w:hAnsi="Times New Roman" w:cstheme="minorHAnsi"/>
          <w:noProof/>
          <w:sz w:val="24"/>
          <w:szCs w:val="24"/>
        </w:rPr>
        <w:t>, it was stated that GDP has its limitations as an indicator for poverty as a rich country can still have ‘pockets of poverty’. Adding social indicators could help increase the focus on social policy objectives.</w:t>
      </w:r>
    </w:p>
    <w:p w:rsidR="003A1527" w:rsidRDefault="003A1527">
      <w:pPr>
        <w:pStyle w:val="bullet1"/>
        <w:numPr>
          <w:ilvl w:val="0"/>
          <w:numId w:val="0"/>
        </w:numPr>
        <w:spacing w:line="240" w:lineRule="auto"/>
        <w:rPr>
          <w:rFonts w:ascii="Times New Roman" w:hAnsi="Times New Roman" w:cstheme="minorHAnsi"/>
          <w:noProof/>
          <w:sz w:val="24"/>
          <w:szCs w:val="24"/>
        </w:rPr>
      </w:pP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b/>
          <w:noProof/>
          <w:sz w:val="24"/>
          <w:szCs w:val="24"/>
        </w:rPr>
        <w:t xml:space="preserve">Simplification </w:t>
      </w:r>
      <w:r>
        <w:rPr>
          <w:rFonts w:ascii="Times New Roman" w:hAnsi="Times New Roman" w:cstheme="minorHAnsi"/>
          <w:noProof/>
          <w:sz w:val="24"/>
          <w:szCs w:val="24"/>
        </w:rPr>
        <w:t>was a</w:t>
      </w:r>
      <w:r>
        <w:rPr>
          <w:rFonts w:ascii="Times New Roman" w:hAnsi="Times New Roman" w:cstheme="minorHAnsi"/>
          <w:b/>
          <w:noProof/>
          <w:sz w:val="24"/>
          <w:szCs w:val="24"/>
        </w:rPr>
        <w:t xml:space="preserve"> </w:t>
      </w:r>
      <w:r>
        <w:rPr>
          <w:rFonts w:ascii="Times New Roman" w:hAnsi="Times New Roman" w:cstheme="minorHAnsi"/>
          <w:noProof/>
          <w:sz w:val="24"/>
          <w:szCs w:val="24"/>
        </w:rPr>
        <w:t>ma</w:t>
      </w:r>
      <w:r>
        <w:rPr>
          <w:rFonts w:ascii="Times New Roman" w:hAnsi="Times New Roman" w:cstheme="minorHAnsi"/>
          <w:noProof/>
          <w:sz w:val="24"/>
          <w:szCs w:val="24"/>
        </w:rPr>
        <w:t>in concern for ESF stakeholders.</w:t>
      </w:r>
      <w:r>
        <w:rPr>
          <w:rFonts w:ascii="Times New Roman" w:hAnsi="Times New Roman" w:cstheme="minorHAnsi"/>
          <w:b/>
          <w:noProof/>
          <w:sz w:val="24"/>
          <w:szCs w:val="24"/>
        </w:rPr>
        <w:t xml:space="preserve"> </w:t>
      </w:r>
      <w:r>
        <w:rPr>
          <w:rFonts w:ascii="Times New Roman" w:hAnsi="Times New Roman" w:cstheme="minorHAnsi"/>
          <w:noProof/>
          <w:sz w:val="24"/>
          <w:szCs w:val="24"/>
        </w:rPr>
        <w:t>It was stressed that administrative burden risks emphasising compliance rather than results.</w:t>
      </w:r>
      <w:r>
        <w:rPr>
          <w:rFonts w:ascii="Times New Roman" w:hAnsi="Times New Roman" w:cstheme="minorHAnsi"/>
          <w:b/>
          <w:noProof/>
          <w:sz w:val="24"/>
          <w:szCs w:val="24"/>
        </w:rPr>
        <w:t xml:space="preserve"> </w:t>
      </w:r>
      <w:r>
        <w:rPr>
          <w:rFonts w:ascii="Times New Roman" w:hAnsi="Times New Roman" w:cstheme="minorHAnsi"/>
          <w:noProof/>
          <w:sz w:val="24"/>
          <w:szCs w:val="24"/>
        </w:rPr>
        <w:t>Simplifications in the area of</w:t>
      </w:r>
      <w:r>
        <w:rPr>
          <w:rFonts w:ascii="Times New Roman" w:hAnsi="Times New Roman" w:cstheme="minorHAnsi"/>
          <w:b/>
          <w:noProof/>
          <w:sz w:val="24"/>
          <w:szCs w:val="24"/>
        </w:rPr>
        <w:t xml:space="preserve"> audit and control</w:t>
      </w:r>
      <w:r>
        <w:rPr>
          <w:rFonts w:ascii="Times New Roman" w:hAnsi="Times New Roman" w:cstheme="minorHAnsi"/>
          <w:noProof/>
          <w:sz w:val="24"/>
          <w:szCs w:val="24"/>
        </w:rPr>
        <w:t xml:space="preserve"> are likely to generate to largest impacts on the reduction of this burden, especi</w:t>
      </w:r>
      <w:r>
        <w:rPr>
          <w:rFonts w:ascii="Times New Roman" w:hAnsi="Times New Roman" w:cstheme="minorHAnsi"/>
          <w:noProof/>
          <w:sz w:val="24"/>
          <w:szCs w:val="24"/>
        </w:rPr>
        <w:t xml:space="preserve">ally for the ESF. There was support for the single audit principle. </w:t>
      </w:r>
      <w:r>
        <w:rPr>
          <w:rFonts w:ascii="Times New Roman" w:hAnsi="Times New Roman" w:cstheme="minorHAnsi"/>
          <w:b/>
          <w:noProof/>
          <w:sz w:val="24"/>
          <w:szCs w:val="24"/>
        </w:rPr>
        <w:t>Monitoring</w:t>
      </w:r>
      <w:r>
        <w:rPr>
          <w:rFonts w:ascii="Times New Roman" w:hAnsi="Times New Roman" w:cstheme="minorHAnsi"/>
          <w:noProof/>
          <w:sz w:val="24"/>
          <w:szCs w:val="24"/>
        </w:rPr>
        <w:t xml:space="preserve"> requirements are seen as disproportionate to what they intend to measure. </w:t>
      </w:r>
      <w:r>
        <w:rPr>
          <w:rFonts w:ascii="Times New Roman" w:hAnsi="Times New Roman" w:cstheme="minorHAnsi"/>
          <w:bCs w:val="0"/>
          <w:noProof/>
          <w:sz w:val="24"/>
          <w:szCs w:val="24"/>
        </w:rPr>
        <w:t xml:space="preserve">A lack of </w:t>
      </w:r>
      <w:r>
        <w:rPr>
          <w:rFonts w:ascii="Times New Roman" w:hAnsi="Times New Roman" w:cstheme="minorHAnsi"/>
          <w:b/>
          <w:bCs w:val="0"/>
          <w:noProof/>
          <w:sz w:val="24"/>
          <w:szCs w:val="24"/>
        </w:rPr>
        <w:t>flexibility</w:t>
      </w:r>
      <w:r>
        <w:rPr>
          <w:rFonts w:ascii="Times New Roman" w:hAnsi="Times New Roman" w:cstheme="minorHAnsi"/>
          <w:bCs w:val="0"/>
          <w:noProof/>
          <w:sz w:val="24"/>
          <w:szCs w:val="24"/>
        </w:rPr>
        <w:t xml:space="preserve"> in programming hampers Funds’ ability to address new needs if these are emerging. More flexibility of programming would be particular important for objectives setting, types of interventions as well as the adjustment of indicators’ and targets. </w:t>
      </w:r>
      <w:r>
        <w:rPr>
          <w:rFonts w:ascii="Times New Roman" w:hAnsi="Times New Roman" w:cstheme="minorHAnsi"/>
          <w:b/>
          <w:noProof/>
          <w:sz w:val="24"/>
          <w:szCs w:val="24"/>
        </w:rPr>
        <w:t>Simplified</w:t>
      </w:r>
      <w:r>
        <w:rPr>
          <w:rFonts w:ascii="Times New Roman" w:hAnsi="Times New Roman" w:cstheme="minorHAnsi"/>
          <w:b/>
          <w:noProof/>
          <w:sz w:val="24"/>
          <w:szCs w:val="24"/>
        </w:rPr>
        <w:t xml:space="preserve"> cost options</w:t>
      </w:r>
      <w:r>
        <w:rPr>
          <w:rFonts w:ascii="Times New Roman" w:hAnsi="Times New Roman" w:cstheme="minorHAnsi"/>
          <w:noProof/>
          <w:sz w:val="24"/>
          <w:szCs w:val="24"/>
        </w:rPr>
        <w:t xml:space="preserve"> were reported to work well.</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While the need for some change is recognised, </w:t>
      </w:r>
      <w:r>
        <w:rPr>
          <w:rFonts w:ascii="Times New Roman" w:hAnsi="Times New Roman" w:cstheme="minorHAnsi"/>
          <w:b/>
          <w:noProof/>
          <w:sz w:val="24"/>
          <w:szCs w:val="24"/>
        </w:rPr>
        <w:t>continuity</w:t>
      </w:r>
      <w:r>
        <w:rPr>
          <w:rFonts w:ascii="Times New Roman" w:hAnsi="Times New Roman" w:cstheme="minorHAnsi"/>
          <w:noProof/>
          <w:sz w:val="24"/>
          <w:szCs w:val="24"/>
        </w:rPr>
        <w:t xml:space="preserve"> </w:t>
      </w:r>
      <w:r>
        <w:rPr>
          <w:rFonts w:ascii="Times New Roman" w:hAnsi="Times New Roman" w:cstheme="minorHAnsi"/>
          <w:b/>
          <w:noProof/>
          <w:sz w:val="24"/>
          <w:szCs w:val="24"/>
        </w:rPr>
        <w:t xml:space="preserve">is preferred </w:t>
      </w:r>
      <w:r>
        <w:rPr>
          <w:rFonts w:ascii="Times New Roman" w:hAnsi="Times New Roman" w:cstheme="minorHAnsi"/>
          <w:noProof/>
          <w:sz w:val="24"/>
          <w:szCs w:val="24"/>
        </w:rPr>
        <w:t xml:space="preserve">(“evolution, not revolution”), e.g. the start of the next programming period should not require a </w:t>
      </w:r>
      <w:r>
        <w:rPr>
          <w:rFonts w:ascii="Times New Roman" w:hAnsi="Times New Roman" w:cstheme="minorHAnsi"/>
          <w:b/>
          <w:noProof/>
          <w:sz w:val="24"/>
          <w:szCs w:val="24"/>
        </w:rPr>
        <w:t>recertification and re-designation of the rele</w:t>
      </w:r>
      <w:r>
        <w:rPr>
          <w:rFonts w:ascii="Times New Roman" w:hAnsi="Times New Roman" w:cstheme="minorHAnsi"/>
          <w:b/>
          <w:noProof/>
          <w:sz w:val="24"/>
          <w:szCs w:val="24"/>
        </w:rPr>
        <w:t>vant national authorities</w:t>
      </w:r>
      <w:r>
        <w:rPr>
          <w:rFonts w:ascii="Times New Roman" w:hAnsi="Times New Roman" w:cstheme="minorHAnsi"/>
          <w:noProof/>
          <w:sz w:val="24"/>
          <w:szCs w:val="24"/>
        </w:rPr>
        <w:t xml:space="preserve">, if there is no clear reason to do so. The many changes introduced with the current programming period resulted in serious delays in implementation.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b/>
          <w:noProof/>
          <w:sz w:val="24"/>
          <w:szCs w:val="24"/>
        </w:rPr>
        <w:t>Payments based on results</w:t>
      </w:r>
      <w:r>
        <w:rPr>
          <w:rFonts w:ascii="Times New Roman" w:hAnsi="Times New Roman" w:cstheme="minorHAnsi"/>
          <w:noProof/>
          <w:sz w:val="24"/>
          <w:szCs w:val="24"/>
        </w:rPr>
        <w:t xml:space="preserve"> would be an incentive to ensure participation and comp</w:t>
      </w:r>
      <w:r>
        <w:rPr>
          <w:rFonts w:ascii="Times New Roman" w:hAnsi="Times New Roman" w:cstheme="minorHAnsi"/>
          <w:noProof/>
          <w:sz w:val="24"/>
          <w:szCs w:val="24"/>
        </w:rPr>
        <w:t>leting activities. But this may entail the risk of fraud, with beneficiaries inflating costs and/or exaggerating results.</w:t>
      </w:r>
      <w:r>
        <w:rPr>
          <w:rFonts w:ascii="Times New Roman" w:hAnsi="Times New Roman" w:cstheme="minorHAnsi"/>
          <w:bCs w:val="0"/>
          <w:noProof/>
          <w:sz w:val="24"/>
          <w:szCs w:val="24"/>
        </w:rPr>
        <w:t xml:space="preserve"> There needs to be a guarantee that human rights are respected when implementing the Funds. It was believed that this can be addressed </w:t>
      </w:r>
      <w:r>
        <w:rPr>
          <w:rFonts w:ascii="Times New Roman" w:hAnsi="Times New Roman" w:cstheme="minorHAnsi"/>
          <w:bCs w:val="0"/>
          <w:noProof/>
          <w:sz w:val="24"/>
          <w:szCs w:val="24"/>
        </w:rPr>
        <w:t xml:space="preserve">by a </w:t>
      </w:r>
      <w:r>
        <w:rPr>
          <w:rFonts w:ascii="Times New Roman" w:hAnsi="Times New Roman" w:cstheme="minorHAnsi"/>
          <w:b/>
          <w:bCs w:val="0"/>
          <w:noProof/>
          <w:sz w:val="24"/>
          <w:szCs w:val="24"/>
        </w:rPr>
        <w:t>stronger Commission</w:t>
      </w:r>
      <w:r>
        <w:rPr>
          <w:rFonts w:ascii="Times New Roman" w:hAnsi="Times New Roman" w:cstheme="minorHAnsi"/>
          <w:bCs w:val="0"/>
          <w:noProof/>
          <w:sz w:val="24"/>
          <w:szCs w:val="24"/>
        </w:rPr>
        <w:t xml:space="preserve"> </w:t>
      </w:r>
      <w:r>
        <w:rPr>
          <w:rFonts w:ascii="Times New Roman" w:hAnsi="Times New Roman" w:cstheme="minorHAnsi"/>
          <w:b/>
          <w:bCs w:val="0"/>
          <w:noProof/>
          <w:sz w:val="24"/>
          <w:szCs w:val="24"/>
        </w:rPr>
        <w:t>role in the monitoring committees</w:t>
      </w:r>
      <w:r>
        <w:rPr>
          <w:rFonts w:ascii="Times New Roman" w:hAnsi="Times New Roman" w:cstheme="minorHAnsi"/>
          <w:bCs w:val="0"/>
          <w:noProof/>
          <w:sz w:val="24"/>
          <w:szCs w:val="24"/>
        </w:rPr>
        <w:t>.</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b/>
          <w:noProof/>
          <w:sz w:val="24"/>
          <w:szCs w:val="24"/>
        </w:rPr>
        <w:t>Continued technical assistance</w:t>
      </w:r>
      <w:r>
        <w:rPr>
          <w:rFonts w:ascii="Times New Roman" w:hAnsi="Times New Roman" w:cstheme="minorHAnsi"/>
          <w:noProof/>
          <w:sz w:val="24"/>
          <w:szCs w:val="24"/>
        </w:rPr>
        <w:t xml:space="preserve"> can help MA to develop and manage activities for new or problematic target groups (e.g. NEETs, migrants). In the case of EaSI, the lack of technical assistance and/o</w:t>
      </w:r>
      <w:r>
        <w:rPr>
          <w:rFonts w:ascii="Times New Roman" w:hAnsi="Times New Roman" w:cstheme="minorHAnsi"/>
          <w:noProof/>
          <w:sz w:val="24"/>
          <w:szCs w:val="24"/>
        </w:rPr>
        <w:t xml:space="preserve">r of an online platform is considered a problem for implementation and increasing the administrative burden.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b/>
          <w:noProof/>
          <w:sz w:val="24"/>
          <w:szCs w:val="24"/>
        </w:rPr>
        <w:t xml:space="preserve">Accessibility for smaller organisations, in particular civil society organisations, </w:t>
      </w:r>
      <w:r>
        <w:rPr>
          <w:rFonts w:ascii="Times New Roman" w:hAnsi="Times New Roman" w:cstheme="minorHAnsi"/>
          <w:noProof/>
          <w:sz w:val="24"/>
          <w:szCs w:val="24"/>
        </w:rPr>
        <w:t xml:space="preserve">was seen as another key issue that requires technical assistance. For them </w:t>
      </w:r>
      <w:r>
        <w:rPr>
          <w:rFonts w:ascii="Times New Roman" w:hAnsi="Times New Roman" w:cstheme="minorHAnsi"/>
          <w:b/>
          <w:noProof/>
          <w:sz w:val="24"/>
          <w:szCs w:val="24"/>
        </w:rPr>
        <w:t>late payments</w:t>
      </w:r>
      <w:r>
        <w:rPr>
          <w:rFonts w:ascii="Times New Roman" w:hAnsi="Times New Roman" w:cstheme="minorHAnsi"/>
          <w:noProof/>
          <w:sz w:val="24"/>
          <w:szCs w:val="24"/>
        </w:rPr>
        <w:t xml:space="preserve"> and the 20% co-financing requirement may also constitute a problem. What is more, although the </w:t>
      </w:r>
      <w:r>
        <w:rPr>
          <w:rFonts w:ascii="Times New Roman" w:hAnsi="Times New Roman" w:cstheme="minorHAnsi"/>
          <w:b/>
          <w:noProof/>
          <w:sz w:val="24"/>
          <w:szCs w:val="24"/>
        </w:rPr>
        <w:t>partnership principle</w:t>
      </w:r>
      <w:r>
        <w:rPr>
          <w:rFonts w:ascii="Times New Roman" w:hAnsi="Times New Roman" w:cstheme="minorHAnsi"/>
          <w:noProof/>
          <w:sz w:val="24"/>
          <w:szCs w:val="24"/>
        </w:rPr>
        <w:t xml:space="preserve"> between civil societies and national/regional/loca</w:t>
      </w:r>
      <w:r>
        <w:rPr>
          <w:rFonts w:ascii="Times New Roman" w:hAnsi="Times New Roman" w:cstheme="minorHAnsi"/>
          <w:noProof/>
          <w:sz w:val="24"/>
          <w:szCs w:val="24"/>
        </w:rPr>
        <w:t xml:space="preserve">l authorities is established, a number of </w:t>
      </w:r>
      <w:r>
        <w:rPr>
          <w:rFonts w:ascii="Times New Roman" w:hAnsi="Times New Roman" w:cstheme="minorHAnsi"/>
          <w:b/>
          <w:noProof/>
          <w:sz w:val="24"/>
          <w:szCs w:val="24"/>
        </w:rPr>
        <w:t xml:space="preserve">civil society organisations currently cannot take part in the monitoring </w:t>
      </w:r>
      <w:r>
        <w:rPr>
          <w:rFonts w:ascii="Times New Roman" w:hAnsi="Times New Roman" w:cstheme="minorHAnsi"/>
          <w:noProof/>
          <w:sz w:val="24"/>
          <w:szCs w:val="24"/>
        </w:rPr>
        <w:t xml:space="preserve">due to lack of resources. Capacity building should be provided to address this.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The question of</w:t>
      </w:r>
      <w:r>
        <w:rPr>
          <w:rFonts w:ascii="Times New Roman" w:hAnsi="Times New Roman" w:cstheme="minorHAnsi"/>
          <w:b/>
          <w:noProof/>
          <w:sz w:val="24"/>
          <w:szCs w:val="24"/>
        </w:rPr>
        <w:t xml:space="preserve"> synergies and possible integration between E</w:t>
      </w:r>
      <w:r>
        <w:rPr>
          <w:rFonts w:ascii="Times New Roman" w:hAnsi="Times New Roman" w:cstheme="minorHAnsi"/>
          <w:b/>
          <w:noProof/>
          <w:sz w:val="24"/>
          <w:szCs w:val="24"/>
        </w:rPr>
        <w:t xml:space="preserve">MPL Funds </w:t>
      </w:r>
      <w:r>
        <w:rPr>
          <w:rFonts w:ascii="Times New Roman" w:hAnsi="Times New Roman" w:cstheme="minorHAnsi"/>
          <w:noProof/>
          <w:sz w:val="24"/>
          <w:szCs w:val="24"/>
        </w:rPr>
        <w:t xml:space="preserve">was particularly important for EGF, FEAD and EaSI stakeholders. Participants’ preferred option was the </w:t>
      </w:r>
      <w:r>
        <w:rPr>
          <w:rFonts w:ascii="Times New Roman" w:hAnsi="Times New Roman" w:cstheme="minorHAnsi"/>
          <w:b/>
          <w:noProof/>
          <w:sz w:val="24"/>
          <w:szCs w:val="24"/>
        </w:rPr>
        <w:t>partial integration of shared management funds</w:t>
      </w:r>
      <w:r>
        <w:rPr>
          <w:rFonts w:ascii="Times New Roman" w:hAnsi="Times New Roman" w:cstheme="minorHAnsi"/>
          <w:noProof/>
          <w:sz w:val="24"/>
          <w:szCs w:val="24"/>
        </w:rPr>
        <w:t>. Regardless of the chosen option, however, it was stressed that</w:t>
      </w:r>
      <w:r>
        <w:rPr>
          <w:rFonts w:ascii="Times New Roman" w:hAnsi="Times New Roman" w:cstheme="minorHAnsi"/>
          <w:b/>
          <w:noProof/>
          <w:sz w:val="24"/>
          <w:szCs w:val="24"/>
        </w:rPr>
        <w:t xml:space="preserve"> eligibility criteria</w:t>
      </w:r>
      <w:r>
        <w:rPr>
          <w:rFonts w:ascii="Times New Roman" w:hAnsi="Times New Roman" w:cstheme="minorHAnsi"/>
          <w:noProof/>
          <w:sz w:val="24"/>
          <w:szCs w:val="24"/>
        </w:rPr>
        <w:t xml:space="preserve"> between the</w:t>
      </w:r>
      <w:r>
        <w:rPr>
          <w:rFonts w:ascii="Times New Roman" w:hAnsi="Times New Roman" w:cstheme="minorHAnsi"/>
          <w:noProof/>
          <w:sz w:val="24"/>
          <w:szCs w:val="24"/>
        </w:rPr>
        <w:t xml:space="preserve"> EMPL funds should be further harmonised. Participants also advocated for </w:t>
      </w:r>
      <w:r>
        <w:rPr>
          <w:rFonts w:ascii="Times New Roman" w:hAnsi="Times New Roman" w:cstheme="minorHAnsi"/>
          <w:b/>
          <w:noProof/>
          <w:sz w:val="24"/>
          <w:szCs w:val="24"/>
        </w:rPr>
        <w:t>more exchange and mainstreaming</w:t>
      </w:r>
      <w:r>
        <w:rPr>
          <w:rFonts w:ascii="Times New Roman" w:hAnsi="Times New Roman" w:cstheme="minorHAnsi"/>
          <w:noProof/>
          <w:sz w:val="24"/>
          <w:szCs w:val="24"/>
        </w:rPr>
        <w:t xml:space="preserve"> of cooperation, mutual learning and innovative actions.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Participants stressed the importance of keeping a clear delineation for beneficiaries between</w:t>
      </w:r>
      <w:r>
        <w:rPr>
          <w:rFonts w:ascii="Times New Roman" w:hAnsi="Times New Roman" w:cstheme="minorHAnsi"/>
          <w:noProof/>
          <w:sz w:val="24"/>
          <w:szCs w:val="24"/>
        </w:rPr>
        <w:t xml:space="preserve"> </w:t>
      </w:r>
      <w:r>
        <w:rPr>
          <w:rFonts w:ascii="Times New Roman" w:hAnsi="Times New Roman" w:cstheme="minorHAnsi"/>
          <w:b/>
          <w:noProof/>
          <w:sz w:val="24"/>
          <w:szCs w:val="24"/>
        </w:rPr>
        <w:t>ESF and EGF</w:t>
      </w:r>
      <w:r>
        <w:rPr>
          <w:rFonts w:ascii="Times New Roman" w:hAnsi="Times New Roman" w:cstheme="minorHAnsi"/>
          <w:noProof/>
          <w:sz w:val="24"/>
          <w:szCs w:val="24"/>
        </w:rPr>
        <w:t xml:space="preserve"> (for emergencies). Overall participants were in favour of keeping the EGF as a separate fund outside of the MFF in order to preserve the Fund’s flexibility. Arguments against it were that including the EGF in the MFF might create continuity of</w:t>
      </w:r>
      <w:r>
        <w:rPr>
          <w:rFonts w:ascii="Times New Roman" w:hAnsi="Times New Roman" w:cstheme="minorHAnsi"/>
          <w:noProof/>
          <w:sz w:val="24"/>
          <w:szCs w:val="24"/>
        </w:rPr>
        <w:t xml:space="preserve"> availability and would avoid the process of going through EP and Council, saving time.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A possible integration of </w:t>
      </w:r>
      <w:r>
        <w:rPr>
          <w:rFonts w:ascii="Times New Roman" w:hAnsi="Times New Roman" w:cstheme="minorHAnsi"/>
          <w:b/>
          <w:noProof/>
          <w:sz w:val="24"/>
          <w:szCs w:val="24"/>
        </w:rPr>
        <w:t>ESF and EaSI</w:t>
      </w:r>
      <w:r>
        <w:rPr>
          <w:rFonts w:ascii="Times New Roman" w:hAnsi="Times New Roman" w:cstheme="minorHAnsi"/>
          <w:noProof/>
          <w:sz w:val="24"/>
          <w:szCs w:val="24"/>
        </w:rPr>
        <w:t xml:space="preserve"> would help realise synergies between EaSI's innovation and ESF's upscaling measures, which are in practice difficult to combine,</w:t>
      </w:r>
      <w:r>
        <w:rPr>
          <w:rFonts w:ascii="Times New Roman" w:hAnsi="Times New Roman" w:cstheme="minorHAnsi"/>
          <w:noProof/>
          <w:sz w:val="24"/>
          <w:szCs w:val="24"/>
        </w:rPr>
        <w:t xml:space="preserve"> partly due to different eligibility criteria and durations. A possible integration of EaSI should preserve the direct management mode (simpler rules, more flexible, easier to align with EU policy priorities, easier for civil society organisations to prese</w:t>
      </w:r>
      <w:r>
        <w:rPr>
          <w:rFonts w:ascii="Times New Roman" w:hAnsi="Times New Roman" w:cstheme="minorHAnsi"/>
          <w:noProof/>
          <w:sz w:val="24"/>
          <w:szCs w:val="24"/>
        </w:rPr>
        <w:t xml:space="preserve">rve their autonomy and independence).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Simpler </w:t>
      </w:r>
      <w:r>
        <w:rPr>
          <w:rFonts w:ascii="Times New Roman" w:hAnsi="Times New Roman" w:cstheme="minorHAnsi"/>
          <w:b/>
          <w:noProof/>
          <w:sz w:val="24"/>
          <w:szCs w:val="24"/>
        </w:rPr>
        <w:t>FEAD</w:t>
      </w:r>
      <w:r>
        <w:rPr>
          <w:rFonts w:ascii="Times New Roman" w:hAnsi="Times New Roman" w:cstheme="minorHAnsi"/>
          <w:noProof/>
          <w:sz w:val="24"/>
          <w:szCs w:val="24"/>
        </w:rPr>
        <w:t xml:space="preserve"> rules should be preserved if the FEAD is integrated in the ESF+. FEAD target groups should be included in ESF due to the 20% rule, but there were doubts that the ESF takes social inclusion seriously.</w:t>
      </w:r>
    </w:p>
    <w:p w:rsidR="003A1527" w:rsidRDefault="003A1527">
      <w:pPr>
        <w:pStyle w:val="AppendixH1"/>
        <w:numPr>
          <w:ilvl w:val="0"/>
          <w:numId w:val="0"/>
        </w:numPr>
        <w:suppressAutoHyphens w:val="0"/>
        <w:autoSpaceDN/>
        <w:spacing w:after="0" w:line="240" w:lineRule="auto"/>
        <w:ind w:left="454" w:hanging="454"/>
        <w:jc w:val="both"/>
        <w:textAlignment w:val="auto"/>
        <w:rPr>
          <w:rFonts w:cstheme="minorHAnsi"/>
          <w:noProof/>
        </w:rPr>
      </w:pPr>
    </w:p>
    <w:p w:rsidR="003A1527" w:rsidRDefault="00742A12">
      <w:pPr>
        <w:pStyle w:val="AppendixH1"/>
        <w:numPr>
          <w:ilvl w:val="0"/>
          <w:numId w:val="0"/>
        </w:numPr>
        <w:suppressAutoHyphens w:val="0"/>
        <w:autoSpaceDN/>
        <w:spacing w:after="0" w:line="240" w:lineRule="auto"/>
        <w:ind w:left="454" w:hanging="454"/>
        <w:jc w:val="both"/>
        <w:textAlignment w:val="auto"/>
        <w:rPr>
          <w:noProof/>
        </w:rPr>
      </w:pPr>
      <w:r>
        <w:rPr>
          <w:noProof/>
        </w:rPr>
        <w:t>5.2</w:t>
      </w:r>
      <w:r>
        <w:rPr>
          <w:noProof/>
        </w:rPr>
        <w:t>. Conference 'Investing in People – the Way Forward’, including plenary discussions and 8 workshops</w:t>
      </w:r>
      <w:r>
        <w:rPr>
          <w:rStyle w:val="FootnoteReference"/>
          <w:noProof/>
        </w:rPr>
        <w:footnoteReference w:id="141"/>
      </w:r>
    </w:p>
    <w:p w:rsidR="003A1527" w:rsidRDefault="003A1527">
      <w:pPr>
        <w:pStyle w:val="AppendixH1"/>
        <w:numPr>
          <w:ilvl w:val="0"/>
          <w:numId w:val="0"/>
        </w:numPr>
        <w:suppressAutoHyphens w:val="0"/>
        <w:autoSpaceDN/>
        <w:spacing w:after="0" w:line="240" w:lineRule="auto"/>
        <w:ind w:left="454" w:hanging="454"/>
        <w:jc w:val="both"/>
        <w:textAlignment w:val="auto"/>
        <w:rPr>
          <w:noProof/>
        </w:rPr>
      </w:pPr>
    </w:p>
    <w:p w:rsidR="003A1527" w:rsidRDefault="00742A12">
      <w:pPr>
        <w:suppressAutoHyphens/>
        <w:autoSpaceDN w:val="0"/>
        <w:spacing w:after="60" w:line="240" w:lineRule="auto"/>
        <w:jc w:val="both"/>
        <w:textAlignment w:val="baseline"/>
        <w:rPr>
          <w:rFonts w:ascii="Times New Roman" w:hAnsi="Times New Roman" w:cs="Times New Roman"/>
          <w:noProof/>
          <w:sz w:val="24"/>
          <w:szCs w:val="24"/>
        </w:rPr>
      </w:pPr>
      <w:r>
        <w:rPr>
          <w:rFonts w:ascii="Times New Roman" w:eastAsia="Calibri" w:hAnsi="Times New Roman" w:cs="Times New Roman"/>
          <w:noProof/>
          <w:sz w:val="24"/>
          <w:szCs w:val="24"/>
          <w:lang w:val="en-US"/>
        </w:rPr>
        <w:t xml:space="preserve">The proclamation of the European Pillar of Social Rights together with the European Social Summit have </w:t>
      </w:r>
      <w:r>
        <w:rPr>
          <w:rFonts w:ascii="Times New Roman" w:eastAsia="Calibri" w:hAnsi="Times New Roman" w:cs="Times New Roman"/>
          <w:b/>
          <w:noProof/>
          <w:sz w:val="24"/>
          <w:szCs w:val="24"/>
          <w:lang w:val="en-US"/>
        </w:rPr>
        <w:t xml:space="preserve">increased stakeholders’ expectations for Social </w:t>
      </w:r>
      <w:r>
        <w:rPr>
          <w:rFonts w:ascii="Times New Roman" w:eastAsia="Calibri" w:hAnsi="Times New Roman" w:cs="Times New Roman"/>
          <w:b/>
          <w:noProof/>
          <w:sz w:val="24"/>
          <w:szCs w:val="24"/>
          <w:lang w:val="en-US"/>
        </w:rPr>
        <w:t>Europe</w:t>
      </w:r>
      <w:r>
        <w:rPr>
          <w:rFonts w:ascii="Times New Roman" w:eastAsia="Calibri" w:hAnsi="Times New Roman" w:cs="Times New Roman"/>
          <w:noProof/>
          <w:sz w:val="24"/>
          <w:szCs w:val="24"/>
          <w:lang w:val="en-US"/>
        </w:rPr>
        <w:t xml:space="preserve">. Despite socio-economic improvements across the EU after the crisis, challenges such as </w:t>
      </w:r>
      <w:r>
        <w:rPr>
          <w:rFonts w:ascii="Times New Roman" w:eastAsia="Calibri" w:hAnsi="Times New Roman" w:cs="Times New Roman"/>
          <w:b/>
          <w:noProof/>
          <w:sz w:val="24"/>
          <w:szCs w:val="24"/>
          <w:lang w:val="en-US"/>
        </w:rPr>
        <w:t>persistent inequalities, youth unemployment,</w:t>
      </w:r>
      <w:r>
        <w:rPr>
          <w:rFonts w:ascii="Times New Roman" w:eastAsia="Calibri" w:hAnsi="Times New Roman" w:cs="Times New Roman"/>
          <w:noProof/>
          <w:sz w:val="24"/>
          <w:szCs w:val="24"/>
          <w:lang w:val="en-US"/>
        </w:rPr>
        <w:t xml:space="preserve"> </w:t>
      </w:r>
      <w:r>
        <w:rPr>
          <w:rFonts w:ascii="Times New Roman" w:eastAsia="Calibri" w:hAnsi="Times New Roman" w:cs="Times New Roman"/>
          <w:b/>
          <w:noProof/>
          <w:sz w:val="24"/>
          <w:szCs w:val="24"/>
          <w:lang w:val="en-US"/>
        </w:rPr>
        <w:t xml:space="preserve">people at risk of poverty and social exclusion, digitisation and ageing </w:t>
      </w:r>
      <w:r>
        <w:rPr>
          <w:rFonts w:ascii="Times New Roman" w:eastAsia="Calibri" w:hAnsi="Times New Roman" w:cs="Times New Roman"/>
          <w:noProof/>
          <w:sz w:val="24"/>
          <w:szCs w:val="24"/>
          <w:lang w:val="en-US"/>
        </w:rPr>
        <w:t xml:space="preserve">remain. </w:t>
      </w:r>
      <w:r>
        <w:rPr>
          <w:rFonts w:ascii="Times New Roman" w:eastAsia="Calibri" w:hAnsi="Times New Roman" w:cs="Times New Roman"/>
          <w:b/>
          <w:noProof/>
          <w:sz w:val="24"/>
          <w:szCs w:val="24"/>
          <w:lang w:val="en-US"/>
        </w:rPr>
        <w:t>EU investment is crucial for impleme</w:t>
      </w:r>
      <w:r>
        <w:rPr>
          <w:rFonts w:ascii="Times New Roman" w:eastAsia="Calibri" w:hAnsi="Times New Roman" w:cs="Times New Roman"/>
          <w:b/>
          <w:noProof/>
          <w:sz w:val="24"/>
          <w:szCs w:val="24"/>
          <w:lang w:val="en-US"/>
        </w:rPr>
        <w:t>nting EU policy initiatives</w:t>
      </w:r>
      <w:r>
        <w:rPr>
          <w:rFonts w:ascii="Times New Roman" w:eastAsia="Calibri" w:hAnsi="Times New Roman" w:cs="Times New Roman"/>
          <w:noProof/>
          <w:sz w:val="24"/>
          <w:szCs w:val="24"/>
          <w:lang w:val="en-US"/>
        </w:rPr>
        <w:t xml:space="preserve"> aiming to address these challenges: the European Pillar of Social Rights, the Skills Agenda, the Youth Guarantee.</w:t>
      </w:r>
      <w:r>
        <w:rPr>
          <w:rFonts w:ascii="Times New Roman" w:hAnsi="Times New Roman" w:cs="Times New Roman"/>
          <w:noProof/>
          <w:sz w:val="24"/>
          <w:szCs w:val="24"/>
        </w:rPr>
        <w:t xml:space="preserve"> </w:t>
      </w:r>
    </w:p>
    <w:p w:rsidR="003A1527" w:rsidRDefault="00742A12">
      <w:pPr>
        <w:pStyle w:val="bullet1"/>
        <w:numPr>
          <w:ilvl w:val="0"/>
          <w:numId w:val="0"/>
        </w:numPr>
        <w:spacing w:line="240" w:lineRule="auto"/>
        <w:rPr>
          <w:rFonts w:cs="Times New Roman"/>
          <w:b/>
          <w:noProof/>
          <w:lang w:val="en-US"/>
        </w:rPr>
      </w:pPr>
      <w:r>
        <w:rPr>
          <w:rFonts w:ascii="Times New Roman" w:hAnsi="Times New Roman" w:cs="Times New Roman"/>
          <w:noProof/>
          <w:sz w:val="24"/>
          <w:szCs w:val="24"/>
          <w:lang w:val="en-US"/>
        </w:rPr>
        <w:t xml:space="preserve">A big part of the discussion concerned the scope of support and priorities for investment. There was a call </w:t>
      </w:r>
      <w:r>
        <w:rPr>
          <w:rFonts w:ascii="Times New Roman" w:hAnsi="Times New Roman" w:cs="Times New Roman"/>
          <w:b/>
          <w:noProof/>
          <w:sz w:val="24"/>
          <w:szCs w:val="24"/>
          <w:lang w:val="en-US"/>
        </w:rPr>
        <w:t>for n</w:t>
      </w:r>
      <w:r>
        <w:rPr>
          <w:rFonts w:ascii="Times New Roman" w:hAnsi="Times New Roman" w:cs="Times New Roman"/>
          <w:b/>
          <w:noProof/>
          <w:sz w:val="24"/>
          <w:szCs w:val="24"/>
          <w:lang w:val="en-US"/>
        </w:rPr>
        <w:t>ot reducing the Funds’ scope, as serious socio-economic issues are not yet tackled</w:t>
      </w:r>
      <w:r>
        <w:rPr>
          <w:rFonts w:ascii="Times New Roman" w:hAnsi="Times New Roman" w:cs="Times New Roman"/>
          <w:noProof/>
          <w:sz w:val="24"/>
          <w:szCs w:val="24"/>
          <w:lang w:val="en-US"/>
        </w:rPr>
        <w:t xml:space="preserve"> - poverty, inequality and discrimination, migration, digitisation, skills shortages, rising of right wing and extremism. </w:t>
      </w:r>
      <w:r>
        <w:rPr>
          <w:rFonts w:ascii="Times New Roman" w:hAnsi="Times New Roman" w:cs="Times New Roman"/>
          <w:noProof/>
          <w:sz w:val="24"/>
          <w:szCs w:val="24"/>
        </w:rPr>
        <w:t xml:space="preserve">Participants all acknowledged the 5 Funds’ European </w:t>
      </w:r>
      <w:r>
        <w:rPr>
          <w:rFonts w:ascii="Times New Roman" w:hAnsi="Times New Roman" w:cs="Times New Roman"/>
          <w:noProof/>
          <w:sz w:val="24"/>
          <w:szCs w:val="24"/>
        </w:rPr>
        <w:t xml:space="preserve">added value in tackling these, as it was appreciated that without EU funds, some important social and employment policies would not be implemented. </w:t>
      </w:r>
      <w:r>
        <w:rPr>
          <w:rFonts w:ascii="Times New Roman" w:hAnsi="Times New Roman" w:cs="Times New Roman"/>
          <w:noProof/>
          <w:sz w:val="24"/>
          <w:szCs w:val="24"/>
          <w:lang w:val="en-US"/>
        </w:rPr>
        <w:t>However, it was stressed that the Funds should support long-term solutions – as they bring the highest value</w:t>
      </w:r>
      <w:r>
        <w:rPr>
          <w:rFonts w:ascii="Times New Roman" w:hAnsi="Times New Roman" w:cs="Times New Roman"/>
          <w:noProof/>
          <w:sz w:val="24"/>
          <w:szCs w:val="24"/>
          <w:lang w:val="en-US"/>
        </w:rPr>
        <w:t xml:space="preserve"> added compared to standard national-level solutions. </w:t>
      </w:r>
      <w:r>
        <w:rPr>
          <w:rFonts w:ascii="Times New Roman" w:hAnsi="Times New Roman" w:cs="Times New Roman"/>
          <w:noProof/>
          <w:sz w:val="24"/>
          <w:szCs w:val="24"/>
        </w:rPr>
        <w:t xml:space="preserve">While </w:t>
      </w:r>
      <w:r>
        <w:rPr>
          <w:rFonts w:ascii="Times New Roman" w:hAnsi="Times New Roman" w:cs="Times New Roman"/>
          <w:noProof/>
          <w:sz w:val="24"/>
          <w:szCs w:val="24"/>
          <w:lang w:val="en-US"/>
        </w:rPr>
        <w:t xml:space="preserve">a </w:t>
      </w:r>
      <w:r>
        <w:rPr>
          <w:rFonts w:ascii="Times New Roman" w:hAnsi="Times New Roman" w:cs="Times New Roman"/>
          <w:b/>
          <w:noProof/>
          <w:sz w:val="24"/>
          <w:szCs w:val="24"/>
          <w:lang w:val="en-US"/>
        </w:rPr>
        <w:t>strategic vision in programming</w:t>
      </w:r>
      <w:r>
        <w:rPr>
          <w:rFonts w:ascii="Times New Roman" w:hAnsi="Times New Roman" w:cs="Times New Roman"/>
          <w:noProof/>
          <w:sz w:val="24"/>
          <w:szCs w:val="24"/>
          <w:lang w:val="en-US"/>
        </w:rPr>
        <w:t xml:space="preserve"> was promoted, it should also allow </w:t>
      </w:r>
      <w:r>
        <w:rPr>
          <w:rFonts w:ascii="Times New Roman" w:hAnsi="Times New Roman" w:cs="Times New Roman"/>
          <w:b/>
          <w:noProof/>
          <w:sz w:val="24"/>
          <w:szCs w:val="24"/>
          <w:lang w:val="en-US"/>
        </w:rPr>
        <w:t>more flexibility</w:t>
      </w:r>
      <w:r>
        <w:rPr>
          <w:rFonts w:ascii="Times New Roman" w:hAnsi="Times New Roman" w:cs="Times New Roman"/>
          <w:noProof/>
          <w:sz w:val="24"/>
          <w:szCs w:val="24"/>
          <w:lang w:val="en-US"/>
        </w:rPr>
        <w:t xml:space="preserve"> to respond to emerging needs, e.g. to reserve to face emergencies or for anticipation of needs to avoid excess</w:t>
      </w:r>
      <w:r>
        <w:rPr>
          <w:rFonts w:ascii="Times New Roman" w:hAnsi="Times New Roman" w:cs="Times New Roman"/>
          <w:noProof/>
          <w:sz w:val="24"/>
          <w:szCs w:val="24"/>
          <w:lang w:val="en-US"/>
        </w:rPr>
        <w:t xml:space="preserve">ive reprogramming. </w:t>
      </w:r>
    </w:p>
    <w:p w:rsidR="003A1527" w:rsidRDefault="00742A12">
      <w:pPr>
        <w:pStyle w:val="bullet1"/>
        <w:numPr>
          <w:ilvl w:val="0"/>
          <w:numId w:val="0"/>
        </w:numPr>
        <w:spacing w:line="240" w:lineRule="auto"/>
        <w:rPr>
          <w:rFonts w:ascii="Times New Roman" w:hAnsi="Times New Roman" w:cstheme="minorHAnsi"/>
          <w:noProof/>
          <w:sz w:val="24"/>
          <w:szCs w:val="24"/>
          <w:lang w:val="en-US"/>
        </w:rPr>
      </w:pPr>
      <w:r>
        <w:rPr>
          <w:rFonts w:ascii="Times New Roman" w:hAnsi="Times New Roman" w:cstheme="minorHAnsi"/>
          <w:noProof/>
          <w:sz w:val="24"/>
          <w:szCs w:val="24"/>
          <w:lang w:val="en-US"/>
        </w:rPr>
        <w:t xml:space="preserve">Social Platform and other social networks' representatives put emphasis on </w:t>
      </w:r>
      <w:r>
        <w:rPr>
          <w:rFonts w:ascii="Times New Roman" w:hAnsi="Times New Roman" w:cstheme="minorHAnsi"/>
          <w:b/>
          <w:noProof/>
          <w:sz w:val="24"/>
          <w:szCs w:val="24"/>
          <w:lang w:val="en-US"/>
        </w:rPr>
        <w:t>ring-fencing the social budget</w:t>
      </w:r>
      <w:r>
        <w:rPr>
          <w:rFonts w:ascii="Times New Roman" w:hAnsi="Times New Roman" w:cstheme="minorHAnsi"/>
          <w:noProof/>
          <w:sz w:val="24"/>
          <w:szCs w:val="24"/>
          <w:lang w:val="en-US"/>
        </w:rPr>
        <w:t xml:space="preserve">, </w:t>
      </w:r>
      <w:r>
        <w:rPr>
          <w:rFonts w:ascii="Times New Roman" w:hAnsi="Times New Roman" w:cstheme="minorHAnsi"/>
          <w:b/>
          <w:noProof/>
          <w:sz w:val="24"/>
          <w:szCs w:val="24"/>
          <w:lang w:val="en-US"/>
        </w:rPr>
        <w:t>supporting social inclusion beyond the labour market logic</w:t>
      </w:r>
      <w:r>
        <w:rPr>
          <w:rFonts w:ascii="Times New Roman" w:hAnsi="Times New Roman" w:cstheme="minorHAnsi"/>
          <w:noProof/>
          <w:sz w:val="24"/>
          <w:szCs w:val="24"/>
          <w:lang w:val="en-US"/>
        </w:rPr>
        <w:t xml:space="preserve"> </w:t>
      </w:r>
      <w:r>
        <w:rPr>
          <w:rFonts w:ascii="Times New Roman" w:hAnsi="Times New Roman" w:cstheme="minorHAnsi"/>
          <w:b/>
          <w:noProof/>
          <w:sz w:val="24"/>
          <w:szCs w:val="24"/>
          <w:lang w:val="en-US"/>
        </w:rPr>
        <w:t>to target services</w:t>
      </w:r>
      <w:r>
        <w:rPr>
          <w:rFonts w:ascii="Times New Roman" w:hAnsi="Times New Roman" w:cstheme="minorHAnsi"/>
          <w:noProof/>
          <w:sz w:val="24"/>
          <w:szCs w:val="24"/>
          <w:lang w:val="en-US"/>
        </w:rPr>
        <w:t xml:space="preserve"> and </w:t>
      </w:r>
      <w:r>
        <w:rPr>
          <w:rFonts w:ascii="Times New Roman" w:hAnsi="Times New Roman" w:cstheme="minorHAnsi"/>
          <w:b/>
          <w:noProof/>
          <w:sz w:val="24"/>
          <w:szCs w:val="24"/>
          <w:lang w:val="en-US"/>
        </w:rPr>
        <w:t>better access for smaller NGOs</w:t>
      </w:r>
      <w:r>
        <w:rPr>
          <w:rFonts w:ascii="Times New Roman" w:hAnsi="Times New Roman" w:cstheme="minorHAnsi"/>
          <w:noProof/>
          <w:sz w:val="24"/>
          <w:szCs w:val="24"/>
          <w:lang w:val="en-US"/>
        </w:rPr>
        <w:t>.</w:t>
      </w:r>
      <w:r>
        <w:rPr>
          <w:rFonts w:ascii="Times New Roman" w:hAnsi="Times New Roman" w:cstheme="minorHAnsi"/>
          <w:b/>
          <w:noProof/>
          <w:sz w:val="24"/>
          <w:szCs w:val="24"/>
          <w:lang w:val="en-US"/>
        </w:rPr>
        <w:t xml:space="preserve"> </w:t>
      </w:r>
      <w:r>
        <w:rPr>
          <w:rFonts w:ascii="Times New Roman" w:hAnsi="Times New Roman" w:cstheme="minorHAnsi"/>
          <w:noProof/>
          <w:sz w:val="24"/>
          <w:szCs w:val="24"/>
          <w:lang w:val="en-US"/>
        </w:rPr>
        <w:t xml:space="preserve">In particular, </w:t>
      </w:r>
      <w:r>
        <w:rPr>
          <w:rFonts w:ascii="Times New Roman" w:hAnsi="Times New Roman" w:cstheme="minorHAnsi"/>
          <w:b/>
          <w:noProof/>
          <w:sz w:val="24"/>
          <w:szCs w:val="24"/>
          <w:lang w:val="en-US"/>
        </w:rPr>
        <w:t>investment in</w:t>
      </w:r>
      <w:r>
        <w:rPr>
          <w:rFonts w:ascii="Times New Roman" w:hAnsi="Times New Roman" w:cstheme="minorHAnsi"/>
          <w:noProof/>
          <w:sz w:val="24"/>
          <w:szCs w:val="24"/>
          <w:lang w:val="en-US"/>
        </w:rPr>
        <w:t xml:space="preserve"> </w:t>
      </w:r>
      <w:r>
        <w:rPr>
          <w:rFonts w:ascii="Times New Roman" w:hAnsi="Times New Roman" w:cstheme="minorHAnsi"/>
          <w:b/>
          <w:noProof/>
          <w:sz w:val="24"/>
          <w:szCs w:val="24"/>
          <w:lang w:val="en-US"/>
        </w:rPr>
        <w:t>deinstitutionalisation</w:t>
      </w:r>
      <w:r>
        <w:rPr>
          <w:rFonts w:ascii="Times New Roman" w:hAnsi="Times New Roman" w:cstheme="minorHAnsi"/>
          <w:noProof/>
          <w:sz w:val="24"/>
          <w:szCs w:val="24"/>
          <w:lang w:val="en-US"/>
        </w:rPr>
        <w:t xml:space="preserve"> (e.g. quality family support services, inclusive mainstream services, community-based services, prevention and capacity-building of professionals) should continue and ensure adequate coverage of Member States based on n</w:t>
      </w:r>
      <w:r>
        <w:rPr>
          <w:rFonts w:ascii="Times New Roman" w:hAnsi="Times New Roman" w:cstheme="minorHAnsi"/>
          <w:noProof/>
          <w:sz w:val="24"/>
          <w:szCs w:val="24"/>
          <w:lang w:val="en-US"/>
        </w:rPr>
        <w:t xml:space="preserve">eed for support for DI, not on GDP. EU funding should not support any action that contributes to segregation or to social exclusion in line with the </w:t>
      </w:r>
      <w:r>
        <w:rPr>
          <w:rFonts w:ascii="Times New Roman" w:hAnsi="Times New Roman" w:cstheme="minorHAnsi"/>
          <w:b/>
          <w:noProof/>
          <w:sz w:val="24"/>
          <w:szCs w:val="24"/>
          <w:lang w:val="en-US"/>
        </w:rPr>
        <w:t>EU Charter of Fundamental Rights</w:t>
      </w:r>
      <w:r>
        <w:rPr>
          <w:rFonts w:ascii="Times New Roman" w:hAnsi="Times New Roman" w:cstheme="minorHAnsi"/>
          <w:noProof/>
          <w:sz w:val="24"/>
          <w:szCs w:val="24"/>
          <w:lang w:val="en-US"/>
        </w:rPr>
        <w:t xml:space="preserve"> and the </w:t>
      </w:r>
      <w:r>
        <w:rPr>
          <w:rFonts w:ascii="Times New Roman" w:hAnsi="Times New Roman" w:cstheme="minorHAnsi"/>
          <w:b/>
          <w:noProof/>
          <w:sz w:val="24"/>
          <w:szCs w:val="24"/>
          <w:lang w:val="en-US"/>
        </w:rPr>
        <w:t>UN Convention for the Rights of People with Disabilities</w:t>
      </w:r>
      <w:r>
        <w:rPr>
          <w:rFonts w:ascii="Times New Roman" w:hAnsi="Times New Roman" w:cstheme="minorHAnsi"/>
          <w:noProof/>
          <w:sz w:val="24"/>
          <w:szCs w:val="24"/>
          <w:lang w:val="en-US"/>
        </w:rPr>
        <w:t>.</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b/>
          <w:noProof/>
          <w:sz w:val="24"/>
          <w:szCs w:val="24"/>
          <w:lang w:val="en-US"/>
        </w:rPr>
        <w:t>In terms</w:t>
      </w:r>
      <w:r>
        <w:rPr>
          <w:rFonts w:ascii="Times New Roman" w:hAnsi="Times New Roman" w:cstheme="minorHAnsi"/>
          <w:b/>
          <w:noProof/>
          <w:sz w:val="24"/>
          <w:szCs w:val="24"/>
          <w:lang w:val="en-US"/>
        </w:rPr>
        <w:t xml:space="preserve"> of target groups, </w:t>
      </w:r>
      <w:r>
        <w:rPr>
          <w:rFonts w:ascii="Times New Roman" w:hAnsi="Times New Roman"/>
          <w:noProof/>
          <w:sz w:val="24"/>
          <w:lang w:val="en-US"/>
        </w:rPr>
        <w:t>t</w:t>
      </w:r>
      <w:r>
        <w:rPr>
          <w:rFonts w:ascii="Times New Roman" w:hAnsi="Times New Roman" w:cstheme="minorHAnsi"/>
          <w:noProof/>
          <w:sz w:val="24"/>
          <w:szCs w:val="24"/>
          <w:lang w:val="en-US"/>
        </w:rPr>
        <w:t xml:space="preserve">here was agreement to </w:t>
      </w:r>
      <w:r>
        <w:rPr>
          <w:rFonts w:ascii="Times New Roman" w:hAnsi="Times New Roman" w:cstheme="minorHAnsi"/>
          <w:b/>
          <w:noProof/>
          <w:sz w:val="24"/>
          <w:szCs w:val="24"/>
          <w:lang w:val="en-US"/>
        </w:rPr>
        <w:t>focus on disadvantaged participants</w:t>
      </w:r>
      <w:r>
        <w:rPr>
          <w:rFonts w:ascii="Times New Roman" w:hAnsi="Times New Roman" w:cstheme="minorHAnsi"/>
          <w:noProof/>
          <w:sz w:val="24"/>
          <w:szCs w:val="24"/>
          <w:lang w:val="en-US"/>
        </w:rPr>
        <w:t>, although not only</w:t>
      </w:r>
      <w:r>
        <w:rPr>
          <w:rFonts w:ascii="Times New Roman" w:hAnsi="Times New Roman" w:cstheme="minorHAnsi"/>
          <w:b/>
          <w:noProof/>
          <w:sz w:val="24"/>
          <w:szCs w:val="24"/>
          <w:lang w:val="en-US"/>
        </w:rPr>
        <w:t xml:space="preserve">. </w:t>
      </w:r>
      <w:r>
        <w:rPr>
          <w:rFonts w:ascii="Times New Roman" w:hAnsi="Times New Roman" w:cstheme="minorHAnsi"/>
          <w:b/>
          <w:noProof/>
          <w:sz w:val="24"/>
          <w:szCs w:val="24"/>
        </w:rPr>
        <w:t xml:space="preserve">Support for disadvantaged groups is perceived important for the EU budget’s added value (e.g. people with disabilities, low skilled workers, Roma). </w:t>
      </w:r>
      <w:r>
        <w:rPr>
          <w:rFonts w:ascii="Times New Roman" w:hAnsi="Times New Roman" w:cstheme="minorHAnsi"/>
          <w:b/>
          <w:noProof/>
          <w:sz w:val="24"/>
          <w:szCs w:val="24"/>
          <w:lang w:val="en-US"/>
        </w:rPr>
        <w:t xml:space="preserve">Investing </w:t>
      </w:r>
      <w:r>
        <w:rPr>
          <w:rFonts w:ascii="Times New Roman" w:hAnsi="Times New Roman" w:cstheme="minorHAnsi"/>
          <w:b/>
          <w:noProof/>
          <w:sz w:val="24"/>
          <w:szCs w:val="24"/>
          <w:lang w:val="en-US"/>
        </w:rPr>
        <w:t>in youth</w:t>
      </w:r>
      <w:r>
        <w:rPr>
          <w:rFonts w:ascii="Times New Roman" w:hAnsi="Times New Roman" w:cstheme="minorHAnsi"/>
          <w:noProof/>
          <w:sz w:val="24"/>
          <w:szCs w:val="24"/>
          <w:lang w:val="en-US"/>
        </w:rPr>
        <w:t xml:space="preserve"> should remain a top EU investment priority, as today’s youth remains in a precarious situation. ESF should invest in </w:t>
      </w:r>
      <w:r>
        <w:rPr>
          <w:rFonts w:ascii="Times New Roman" w:hAnsi="Times New Roman" w:cstheme="minorHAnsi"/>
          <w:b/>
          <w:noProof/>
          <w:sz w:val="24"/>
          <w:szCs w:val="24"/>
          <w:lang w:val="en-US"/>
        </w:rPr>
        <w:t>upskilling</w:t>
      </w:r>
      <w:r>
        <w:rPr>
          <w:rFonts w:ascii="Times New Roman" w:hAnsi="Times New Roman" w:cstheme="minorHAnsi"/>
          <w:noProof/>
          <w:sz w:val="24"/>
          <w:szCs w:val="24"/>
          <w:lang w:val="en-US"/>
        </w:rPr>
        <w:t xml:space="preserve">, including of </w:t>
      </w:r>
      <w:r>
        <w:rPr>
          <w:rFonts w:ascii="Times New Roman" w:hAnsi="Times New Roman" w:cstheme="minorHAnsi"/>
          <w:b/>
          <w:noProof/>
          <w:sz w:val="24"/>
          <w:szCs w:val="24"/>
          <w:lang w:val="en-US"/>
        </w:rPr>
        <w:t>low-skilled</w:t>
      </w:r>
      <w:r>
        <w:rPr>
          <w:rFonts w:ascii="Times New Roman" w:hAnsi="Times New Roman" w:cstheme="minorHAnsi"/>
          <w:noProof/>
          <w:sz w:val="24"/>
          <w:szCs w:val="24"/>
          <w:lang w:val="en-US"/>
        </w:rPr>
        <w:t xml:space="preserve"> people, as well as to prepare specialists in job profiles that do not yet exist but are neede</w:t>
      </w:r>
      <w:r>
        <w:rPr>
          <w:rFonts w:ascii="Times New Roman" w:hAnsi="Times New Roman" w:cstheme="minorHAnsi"/>
          <w:noProof/>
          <w:sz w:val="24"/>
          <w:szCs w:val="24"/>
          <w:lang w:val="en-US"/>
        </w:rPr>
        <w:t xml:space="preserve">d. Programmes should focus on people, by developing </w:t>
      </w:r>
      <w:r>
        <w:rPr>
          <w:rFonts w:ascii="Times New Roman" w:hAnsi="Times New Roman" w:cstheme="minorHAnsi"/>
          <w:b/>
          <w:noProof/>
          <w:sz w:val="24"/>
          <w:szCs w:val="24"/>
          <w:lang w:val="en-US"/>
        </w:rPr>
        <w:t>person-centered, integrated</w:t>
      </w:r>
      <w:r>
        <w:rPr>
          <w:rFonts w:ascii="Times New Roman" w:hAnsi="Times New Roman" w:cstheme="minorHAnsi"/>
          <w:noProof/>
          <w:sz w:val="24"/>
          <w:szCs w:val="24"/>
          <w:lang w:val="en-US"/>
        </w:rPr>
        <w:t xml:space="preserve"> and </w:t>
      </w:r>
      <w:r>
        <w:rPr>
          <w:rFonts w:ascii="Times New Roman" w:hAnsi="Times New Roman" w:cstheme="minorHAnsi"/>
          <w:b/>
          <w:noProof/>
          <w:sz w:val="24"/>
          <w:szCs w:val="24"/>
          <w:lang w:val="en-US"/>
        </w:rPr>
        <w:t>life-cycle</w:t>
      </w:r>
      <w:r>
        <w:rPr>
          <w:rFonts w:ascii="Times New Roman" w:hAnsi="Times New Roman" w:cstheme="minorHAnsi"/>
          <w:noProof/>
          <w:sz w:val="24"/>
          <w:szCs w:val="24"/>
          <w:lang w:val="en-US"/>
        </w:rPr>
        <w:t xml:space="preserve"> approaches.</w:t>
      </w:r>
      <w:r>
        <w:rPr>
          <w:rFonts w:ascii="Times New Roman" w:hAnsi="Times New Roman" w:cstheme="minorHAnsi"/>
          <w:noProof/>
          <w:sz w:val="24"/>
          <w:szCs w:val="24"/>
        </w:rPr>
        <w:t xml:space="preserve"> There should be a focus on </w:t>
      </w:r>
      <w:r>
        <w:rPr>
          <w:rFonts w:ascii="Times New Roman" w:hAnsi="Times New Roman" w:cstheme="minorHAnsi"/>
          <w:b/>
          <w:noProof/>
          <w:sz w:val="24"/>
          <w:szCs w:val="24"/>
        </w:rPr>
        <w:t>preventive measures</w:t>
      </w:r>
      <w:r>
        <w:rPr>
          <w:rFonts w:ascii="Times New Roman" w:hAnsi="Times New Roman" w:cstheme="minorHAnsi"/>
          <w:noProof/>
          <w:sz w:val="24"/>
          <w:szCs w:val="24"/>
        </w:rPr>
        <w:t xml:space="preserve"> (not only on reactive) and </w:t>
      </w:r>
      <w:r>
        <w:rPr>
          <w:rFonts w:ascii="Times New Roman" w:hAnsi="Times New Roman" w:cstheme="minorHAnsi"/>
          <w:b/>
          <w:noProof/>
          <w:sz w:val="24"/>
          <w:szCs w:val="24"/>
        </w:rPr>
        <w:t>quality of jobs (not just number)</w:t>
      </w:r>
      <w:r>
        <w:rPr>
          <w:rFonts w:ascii="Times New Roman" w:hAnsi="Times New Roman" w:cstheme="minorHAnsi"/>
          <w:noProof/>
          <w:sz w:val="24"/>
          <w:szCs w:val="24"/>
        </w:rPr>
        <w:t xml:space="preserve">. </w:t>
      </w:r>
    </w:p>
    <w:p w:rsidR="003A1527" w:rsidRDefault="00742A12">
      <w:pPr>
        <w:spacing w:after="200" w:line="240" w:lineRule="auto"/>
        <w:jc w:val="both"/>
        <w:rPr>
          <w:rFonts w:ascii="Times New Roman" w:hAnsi="Times New Roman" w:cstheme="minorHAnsi"/>
          <w:noProof/>
          <w:sz w:val="24"/>
          <w:szCs w:val="24"/>
        </w:rPr>
      </w:pPr>
      <w:r>
        <w:rPr>
          <w:rFonts w:ascii="Times New Roman" w:hAnsi="Times New Roman" w:cstheme="minorHAnsi"/>
          <w:b/>
          <w:noProof/>
          <w:sz w:val="24"/>
          <w:szCs w:val="24"/>
        </w:rPr>
        <w:t>On the Funds’ delivery</w:t>
      </w:r>
      <w:r>
        <w:rPr>
          <w:rFonts w:ascii="Times New Roman" w:hAnsi="Times New Roman" w:cstheme="minorHAnsi"/>
          <w:noProof/>
          <w:sz w:val="24"/>
          <w:szCs w:val="24"/>
        </w:rPr>
        <w:t>, a main topic wa</w:t>
      </w:r>
      <w:r>
        <w:rPr>
          <w:rFonts w:ascii="Times New Roman" w:hAnsi="Times New Roman" w:cstheme="minorHAnsi"/>
          <w:noProof/>
          <w:sz w:val="24"/>
          <w:szCs w:val="24"/>
        </w:rPr>
        <w:t xml:space="preserve">s </w:t>
      </w:r>
      <w:r>
        <w:rPr>
          <w:rFonts w:ascii="Times New Roman" w:hAnsi="Times New Roman" w:cstheme="minorHAnsi"/>
          <w:b/>
          <w:noProof/>
          <w:sz w:val="24"/>
          <w:szCs w:val="24"/>
          <w:lang w:val="en-US"/>
        </w:rPr>
        <w:t>simplification</w:t>
      </w:r>
      <w:r>
        <w:rPr>
          <w:rFonts w:ascii="Times New Roman" w:hAnsi="Times New Roman" w:cstheme="minorHAnsi"/>
          <w:noProof/>
          <w:sz w:val="24"/>
          <w:szCs w:val="24"/>
          <w:lang w:val="en-US"/>
        </w:rPr>
        <w:t>.</w:t>
      </w:r>
      <w:r>
        <w:rPr>
          <w:rFonts w:ascii="Times New Roman" w:hAnsi="Times New Roman" w:cstheme="minorHAnsi"/>
          <w:b/>
          <w:noProof/>
          <w:sz w:val="24"/>
          <w:szCs w:val="24"/>
          <w:lang w:val="en-US"/>
        </w:rPr>
        <w:t xml:space="preserve"> </w:t>
      </w:r>
      <w:r>
        <w:rPr>
          <w:rFonts w:ascii="Times New Roman" w:hAnsi="Times New Roman" w:cstheme="minorHAnsi"/>
          <w:noProof/>
          <w:sz w:val="24"/>
          <w:szCs w:val="24"/>
          <w:lang w:val="en-US"/>
        </w:rPr>
        <w:t>Concrete proposals were to develop the use of simplified cost options; to introduce one online search portal to improve access to information about project calls and results for all funds, including national funds (one-stop shop). In this</w:t>
      </w:r>
      <w:r>
        <w:rPr>
          <w:rFonts w:ascii="Times New Roman" w:hAnsi="Times New Roman" w:cstheme="minorHAnsi"/>
          <w:noProof/>
          <w:sz w:val="24"/>
          <w:szCs w:val="24"/>
          <w:lang w:val="en-US"/>
        </w:rPr>
        <w:t xml:space="preserve"> regard, </w:t>
      </w:r>
      <w:r>
        <w:rPr>
          <w:rFonts w:ascii="Times New Roman" w:hAnsi="Times New Roman" w:cstheme="minorHAnsi"/>
          <w:b/>
          <w:noProof/>
          <w:sz w:val="24"/>
          <w:szCs w:val="24"/>
          <w:lang w:val="en-US"/>
        </w:rPr>
        <w:t>r</w:t>
      </w:r>
      <w:r>
        <w:rPr>
          <w:rFonts w:ascii="Times New Roman" w:eastAsia="Calibri" w:hAnsi="Times New Roman" w:cstheme="minorHAnsi"/>
          <w:b/>
          <w:noProof/>
          <w:sz w:val="24"/>
          <w:szCs w:val="24"/>
          <w:lang w:eastAsia="it-IT"/>
        </w:rPr>
        <w:t>esults-based approaches</w:t>
      </w:r>
      <w:r>
        <w:rPr>
          <w:rFonts w:ascii="Times New Roman" w:eastAsia="Calibri" w:hAnsi="Times New Roman" w:cstheme="minorHAnsi"/>
          <w:noProof/>
          <w:sz w:val="24"/>
          <w:szCs w:val="24"/>
          <w:lang w:eastAsia="it-IT"/>
        </w:rPr>
        <w:t xml:space="preserve"> were endorsed, albeit with some reservations such as risk of </w:t>
      </w:r>
      <w:r>
        <w:rPr>
          <w:rFonts w:ascii="Times New Roman" w:hAnsi="Times New Roman" w:cstheme="minorHAnsi"/>
          <w:noProof/>
          <w:sz w:val="24"/>
          <w:szCs w:val="24"/>
        </w:rPr>
        <w:t>cherry picking and creaming of participants. A proposed mechanism to reduce this risk was a ‘risk allowance’. It is also believed that a culture built on results</w:t>
      </w:r>
      <w:r>
        <w:rPr>
          <w:rFonts w:ascii="Times New Roman" w:hAnsi="Times New Roman" w:cstheme="minorHAnsi"/>
          <w:noProof/>
          <w:sz w:val="24"/>
          <w:szCs w:val="24"/>
        </w:rPr>
        <w:t xml:space="preserve"> for beneficiaries might create an atmosphere where partnerships works better. Finally, results-based orientation should be accompanied by a reduction in the weight of </w:t>
      </w:r>
      <w:r>
        <w:rPr>
          <w:rFonts w:ascii="Times New Roman" w:hAnsi="Times New Roman" w:cstheme="minorHAnsi"/>
          <w:b/>
          <w:noProof/>
          <w:sz w:val="24"/>
          <w:szCs w:val="24"/>
        </w:rPr>
        <w:t>audit</w:t>
      </w:r>
      <w:r>
        <w:rPr>
          <w:rFonts w:ascii="Times New Roman" w:hAnsi="Times New Roman" w:cstheme="minorHAnsi"/>
          <w:noProof/>
          <w:sz w:val="24"/>
          <w:szCs w:val="24"/>
        </w:rPr>
        <w:t xml:space="preserve">. </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Related to simplification, the </w:t>
      </w:r>
      <w:r>
        <w:rPr>
          <w:rFonts w:ascii="Times New Roman" w:hAnsi="Times New Roman" w:cstheme="minorHAnsi"/>
          <w:b/>
          <w:noProof/>
          <w:sz w:val="24"/>
          <w:szCs w:val="24"/>
        </w:rPr>
        <w:t>capacity building of</w:t>
      </w:r>
      <w:r>
        <w:rPr>
          <w:rFonts w:ascii="Times New Roman" w:hAnsi="Times New Roman" w:cstheme="minorHAnsi"/>
          <w:noProof/>
          <w:sz w:val="24"/>
          <w:szCs w:val="24"/>
        </w:rPr>
        <w:t xml:space="preserve"> </w:t>
      </w:r>
      <w:r>
        <w:rPr>
          <w:rFonts w:ascii="Times New Roman" w:hAnsi="Times New Roman" w:cstheme="minorHAnsi"/>
          <w:b/>
          <w:noProof/>
          <w:sz w:val="24"/>
          <w:szCs w:val="24"/>
        </w:rPr>
        <w:t>smaller potential beneficiar</w:t>
      </w:r>
      <w:r>
        <w:rPr>
          <w:rFonts w:ascii="Times New Roman" w:hAnsi="Times New Roman" w:cstheme="minorHAnsi"/>
          <w:b/>
          <w:noProof/>
          <w:sz w:val="24"/>
          <w:szCs w:val="24"/>
        </w:rPr>
        <w:t xml:space="preserve">ies (civil society or small municipalities) </w:t>
      </w:r>
      <w:r>
        <w:rPr>
          <w:rFonts w:ascii="Times New Roman" w:hAnsi="Times New Roman" w:cstheme="minorHAnsi"/>
          <w:noProof/>
          <w:sz w:val="24"/>
          <w:szCs w:val="24"/>
        </w:rPr>
        <w:t>most in need but without the capacity to respond to calls for proposals should be supported in order to increase their participation.</w:t>
      </w:r>
    </w:p>
    <w:p w:rsidR="003A1527" w:rsidRDefault="00742A12">
      <w:pPr>
        <w:pStyle w:val="bullet1"/>
        <w:numPr>
          <w:ilvl w:val="0"/>
          <w:numId w:val="0"/>
        </w:numPr>
        <w:spacing w:line="240" w:lineRule="auto"/>
        <w:rPr>
          <w:rFonts w:ascii="Times New Roman" w:hAnsi="Times New Roman" w:cstheme="minorHAnsi"/>
          <w:noProof/>
          <w:sz w:val="24"/>
          <w:szCs w:val="24"/>
        </w:rPr>
      </w:pPr>
      <w:r>
        <w:rPr>
          <w:rFonts w:ascii="Times New Roman" w:hAnsi="Times New Roman" w:cstheme="minorHAnsi"/>
          <w:noProof/>
          <w:sz w:val="24"/>
          <w:szCs w:val="24"/>
        </w:rPr>
        <w:t xml:space="preserve">On policy alignment, the mismatch between 7 year programming period and the annual CSRs in the </w:t>
      </w:r>
      <w:r>
        <w:rPr>
          <w:rFonts w:ascii="Times New Roman" w:hAnsi="Times New Roman" w:cstheme="minorHAnsi"/>
          <w:b/>
          <w:noProof/>
          <w:sz w:val="24"/>
          <w:szCs w:val="24"/>
          <w:lang w:val="en-US"/>
        </w:rPr>
        <w:t xml:space="preserve">European </w:t>
      </w:r>
      <w:r>
        <w:rPr>
          <w:rFonts w:ascii="Times New Roman" w:hAnsi="Times New Roman" w:cstheme="minorHAnsi"/>
          <w:b/>
          <w:noProof/>
          <w:sz w:val="24"/>
          <w:szCs w:val="24"/>
        </w:rPr>
        <w:t>Semester</w:t>
      </w:r>
      <w:r>
        <w:rPr>
          <w:rFonts w:ascii="Times New Roman" w:hAnsi="Times New Roman" w:cstheme="minorHAnsi"/>
          <w:noProof/>
          <w:sz w:val="24"/>
          <w:szCs w:val="24"/>
        </w:rPr>
        <w:t xml:space="preserve"> should be addressed, e.g. by </w:t>
      </w:r>
      <w:r>
        <w:rPr>
          <w:rFonts w:ascii="Times New Roman" w:hAnsi="Times New Roman" w:cstheme="minorHAnsi"/>
          <w:noProof/>
          <w:sz w:val="24"/>
          <w:szCs w:val="24"/>
          <w:lang w:val="en-US"/>
        </w:rPr>
        <w:t>a longer roll-out period for implementing CSRs</w:t>
      </w:r>
      <w:r>
        <w:rPr>
          <w:rFonts w:ascii="Times New Roman" w:hAnsi="Times New Roman" w:cstheme="minorHAnsi"/>
          <w:noProof/>
          <w:sz w:val="24"/>
          <w:szCs w:val="24"/>
        </w:rPr>
        <w:t xml:space="preserve">. A proposal was made to </w:t>
      </w:r>
      <w:r>
        <w:rPr>
          <w:rFonts w:ascii="Times New Roman" w:hAnsi="Times New Roman" w:cstheme="minorHAnsi"/>
          <w:b/>
          <w:noProof/>
          <w:sz w:val="24"/>
          <w:szCs w:val="24"/>
        </w:rPr>
        <w:t>earmark funding to CSR implementation</w:t>
      </w:r>
      <w:r>
        <w:rPr>
          <w:rFonts w:ascii="Times New Roman" w:hAnsi="Times New Roman" w:cstheme="minorHAnsi"/>
          <w:noProof/>
          <w:sz w:val="24"/>
          <w:szCs w:val="24"/>
        </w:rPr>
        <w:t xml:space="preserve"> </w:t>
      </w:r>
      <w:r>
        <w:rPr>
          <w:rFonts w:ascii="Times New Roman" w:hAnsi="Times New Roman" w:cstheme="minorHAnsi"/>
          <w:b/>
          <w:noProof/>
          <w:sz w:val="24"/>
          <w:szCs w:val="24"/>
        </w:rPr>
        <w:t>in th</w:t>
      </w:r>
      <w:r>
        <w:rPr>
          <w:rFonts w:ascii="Times New Roman" w:hAnsi="Times New Roman" w:cstheme="minorHAnsi"/>
          <w:b/>
          <w:noProof/>
          <w:sz w:val="24"/>
          <w:szCs w:val="24"/>
        </w:rPr>
        <w:t>e different priority axes</w:t>
      </w:r>
      <w:r>
        <w:rPr>
          <w:rFonts w:ascii="Times New Roman" w:hAnsi="Times New Roman" w:cstheme="minorHAnsi"/>
          <w:noProof/>
          <w:sz w:val="24"/>
          <w:szCs w:val="24"/>
        </w:rPr>
        <w:t xml:space="preserve">. Moreover, CSRs should specify how the funds should contribute to their implementation, and </w:t>
      </w:r>
      <w:r>
        <w:rPr>
          <w:rFonts w:ascii="Times New Roman" w:hAnsi="Times New Roman" w:cstheme="minorHAnsi"/>
          <w:noProof/>
          <w:sz w:val="24"/>
          <w:szCs w:val="24"/>
          <w:lang w:val="en-US"/>
        </w:rPr>
        <w:t xml:space="preserve">should allow for quantification and monitoring. </w:t>
      </w:r>
    </w:p>
    <w:p w:rsidR="003A1527" w:rsidRDefault="00742A12">
      <w:pPr>
        <w:pStyle w:val="bullet1"/>
        <w:numPr>
          <w:ilvl w:val="0"/>
          <w:numId w:val="0"/>
        </w:numPr>
        <w:spacing w:line="240" w:lineRule="auto"/>
        <w:rPr>
          <w:noProof/>
        </w:rPr>
      </w:pPr>
      <w:r>
        <w:rPr>
          <w:rFonts w:ascii="Times New Roman" w:hAnsi="Times New Roman" w:cstheme="minorHAnsi"/>
          <w:noProof/>
          <w:sz w:val="24"/>
          <w:szCs w:val="24"/>
        </w:rPr>
        <w:t xml:space="preserve">There was a very clear message that </w:t>
      </w:r>
      <w:r>
        <w:rPr>
          <w:rFonts w:ascii="Times New Roman" w:hAnsi="Times New Roman" w:cstheme="minorHAnsi"/>
          <w:b/>
          <w:i/>
          <w:noProof/>
          <w:sz w:val="24"/>
          <w:szCs w:val="24"/>
        </w:rPr>
        <w:t>ex-ante</w:t>
      </w:r>
      <w:r>
        <w:rPr>
          <w:rFonts w:ascii="Times New Roman" w:hAnsi="Times New Roman" w:cstheme="minorHAnsi"/>
          <w:b/>
          <w:noProof/>
          <w:sz w:val="24"/>
          <w:szCs w:val="24"/>
        </w:rPr>
        <w:t xml:space="preserve"> conditionalities</w:t>
      </w:r>
      <w:r>
        <w:rPr>
          <w:rFonts w:ascii="Times New Roman" w:hAnsi="Times New Roman" w:cstheme="minorHAnsi"/>
          <w:noProof/>
          <w:sz w:val="24"/>
          <w:szCs w:val="24"/>
        </w:rPr>
        <w:t xml:space="preserve"> were targeted, efficient and</w:t>
      </w:r>
      <w:r>
        <w:rPr>
          <w:rFonts w:ascii="Times New Roman" w:hAnsi="Times New Roman" w:cstheme="minorHAnsi"/>
          <w:noProof/>
          <w:sz w:val="24"/>
          <w:szCs w:val="24"/>
        </w:rPr>
        <w:t xml:space="preserve"> sustainable (e.g. in deinstitutionalisation) and should be preserved. However in order to increase their effectiveness, they should be monitored, followed up rather than remaining a one-off exercise and should apply across EU finding instruments and acros</w:t>
      </w:r>
      <w:r>
        <w:rPr>
          <w:rFonts w:ascii="Times New Roman" w:hAnsi="Times New Roman" w:cstheme="minorHAnsi"/>
          <w:noProof/>
          <w:sz w:val="24"/>
          <w:szCs w:val="24"/>
        </w:rPr>
        <w:t>s all EU Member States.</w:t>
      </w:r>
      <w:r>
        <w:rPr>
          <w:rFonts w:ascii="Times New Roman" w:hAnsi="Times New Roman" w:cstheme="minorHAnsi"/>
          <w:noProof/>
          <w:sz w:val="24"/>
          <w:szCs w:val="24"/>
          <w:lang w:val="en-US"/>
        </w:rPr>
        <w:t xml:space="preserve"> The ESF should remain a part of </w:t>
      </w:r>
      <w:r>
        <w:rPr>
          <w:rFonts w:ascii="Times New Roman" w:hAnsi="Times New Roman" w:cstheme="minorHAnsi"/>
          <w:b/>
          <w:noProof/>
          <w:sz w:val="24"/>
          <w:szCs w:val="24"/>
          <w:lang w:val="en-US"/>
        </w:rPr>
        <w:t>Cohesion Policy</w:t>
      </w:r>
      <w:r>
        <w:rPr>
          <w:rFonts w:ascii="Times New Roman" w:hAnsi="Times New Roman" w:cstheme="minorHAnsi"/>
          <w:noProof/>
          <w:sz w:val="24"/>
          <w:szCs w:val="24"/>
          <w:lang w:val="en-US"/>
        </w:rPr>
        <w:t xml:space="preserve">. However there is a need to include </w:t>
      </w:r>
      <w:r>
        <w:rPr>
          <w:rFonts w:ascii="Times New Roman" w:hAnsi="Times New Roman" w:cstheme="minorHAnsi"/>
          <w:b/>
          <w:noProof/>
          <w:sz w:val="24"/>
          <w:szCs w:val="24"/>
          <w:lang w:val="en-US"/>
        </w:rPr>
        <w:t>social indicators</w:t>
      </w:r>
      <w:r>
        <w:rPr>
          <w:rFonts w:ascii="Times New Roman" w:hAnsi="Times New Roman" w:cstheme="minorHAnsi"/>
          <w:noProof/>
          <w:sz w:val="24"/>
          <w:szCs w:val="24"/>
          <w:lang w:val="en-US"/>
        </w:rPr>
        <w:t xml:space="preserve"> alongside GDP, to make sure that funds go where they are needed (e.g. to reach migrants in urban areas that have high GDP).</w:t>
      </w:r>
    </w:p>
    <w:p w:rsidR="003A1527" w:rsidRDefault="00742A12">
      <w:pPr>
        <w:pStyle w:val="ListParagraph"/>
        <w:spacing w:after="60" w:line="240" w:lineRule="auto"/>
        <w:ind w:left="0"/>
        <w:jc w:val="both"/>
        <w:rPr>
          <w:rFonts w:ascii="Times New Roman" w:hAnsi="Times New Roman" w:cstheme="minorHAnsi"/>
          <w:noProof/>
          <w:sz w:val="24"/>
          <w:szCs w:val="24"/>
          <w:lang w:val="en-US"/>
        </w:rPr>
      </w:pPr>
      <w:r>
        <w:rPr>
          <w:rFonts w:ascii="Times New Roman" w:hAnsi="Times New Roman" w:cstheme="minorHAnsi"/>
          <w:b/>
          <w:noProof/>
          <w:sz w:val="24"/>
          <w:szCs w:val="24"/>
        </w:rPr>
        <w:t>Synerg</w:t>
      </w:r>
      <w:r>
        <w:rPr>
          <w:rFonts w:ascii="Times New Roman" w:hAnsi="Times New Roman" w:cstheme="minorHAnsi"/>
          <w:b/>
          <w:noProof/>
          <w:sz w:val="24"/>
          <w:szCs w:val="24"/>
        </w:rPr>
        <w:t>ies and complementarities</w:t>
      </w:r>
      <w:r>
        <w:rPr>
          <w:rFonts w:ascii="Times New Roman" w:hAnsi="Times New Roman" w:cstheme="minorHAnsi"/>
          <w:noProof/>
          <w:sz w:val="24"/>
          <w:szCs w:val="24"/>
        </w:rPr>
        <w:t xml:space="preserve"> should go together with </w:t>
      </w:r>
      <w:r>
        <w:rPr>
          <w:rFonts w:ascii="Times New Roman" w:hAnsi="Times New Roman" w:cstheme="minorHAnsi"/>
          <w:b/>
          <w:noProof/>
          <w:sz w:val="24"/>
          <w:szCs w:val="24"/>
        </w:rPr>
        <w:t xml:space="preserve">simplification </w:t>
      </w:r>
      <w:r>
        <w:rPr>
          <w:rFonts w:ascii="Times New Roman" w:hAnsi="Times New Roman" w:cstheme="minorHAnsi"/>
          <w:noProof/>
          <w:sz w:val="24"/>
          <w:szCs w:val="24"/>
        </w:rPr>
        <w:t xml:space="preserve">and should help to mainstream innovative projects. The EU should also </w:t>
      </w:r>
      <w:r>
        <w:rPr>
          <w:rFonts w:ascii="Times New Roman" w:hAnsi="Times New Roman" w:cstheme="minorHAnsi"/>
          <w:b/>
          <w:noProof/>
          <w:sz w:val="24"/>
          <w:szCs w:val="24"/>
        </w:rPr>
        <w:t>foster a culture for synergies</w:t>
      </w:r>
      <w:r>
        <w:rPr>
          <w:rFonts w:ascii="Times New Roman" w:hAnsi="Times New Roman" w:cstheme="minorHAnsi"/>
          <w:noProof/>
          <w:sz w:val="24"/>
          <w:szCs w:val="24"/>
        </w:rPr>
        <w:t>, i.e. a culture of working together in a spirit of cooperation. Interventions need to be d</w:t>
      </w:r>
      <w:r>
        <w:rPr>
          <w:rFonts w:ascii="Times New Roman" w:hAnsi="Times New Roman" w:cstheme="minorHAnsi"/>
          <w:noProof/>
          <w:sz w:val="24"/>
          <w:szCs w:val="24"/>
        </w:rPr>
        <w:t xml:space="preserve">esigned </w:t>
      </w:r>
      <w:r>
        <w:rPr>
          <w:rFonts w:ascii="Times New Roman" w:hAnsi="Times New Roman" w:cs="Times New Roman"/>
          <w:noProof/>
          <w:sz w:val="24"/>
          <w:szCs w:val="24"/>
        </w:rPr>
        <w:t xml:space="preserve">bearing complementarity in mind from the very start. Aligning the monitoring requirements between the funds would also help. </w:t>
      </w:r>
      <w:r>
        <w:rPr>
          <w:rFonts w:ascii="Times New Roman" w:hAnsi="Times New Roman" w:cstheme="minorHAnsi"/>
          <w:noProof/>
          <w:sz w:val="24"/>
          <w:szCs w:val="24"/>
        </w:rPr>
        <w:t>A future ESF+ merging several funds should preserve the smaller funds’ flexibility</w:t>
      </w:r>
      <w:r>
        <w:rPr>
          <w:rFonts w:ascii="Times New Roman" w:hAnsi="Times New Roman"/>
          <w:noProof/>
          <w:sz w:val="24"/>
        </w:rPr>
        <w:t xml:space="preserve"> </w:t>
      </w:r>
      <w:r>
        <w:rPr>
          <w:rFonts w:ascii="Times New Roman" w:hAnsi="Times New Roman" w:cstheme="minorHAnsi"/>
          <w:noProof/>
          <w:sz w:val="24"/>
          <w:szCs w:val="24"/>
        </w:rPr>
        <w:t>(particularly stressed for EGF). Concern</w:t>
      </w:r>
      <w:r>
        <w:rPr>
          <w:rFonts w:ascii="Times New Roman" w:hAnsi="Times New Roman" w:cstheme="minorHAnsi"/>
          <w:noProof/>
          <w:sz w:val="24"/>
          <w:szCs w:val="24"/>
        </w:rPr>
        <w:t xml:space="preserve">s were raised that bringing together Funds with different management modes could create more complications than simplifications. </w:t>
      </w:r>
    </w:p>
    <w:p w:rsidR="003A1527" w:rsidRDefault="00742A12">
      <w:pPr>
        <w:pStyle w:val="bullet1"/>
        <w:numPr>
          <w:ilvl w:val="0"/>
          <w:numId w:val="0"/>
        </w:numPr>
        <w:spacing w:line="240" w:lineRule="auto"/>
        <w:rPr>
          <w:rFonts w:ascii="Times New Roman" w:hAnsi="Times New Roman" w:cstheme="minorHAnsi"/>
          <w:i/>
          <w:noProof/>
          <w:sz w:val="24"/>
          <w:szCs w:val="24"/>
          <w:lang w:val="en-US"/>
        </w:rPr>
      </w:pPr>
      <w:r>
        <w:rPr>
          <w:rFonts w:ascii="Times New Roman" w:hAnsi="Times New Roman" w:cstheme="minorHAnsi"/>
          <w:b/>
          <w:noProof/>
          <w:sz w:val="24"/>
          <w:szCs w:val="24"/>
          <w:lang w:val="en-US"/>
        </w:rPr>
        <w:t>Monitoring and evaluation</w:t>
      </w:r>
      <w:r>
        <w:rPr>
          <w:rFonts w:ascii="Times New Roman" w:hAnsi="Times New Roman" w:cstheme="minorHAnsi"/>
          <w:noProof/>
          <w:sz w:val="24"/>
          <w:szCs w:val="24"/>
          <w:lang w:val="en-US"/>
        </w:rPr>
        <w:t xml:space="preserve"> should pay greater attention to </w:t>
      </w:r>
      <w:r>
        <w:rPr>
          <w:rFonts w:ascii="Times New Roman" w:hAnsi="Times New Roman" w:cstheme="minorHAnsi"/>
          <w:b/>
          <w:noProof/>
          <w:sz w:val="24"/>
          <w:szCs w:val="24"/>
          <w:lang w:val="en-US"/>
        </w:rPr>
        <w:t>qualitative</w:t>
      </w:r>
      <w:r>
        <w:rPr>
          <w:rFonts w:ascii="Times New Roman" w:hAnsi="Times New Roman" w:cstheme="minorHAnsi"/>
          <w:noProof/>
          <w:sz w:val="24"/>
          <w:szCs w:val="24"/>
          <w:lang w:val="en-US"/>
        </w:rPr>
        <w:t xml:space="preserve"> as opposed to quantitative data, and should develop a common methodology to measure impact and dimensions that go beyond labour market integration (e.g. intermediate steps, especially for people at risk of poverty and social exclusion). It was reminded th</w:t>
      </w:r>
      <w:r>
        <w:rPr>
          <w:rFonts w:ascii="Times New Roman" w:hAnsi="Times New Roman" w:cstheme="minorHAnsi"/>
          <w:noProof/>
          <w:sz w:val="24"/>
          <w:szCs w:val="24"/>
          <w:lang w:val="en-US"/>
        </w:rPr>
        <w:t xml:space="preserve">at the difference between failure and success is not clear-cut and the monitoring should move away from ticking boxes to looking at actual outcomes (instead of numbers). </w:t>
      </w:r>
    </w:p>
    <w:p w:rsidR="003A1527" w:rsidRDefault="00742A12">
      <w:pPr>
        <w:pStyle w:val="ListParagraph"/>
        <w:spacing w:after="60" w:line="240" w:lineRule="auto"/>
        <w:ind w:left="0"/>
        <w:jc w:val="both"/>
        <w:rPr>
          <w:rFonts w:ascii="Times New Roman" w:hAnsi="Times New Roman" w:cstheme="minorHAnsi"/>
          <w:noProof/>
          <w:sz w:val="24"/>
          <w:szCs w:val="24"/>
          <w:lang w:val="en-US"/>
        </w:rPr>
      </w:pPr>
      <w:r>
        <w:rPr>
          <w:rFonts w:ascii="Times New Roman" w:hAnsi="Times New Roman" w:cstheme="minorHAnsi"/>
          <w:noProof/>
          <w:sz w:val="24"/>
          <w:szCs w:val="24"/>
          <w:lang w:val="en-US"/>
        </w:rPr>
        <w:t xml:space="preserve">The importance of </w:t>
      </w:r>
      <w:r>
        <w:rPr>
          <w:rFonts w:ascii="Times New Roman" w:hAnsi="Times New Roman" w:cstheme="minorHAnsi"/>
          <w:b/>
          <w:noProof/>
          <w:sz w:val="24"/>
          <w:szCs w:val="24"/>
          <w:lang w:val="en-US"/>
        </w:rPr>
        <w:t>improving partnerships</w:t>
      </w:r>
      <w:r>
        <w:rPr>
          <w:rFonts w:ascii="Times New Roman" w:hAnsi="Times New Roman" w:cstheme="minorHAnsi"/>
          <w:noProof/>
          <w:sz w:val="24"/>
          <w:szCs w:val="24"/>
          <w:lang w:val="en-US"/>
        </w:rPr>
        <w:t xml:space="preserve"> through involvement of beneficiaries, notabl</w:t>
      </w:r>
      <w:r>
        <w:rPr>
          <w:rFonts w:ascii="Times New Roman" w:hAnsi="Times New Roman" w:cstheme="minorHAnsi"/>
          <w:noProof/>
          <w:sz w:val="24"/>
          <w:szCs w:val="24"/>
          <w:lang w:val="en-US"/>
        </w:rPr>
        <w:t xml:space="preserve">y NGOs in the management of the funds was a key issue in the discussions. The </w:t>
      </w:r>
      <w:r>
        <w:rPr>
          <w:rFonts w:ascii="Times New Roman" w:hAnsi="Times New Roman" w:cstheme="minorHAnsi"/>
          <w:b/>
          <w:noProof/>
          <w:sz w:val="24"/>
          <w:szCs w:val="24"/>
          <w:lang w:val="en-US"/>
        </w:rPr>
        <w:t>European Code of Conduct on Partnership</w:t>
      </w:r>
      <w:r>
        <w:rPr>
          <w:rFonts w:ascii="Times New Roman" w:hAnsi="Times New Roman" w:cstheme="minorHAnsi"/>
          <w:noProof/>
          <w:sz w:val="24"/>
          <w:szCs w:val="24"/>
          <w:lang w:val="en-US"/>
        </w:rPr>
        <w:t xml:space="preserve"> was an important element in this period, but its implementation should be improved in the next period, e.g. by making it into an ex-ante c</w:t>
      </w:r>
      <w:r>
        <w:rPr>
          <w:rFonts w:ascii="Times New Roman" w:hAnsi="Times New Roman" w:cstheme="minorHAnsi"/>
          <w:noProof/>
          <w:sz w:val="24"/>
          <w:szCs w:val="24"/>
          <w:lang w:val="en-US"/>
        </w:rPr>
        <w:t xml:space="preserve">onditionality for the next programming period, and with a stronger emphasis on the involvement of civil society end-users of the Funds. In addition, the European Commission and civil society need to have a </w:t>
      </w:r>
      <w:r>
        <w:rPr>
          <w:rFonts w:ascii="Times New Roman" w:hAnsi="Times New Roman" w:cstheme="minorHAnsi"/>
          <w:b/>
          <w:noProof/>
          <w:sz w:val="24"/>
          <w:szCs w:val="24"/>
          <w:lang w:val="en-US"/>
        </w:rPr>
        <w:t>stronger role in the monitoring committees</w:t>
      </w:r>
      <w:r>
        <w:rPr>
          <w:rFonts w:ascii="Times New Roman" w:hAnsi="Times New Roman" w:cstheme="minorHAnsi"/>
          <w:noProof/>
          <w:sz w:val="24"/>
          <w:szCs w:val="24"/>
          <w:lang w:val="en-US"/>
        </w:rPr>
        <w:t xml:space="preserve">. Local </w:t>
      </w:r>
      <w:r>
        <w:rPr>
          <w:rFonts w:ascii="Times New Roman" w:hAnsi="Times New Roman" w:cstheme="minorHAnsi"/>
          <w:noProof/>
          <w:sz w:val="24"/>
          <w:szCs w:val="24"/>
          <w:lang w:val="en-US"/>
        </w:rPr>
        <w:t xml:space="preserve">communities and the grass-roots should be more closely involved in the implementation and monitoring of EU funding. </w:t>
      </w:r>
    </w:p>
    <w:p w:rsidR="003A1527" w:rsidRDefault="00742A12">
      <w:pPr>
        <w:pStyle w:val="bullet1"/>
        <w:numPr>
          <w:ilvl w:val="0"/>
          <w:numId w:val="0"/>
        </w:numPr>
        <w:spacing w:line="240" w:lineRule="auto"/>
        <w:rPr>
          <w:rFonts w:ascii="Times New Roman" w:hAnsi="Times New Roman" w:cstheme="minorHAnsi"/>
          <w:bCs w:val="0"/>
          <w:noProof/>
          <w:sz w:val="24"/>
          <w:szCs w:val="24"/>
          <w:lang w:val="en-US"/>
        </w:rPr>
      </w:pPr>
      <w:r>
        <w:rPr>
          <w:rFonts w:ascii="Times New Roman" w:hAnsi="Times New Roman" w:cstheme="minorHAnsi"/>
          <w:b/>
          <w:bCs w:val="0"/>
          <w:noProof/>
          <w:sz w:val="24"/>
          <w:szCs w:val="24"/>
          <w:lang w:val="en-US"/>
        </w:rPr>
        <w:t>Improving transnationality</w:t>
      </w:r>
      <w:r>
        <w:rPr>
          <w:rFonts w:ascii="Times New Roman" w:hAnsi="Times New Roman" w:cstheme="minorHAnsi"/>
          <w:bCs w:val="0"/>
          <w:noProof/>
          <w:sz w:val="24"/>
          <w:szCs w:val="24"/>
          <w:lang w:val="en-US"/>
        </w:rPr>
        <w:t xml:space="preserve"> was a prominent question in the discussions. It should be improved and used not only to share ideas between coun</w:t>
      </w:r>
      <w:r>
        <w:rPr>
          <w:rFonts w:ascii="Times New Roman" w:hAnsi="Times New Roman" w:cstheme="minorHAnsi"/>
          <w:bCs w:val="0"/>
          <w:noProof/>
          <w:sz w:val="24"/>
          <w:szCs w:val="24"/>
          <w:lang w:val="en-US"/>
        </w:rPr>
        <w:t>tries, but also to develop new approaches together.</w:t>
      </w:r>
    </w:p>
    <w:p w:rsidR="003A1527" w:rsidRDefault="00742A12">
      <w:pPr>
        <w:pStyle w:val="bullet1"/>
        <w:numPr>
          <w:ilvl w:val="0"/>
          <w:numId w:val="0"/>
        </w:numPr>
        <w:spacing w:line="240" w:lineRule="auto"/>
        <w:rPr>
          <w:rFonts w:ascii="Times New Roman" w:hAnsi="Times New Roman" w:cstheme="minorHAnsi"/>
          <w:noProof/>
          <w:sz w:val="24"/>
          <w:szCs w:val="24"/>
          <w:lang w:eastAsia="it-IT"/>
        </w:rPr>
      </w:pPr>
      <w:r>
        <w:rPr>
          <w:rFonts w:ascii="Times New Roman" w:hAnsi="Times New Roman" w:cstheme="minorHAnsi"/>
          <w:noProof/>
          <w:sz w:val="24"/>
          <w:szCs w:val="24"/>
          <w:lang w:eastAsia="it-IT"/>
        </w:rPr>
        <w:t xml:space="preserve">Consensus for ring fencing in the next programming period for </w:t>
      </w:r>
      <w:r>
        <w:rPr>
          <w:rFonts w:ascii="Times New Roman" w:hAnsi="Times New Roman" w:cstheme="minorHAnsi"/>
          <w:b/>
          <w:noProof/>
          <w:sz w:val="24"/>
          <w:szCs w:val="24"/>
          <w:lang w:eastAsia="it-IT"/>
        </w:rPr>
        <w:t>transnationality</w:t>
      </w:r>
      <w:r>
        <w:rPr>
          <w:rFonts w:ascii="Times New Roman" w:hAnsi="Times New Roman" w:cstheme="minorHAnsi"/>
          <w:noProof/>
          <w:sz w:val="24"/>
          <w:szCs w:val="24"/>
          <w:lang w:eastAsia="it-IT"/>
        </w:rPr>
        <w:t xml:space="preserve"> and for </w:t>
      </w:r>
      <w:r>
        <w:rPr>
          <w:rFonts w:ascii="Times New Roman" w:hAnsi="Times New Roman" w:cstheme="minorHAnsi"/>
          <w:b/>
          <w:noProof/>
          <w:sz w:val="24"/>
          <w:szCs w:val="24"/>
          <w:lang w:eastAsia="it-IT"/>
        </w:rPr>
        <w:t>social innovation</w:t>
      </w:r>
      <w:r>
        <w:rPr>
          <w:rFonts w:ascii="Times New Roman" w:hAnsi="Times New Roman" w:cstheme="minorHAnsi"/>
          <w:noProof/>
          <w:sz w:val="24"/>
          <w:szCs w:val="24"/>
          <w:lang w:eastAsia="it-IT"/>
        </w:rPr>
        <w:t>, which would require all Member States to have transnationality and SI. The two elements should how</w:t>
      </w:r>
      <w:r>
        <w:rPr>
          <w:rFonts w:ascii="Times New Roman" w:hAnsi="Times New Roman" w:cstheme="minorHAnsi"/>
          <w:noProof/>
          <w:sz w:val="24"/>
          <w:szCs w:val="24"/>
          <w:lang w:eastAsia="it-IT"/>
        </w:rPr>
        <w:t xml:space="preserve">ever be </w:t>
      </w:r>
      <w:r>
        <w:rPr>
          <w:rFonts w:ascii="Times New Roman" w:hAnsi="Times New Roman" w:cstheme="minorHAnsi"/>
          <w:b/>
          <w:noProof/>
          <w:sz w:val="24"/>
          <w:szCs w:val="24"/>
          <w:lang w:eastAsia="it-IT"/>
        </w:rPr>
        <w:t>dissociated</w:t>
      </w:r>
      <w:r>
        <w:rPr>
          <w:rFonts w:ascii="Times New Roman" w:hAnsi="Times New Roman" w:cstheme="minorHAnsi"/>
          <w:noProof/>
          <w:sz w:val="24"/>
          <w:szCs w:val="24"/>
          <w:lang w:eastAsia="it-IT"/>
        </w:rPr>
        <w:t>. On social innovation, it is important to use</w:t>
      </w:r>
      <w:r>
        <w:rPr>
          <w:rFonts w:ascii="Times New Roman" w:hAnsi="Times New Roman" w:cstheme="minorHAnsi"/>
          <w:noProof/>
          <w:sz w:val="24"/>
          <w:szCs w:val="24"/>
          <w:lang w:val="en-US"/>
        </w:rPr>
        <w:t xml:space="preserve"> the ESF’s potential in more risky innovative interventions, and to </w:t>
      </w:r>
      <w:r>
        <w:rPr>
          <w:rFonts w:ascii="Times New Roman" w:hAnsi="Times New Roman" w:cstheme="minorHAnsi"/>
          <w:noProof/>
          <w:sz w:val="24"/>
          <w:szCs w:val="24"/>
        </w:rPr>
        <w:t xml:space="preserve">mainstream social innovation in order to ensure </w:t>
      </w:r>
      <w:r>
        <w:rPr>
          <w:rFonts w:ascii="Times New Roman" w:hAnsi="Times New Roman" w:cstheme="minorHAnsi"/>
          <w:noProof/>
          <w:sz w:val="24"/>
          <w:szCs w:val="24"/>
          <w:lang w:val="en-US"/>
        </w:rPr>
        <w:t>interventions’ sustainability. In addition, s</w:t>
      </w:r>
      <w:r>
        <w:rPr>
          <w:rFonts w:ascii="Times New Roman" w:hAnsi="Times New Roman" w:cstheme="minorHAnsi"/>
          <w:noProof/>
          <w:sz w:val="24"/>
          <w:szCs w:val="24"/>
          <w:lang w:eastAsia="it-IT"/>
        </w:rPr>
        <w:t xml:space="preserve">takeholders pleaded for the </w:t>
      </w:r>
      <w:r>
        <w:rPr>
          <w:rFonts w:ascii="Times New Roman" w:hAnsi="Times New Roman" w:cstheme="minorHAnsi"/>
          <w:b/>
          <w:noProof/>
          <w:sz w:val="24"/>
          <w:szCs w:val="24"/>
          <w:lang w:eastAsia="it-IT"/>
        </w:rPr>
        <w:t>re</w:t>
      </w:r>
      <w:r>
        <w:rPr>
          <w:rFonts w:ascii="Times New Roman" w:hAnsi="Times New Roman" w:cstheme="minorHAnsi"/>
          <w:b/>
          <w:noProof/>
          <w:sz w:val="24"/>
          <w:szCs w:val="24"/>
          <w:lang w:eastAsia="it-IT"/>
        </w:rPr>
        <w:t>turn of a simplified version of the EQUAL programme</w:t>
      </w:r>
      <w:r>
        <w:rPr>
          <w:rFonts w:ascii="Times New Roman" w:hAnsi="Times New Roman" w:cstheme="minorHAnsi"/>
          <w:noProof/>
          <w:sz w:val="24"/>
          <w:szCs w:val="24"/>
          <w:lang w:eastAsia="it-IT"/>
        </w:rPr>
        <w:t xml:space="preserve"> (discontinued in the 2014-2020 programming period) with more flexible rules and</w:t>
      </w:r>
      <w:r>
        <w:rPr>
          <w:rFonts w:ascii="Times New Roman" w:hAnsi="Times New Roman" w:cstheme="minorHAnsi"/>
          <w:noProof/>
          <w:sz w:val="24"/>
          <w:szCs w:val="24"/>
        </w:rPr>
        <w:t xml:space="preserve"> funding of integrated services</w:t>
      </w:r>
      <w:r>
        <w:rPr>
          <w:rFonts w:ascii="Times New Roman" w:hAnsi="Times New Roman" w:cstheme="minorHAnsi"/>
          <w:noProof/>
          <w:sz w:val="24"/>
          <w:szCs w:val="24"/>
          <w:lang w:eastAsia="it-IT"/>
        </w:rPr>
        <w:t xml:space="preserve">. </w:t>
      </w:r>
    </w:p>
    <w:p w:rsidR="003A1527" w:rsidRDefault="00742A12">
      <w:pPr>
        <w:pStyle w:val="bullet1"/>
        <w:numPr>
          <w:ilvl w:val="0"/>
          <w:numId w:val="0"/>
        </w:numPr>
        <w:spacing w:line="240" w:lineRule="auto"/>
        <w:rPr>
          <w:rFonts w:ascii="Times New Roman" w:hAnsi="Times New Roman" w:cs="Times New Roman"/>
          <w:noProof/>
          <w:sz w:val="24"/>
          <w:szCs w:val="24"/>
        </w:rPr>
      </w:pPr>
      <w:r>
        <w:rPr>
          <w:rFonts w:ascii="Times New Roman" w:hAnsi="Times New Roman" w:cstheme="minorHAnsi"/>
          <w:noProof/>
          <w:sz w:val="24"/>
          <w:szCs w:val="24"/>
        </w:rPr>
        <w:t xml:space="preserve">Last but not least, the outcome of investments is not always in line with applicable </w:t>
      </w:r>
      <w:r>
        <w:rPr>
          <w:rFonts w:ascii="Times New Roman" w:hAnsi="Times New Roman" w:cstheme="minorHAnsi"/>
          <w:b/>
          <w:noProof/>
          <w:sz w:val="24"/>
          <w:szCs w:val="24"/>
        </w:rPr>
        <w:t xml:space="preserve">human </w:t>
      </w:r>
      <w:r>
        <w:rPr>
          <w:rFonts w:ascii="Times New Roman" w:hAnsi="Times New Roman" w:cstheme="minorHAnsi"/>
          <w:b/>
          <w:noProof/>
          <w:sz w:val="24"/>
          <w:szCs w:val="24"/>
        </w:rPr>
        <w:t>rights law</w:t>
      </w:r>
      <w:r>
        <w:rPr>
          <w:rFonts w:ascii="Times New Roman" w:hAnsi="Times New Roman" w:cstheme="minorHAnsi"/>
          <w:noProof/>
          <w:sz w:val="24"/>
          <w:szCs w:val="24"/>
        </w:rPr>
        <w:t xml:space="preserve"> (e.g. UN CRC, CRPD and the EU Charter of Fundamental Rights). A </w:t>
      </w:r>
      <w:r>
        <w:rPr>
          <w:rFonts w:ascii="Times New Roman" w:hAnsi="Times New Roman" w:cstheme="minorHAnsi"/>
          <w:b/>
          <w:noProof/>
          <w:sz w:val="24"/>
          <w:szCs w:val="24"/>
        </w:rPr>
        <w:t>rights-based approach</w:t>
      </w:r>
      <w:r>
        <w:rPr>
          <w:rFonts w:ascii="Times New Roman" w:hAnsi="Times New Roman" w:cstheme="minorHAnsi"/>
          <w:noProof/>
          <w:sz w:val="24"/>
          <w:szCs w:val="24"/>
        </w:rPr>
        <w:t xml:space="preserve"> should be streamlined in the Regulation. There is a need for an easily accessible complaints mechanism to flag Funds misuse.</w:t>
      </w:r>
      <w:r>
        <w:rPr>
          <w:rFonts w:ascii="Times New Roman" w:hAnsi="Times New Roman" w:cstheme="minorHAnsi"/>
          <w:noProof/>
          <w:sz w:val="24"/>
          <w:szCs w:val="24"/>
          <w:lang w:val="en-US"/>
        </w:rPr>
        <w:t xml:space="preserve"> Moreover, the respect of </w:t>
      </w:r>
      <w:r>
        <w:rPr>
          <w:rFonts w:ascii="Times New Roman" w:hAnsi="Times New Roman" w:cstheme="minorHAnsi"/>
          <w:b/>
          <w:noProof/>
          <w:sz w:val="24"/>
          <w:szCs w:val="24"/>
          <w:lang w:val="en-US"/>
        </w:rPr>
        <w:t>quality s</w:t>
      </w:r>
      <w:r>
        <w:rPr>
          <w:rFonts w:ascii="Times New Roman" w:hAnsi="Times New Roman" w:cstheme="minorHAnsi"/>
          <w:b/>
          <w:noProof/>
          <w:sz w:val="24"/>
          <w:szCs w:val="24"/>
          <w:lang w:val="en-US"/>
        </w:rPr>
        <w:t>tandards</w:t>
      </w:r>
      <w:r>
        <w:rPr>
          <w:rFonts w:ascii="Times New Roman" w:hAnsi="Times New Roman" w:cstheme="minorHAnsi"/>
          <w:noProof/>
          <w:sz w:val="24"/>
          <w:szCs w:val="24"/>
          <w:lang w:val="en-US"/>
        </w:rPr>
        <w:t xml:space="preserve"> should be embedded in the Regulations to avoid funding activities that go against EU standards.</w:t>
      </w:r>
      <w:r>
        <w:rPr>
          <w:rFonts w:ascii="Times New Roman" w:hAnsi="Times New Roman" w:cstheme="minorHAnsi"/>
          <w:noProof/>
          <w:sz w:val="24"/>
          <w:szCs w:val="24"/>
        </w:rPr>
        <w:t xml:space="preserve"> To this end m</w:t>
      </w:r>
      <w:r>
        <w:rPr>
          <w:rFonts w:ascii="Times New Roman" w:hAnsi="Times New Roman" w:cstheme="minorHAnsi"/>
          <w:noProof/>
          <w:sz w:val="24"/>
          <w:szCs w:val="24"/>
          <w:lang w:val="en-US"/>
        </w:rPr>
        <w:t>ore investment in training Managing Authorities at all levels of respect for human rights.</w:t>
      </w:r>
    </w:p>
    <w:p w:rsidR="003A1527" w:rsidRDefault="003A1527">
      <w:pPr>
        <w:pStyle w:val="AppendixH1"/>
        <w:numPr>
          <w:ilvl w:val="0"/>
          <w:numId w:val="0"/>
        </w:numPr>
        <w:suppressAutoHyphens w:val="0"/>
        <w:autoSpaceDN/>
        <w:spacing w:after="0" w:line="240" w:lineRule="auto"/>
        <w:jc w:val="both"/>
        <w:textAlignment w:val="auto"/>
        <w:rPr>
          <w:b w:val="0"/>
          <w:noProof/>
        </w:rPr>
      </w:pPr>
    </w:p>
    <w:p w:rsidR="003A1527" w:rsidRDefault="00742A12">
      <w:pPr>
        <w:pStyle w:val="AppendixH1"/>
        <w:numPr>
          <w:ilvl w:val="0"/>
          <w:numId w:val="0"/>
        </w:numPr>
        <w:suppressAutoHyphens w:val="0"/>
        <w:autoSpaceDN/>
        <w:spacing w:after="0" w:line="240" w:lineRule="auto"/>
        <w:jc w:val="both"/>
        <w:textAlignment w:val="auto"/>
        <w:rPr>
          <w:noProof/>
        </w:rPr>
      </w:pPr>
      <w:r>
        <w:rPr>
          <w:noProof/>
        </w:rPr>
        <w:t xml:space="preserve">5.4. Position papers </w:t>
      </w:r>
    </w:p>
    <w:p w:rsidR="003A1527" w:rsidRDefault="00742A12">
      <w:pPr>
        <w:spacing w:before="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Overall, stakeholders ex</w:t>
      </w:r>
      <w:r>
        <w:rPr>
          <w:rFonts w:ascii="Times New Roman" w:hAnsi="Times New Roman" w:cs="Times New Roman"/>
          <w:noProof/>
          <w:sz w:val="24"/>
          <w:szCs w:val="24"/>
        </w:rPr>
        <w:t xml:space="preserve">press a strong wish for the cohesion funds to continue in the next MFF. Administrative </w:t>
      </w:r>
      <w:r>
        <w:rPr>
          <w:rFonts w:ascii="Times New Roman" w:hAnsi="Times New Roman" w:cs="Times New Roman"/>
          <w:b/>
          <w:noProof/>
          <w:sz w:val="24"/>
          <w:szCs w:val="24"/>
        </w:rPr>
        <w:t>simplification</w:t>
      </w:r>
      <w:r>
        <w:rPr>
          <w:rFonts w:ascii="Times New Roman" w:hAnsi="Times New Roman" w:cs="Times New Roman"/>
          <w:noProof/>
          <w:sz w:val="24"/>
          <w:szCs w:val="24"/>
        </w:rPr>
        <w:t xml:space="preserve"> is also broadly welcomed. From the national perspective, aspect of trust linked to simplification of audit and control was highlighted. Positions of socia</w:t>
      </w:r>
      <w:r>
        <w:rPr>
          <w:rFonts w:ascii="Times New Roman" w:hAnsi="Times New Roman" w:cs="Times New Roman"/>
          <w:noProof/>
          <w:sz w:val="24"/>
          <w:szCs w:val="24"/>
        </w:rPr>
        <w:t xml:space="preserve">l partners favour simplification in order to increase the accessibility of funding to smaller organisations or regions which could increase the impact of the funds. CSOs suggest that </w:t>
      </w:r>
      <w:r>
        <w:rPr>
          <w:rFonts w:ascii="Times New Roman" w:hAnsi="Times New Roman" w:cs="Times New Roman"/>
          <w:b/>
          <w:noProof/>
          <w:sz w:val="24"/>
          <w:szCs w:val="24"/>
        </w:rPr>
        <w:t>funds allocation</w:t>
      </w:r>
      <w:r>
        <w:rPr>
          <w:rFonts w:ascii="Times New Roman" w:hAnsi="Times New Roman" w:cs="Times New Roman"/>
          <w:noProof/>
          <w:sz w:val="24"/>
          <w:szCs w:val="24"/>
        </w:rPr>
        <w:t xml:space="preserve"> is based not only on GDP, but includes other indicators </w:t>
      </w:r>
      <w:r>
        <w:rPr>
          <w:rFonts w:ascii="Times New Roman" w:hAnsi="Times New Roman" w:cs="Times New Roman"/>
          <w:noProof/>
          <w:sz w:val="24"/>
          <w:szCs w:val="24"/>
        </w:rPr>
        <w:t xml:space="preserve">(e.g. social, demographic).  The national and regional authorities and social partners welcome the use of </w:t>
      </w:r>
      <w:r>
        <w:rPr>
          <w:rFonts w:ascii="Times New Roman" w:hAnsi="Times New Roman" w:cs="Times New Roman"/>
          <w:b/>
          <w:noProof/>
          <w:sz w:val="24"/>
          <w:szCs w:val="24"/>
        </w:rPr>
        <w:t>financial instruments</w:t>
      </w:r>
      <w:r>
        <w:rPr>
          <w:rFonts w:ascii="Times New Roman" w:hAnsi="Times New Roman" w:cs="Times New Roman"/>
          <w:noProof/>
          <w:sz w:val="24"/>
          <w:szCs w:val="24"/>
        </w:rPr>
        <w:t xml:space="preserve"> whilst underlying that the grants should remain the main source of funding. Social partners advocate for strengthening </w:t>
      </w:r>
      <w:r>
        <w:rPr>
          <w:rFonts w:ascii="Times New Roman" w:hAnsi="Times New Roman" w:cs="Times New Roman"/>
          <w:b/>
          <w:noProof/>
          <w:sz w:val="24"/>
          <w:szCs w:val="24"/>
        </w:rPr>
        <w:t>partnersh</w:t>
      </w:r>
      <w:r>
        <w:rPr>
          <w:rFonts w:ascii="Times New Roman" w:hAnsi="Times New Roman" w:cs="Times New Roman"/>
          <w:b/>
          <w:noProof/>
          <w:sz w:val="24"/>
          <w:szCs w:val="24"/>
        </w:rPr>
        <w:t>ips</w:t>
      </w:r>
      <w:r>
        <w:rPr>
          <w:rFonts w:ascii="Times New Roman" w:hAnsi="Times New Roman" w:cs="Times New Roman"/>
          <w:noProof/>
          <w:sz w:val="24"/>
          <w:szCs w:val="24"/>
        </w:rPr>
        <w:t>. Suggestions include the introduction of a new ex-ante conditionality to guarantee the efficient implementation of the European code of conduct on partnership or to review it to include a clear definition of the partnership principle and a legally bind</w:t>
      </w:r>
      <w:r>
        <w:rPr>
          <w:rFonts w:ascii="Times New Roman" w:hAnsi="Times New Roman" w:cs="Times New Roman"/>
          <w:noProof/>
          <w:sz w:val="24"/>
          <w:szCs w:val="24"/>
        </w:rPr>
        <w:t xml:space="preserve">ing provision on its implementation. </w:t>
      </w:r>
      <w:r>
        <w:rPr>
          <w:rFonts w:ascii="Times New Roman" w:eastAsia="Calibri" w:hAnsi="Times New Roman" w:cs="Times New Roman"/>
          <w:bCs/>
          <w:i/>
          <w:noProof/>
          <w:color w:val="000000"/>
          <w:sz w:val="24"/>
          <w:szCs w:val="24"/>
        </w:rPr>
        <w:t>Ex-ante</w:t>
      </w:r>
      <w:r>
        <w:rPr>
          <w:rFonts w:ascii="Times New Roman" w:hAnsi="Times New Roman" w:cs="Times New Roman"/>
          <w:noProof/>
          <w:color w:val="000000"/>
          <w:sz w:val="24"/>
          <w:szCs w:val="24"/>
        </w:rPr>
        <w:t xml:space="preserve"> conditionalities are generally considered to improve the programme preparation and implementation, but they should be more targeted. </w:t>
      </w:r>
      <w:r>
        <w:rPr>
          <w:rFonts w:ascii="Times New Roman" w:hAnsi="Times New Roman" w:cs="Times New Roman"/>
          <w:noProof/>
          <w:sz w:val="24"/>
          <w:szCs w:val="24"/>
        </w:rPr>
        <w:t>The policy papers show a high interest in improving the links between cohesion</w:t>
      </w:r>
      <w:r>
        <w:rPr>
          <w:rFonts w:ascii="Times New Roman" w:hAnsi="Times New Roman" w:cs="Times New Roman"/>
          <w:noProof/>
          <w:sz w:val="24"/>
          <w:szCs w:val="24"/>
        </w:rPr>
        <w:t xml:space="preserve"> policy and the </w:t>
      </w:r>
      <w:r>
        <w:rPr>
          <w:rFonts w:ascii="Times New Roman" w:hAnsi="Times New Roman" w:cs="Times New Roman"/>
          <w:b/>
          <w:noProof/>
          <w:sz w:val="24"/>
          <w:szCs w:val="24"/>
        </w:rPr>
        <w:t>European Semester</w:t>
      </w:r>
      <w:r>
        <w:rPr>
          <w:rFonts w:ascii="Times New Roman" w:hAnsi="Times New Roman" w:cs="Times New Roman"/>
          <w:noProof/>
          <w:sz w:val="24"/>
          <w:szCs w:val="24"/>
        </w:rPr>
        <w:t>, or reforms more generally. The outermost regions called for a robust implementation of the European Pillar of Social Rights in their area including the implementation of a specific allocation to cover their additional cos</w:t>
      </w:r>
      <w:r>
        <w:rPr>
          <w:rFonts w:ascii="Times New Roman" w:hAnsi="Times New Roman" w:cs="Times New Roman"/>
          <w:noProof/>
          <w:sz w:val="24"/>
          <w:szCs w:val="24"/>
        </w:rPr>
        <w:t>ts (based on article 349 of the TFEU).</w:t>
      </w:r>
    </w:p>
    <w:p w:rsidR="003A1527" w:rsidRDefault="00742A12">
      <w:pPr>
        <w:pStyle w:val="AppendixH1"/>
        <w:numPr>
          <w:ilvl w:val="0"/>
          <w:numId w:val="19"/>
        </w:numPr>
        <w:spacing w:line="240" w:lineRule="auto"/>
        <w:jc w:val="both"/>
        <w:rPr>
          <w:noProof/>
        </w:rPr>
      </w:pPr>
      <w:r>
        <w:rPr>
          <w:noProof/>
        </w:rPr>
        <w:t xml:space="preserve">Inclusion of stakeholder consultation results in the draft legal proposal </w:t>
      </w:r>
    </w:p>
    <w:p w:rsidR="003A1527" w:rsidRDefault="00742A12">
      <w:pPr>
        <w:pStyle w:val="AppendixH1"/>
        <w:numPr>
          <w:ilvl w:val="0"/>
          <w:numId w:val="0"/>
        </w:numPr>
        <w:spacing w:line="240" w:lineRule="auto"/>
        <w:jc w:val="both"/>
        <w:rPr>
          <w:noProof/>
        </w:rPr>
      </w:pPr>
      <w:r>
        <w:rPr>
          <w:noProof/>
        </w:rPr>
        <w:t>6.1 ESF</w:t>
      </w:r>
    </w:p>
    <w:p w:rsidR="003A1527" w:rsidRDefault="00742A12">
      <w:pPr>
        <w:pStyle w:val="AppendixH1"/>
        <w:numPr>
          <w:ilvl w:val="0"/>
          <w:numId w:val="0"/>
        </w:numPr>
        <w:spacing w:line="240" w:lineRule="auto"/>
        <w:jc w:val="both"/>
        <w:rPr>
          <w:b w:val="0"/>
          <w:noProof/>
        </w:rPr>
      </w:pPr>
      <w:r>
        <w:rPr>
          <w:b w:val="0"/>
          <w:noProof/>
        </w:rPr>
        <w:t xml:space="preserve">The ESF+ Regulation complements the Common Provisions Regulation, which includes most of the rules on the delivery system of these </w:t>
      </w:r>
      <w:r>
        <w:rPr>
          <w:b w:val="0"/>
          <w:noProof/>
        </w:rPr>
        <w:t>funds. The main proposals addressing stakeholders’ feedback are outlined below:</w:t>
      </w:r>
    </w:p>
    <w:p w:rsidR="003A1527" w:rsidRDefault="00742A12">
      <w:pPr>
        <w:pStyle w:val="ListParagraph"/>
        <w:numPr>
          <w:ilvl w:val="0"/>
          <w:numId w:val="33"/>
        </w:numPr>
        <w:spacing w:after="20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Following stakeholders’ recommendations,</w:t>
      </w:r>
      <w:r>
        <w:rPr>
          <w:rFonts w:ascii="Times New Roman" w:eastAsiaTheme="minorHAnsi" w:hAnsi="Times New Roman" w:cs="Times New Roman"/>
          <w:b/>
          <w:noProof/>
          <w:sz w:val="24"/>
          <w:szCs w:val="24"/>
        </w:rPr>
        <w:t xml:space="preserve"> the ESF, YEI, FEAD and EaSI are merged into one Fund (the ESF+) </w:t>
      </w:r>
      <w:r>
        <w:rPr>
          <w:rFonts w:ascii="Times New Roman" w:eastAsiaTheme="minorHAnsi" w:hAnsi="Times New Roman" w:cs="Times New Roman"/>
          <w:noProof/>
          <w:sz w:val="24"/>
          <w:szCs w:val="24"/>
        </w:rPr>
        <w:t xml:space="preserve">in order to </w:t>
      </w:r>
      <w:r>
        <w:rPr>
          <w:rFonts w:ascii="Times New Roman" w:eastAsiaTheme="minorHAnsi" w:hAnsi="Times New Roman" w:cs="Times New Roman"/>
          <w:b/>
          <w:noProof/>
          <w:sz w:val="24"/>
          <w:szCs w:val="24"/>
        </w:rPr>
        <w:t>enhance synergies and complementarities</w:t>
      </w:r>
      <w:r>
        <w:rPr>
          <w:rFonts w:ascii="Times New Roman" w:eastAsiaTheme="minorHAnsi" w:hAnsi="Times New Roman" w:cs="Times New Roman"/>
          <w:noProof/>
          <w:sz w:val="24"/>
          <w:szCs w:val="24"/>
        </w:rPr>
        <w:t xml:space="preserve">, as well as to </w:t>
      </w:r>
      <w:r>
        <w:rPr>
          <w:rFonts w:ascii="Times New Roman" w:eastAsiaTheme="minorHAnsi" w:hAnsi="Times New Roman" w:cs="Times New Roman"/>
          <w:b/>
          <w:noProof/>
          <w:sz w:val="24"/>
          <w:szCs w:val="24"/>
        </w:rPr>
        <w:t>simp</w:t>
      </w:r>
      <w:r>
        <w:rPr>
          <w:rFonts w:ascii="Times New Roman" w:eastAsiaTheme="minorHAnsi" w:hAnsi="Times New Roman" w:cs="Times New Roman"/>
          <w:b/>
          <w:noProof/>
          <w:sz w:val="24"/>
          <w:szCs w:val="24"/>
        </w:rPr>
        <w:t xml:space="preserve">lify access to and management of funding. </w:t>
      </w:r>
      <w:r>
        <w:rPr>
          <w:rFonts w:ascii="Times New Roman" w:eastAsiaTheme="minorHAnsi" w:hAnsi="Times New Roman" w:cs="Times New Roman"/>
          <w:noProof/>
          <w:sz w:val="24"/>
          <w:szCs w:val="24"/>
        </w:rPr>
        <w:t xml:space="preserve">The CPR will include provisions so as to allow for synergies with other funds and Union instruments. From the ESF+ side it will be possible to benefit from synergies with especially Erasmus and Horizon Europe. </w:t>
      </w:r>
    </w:p>
    <w:p w:rsidR="003A1527" w:rsidRDefault="00742A12">
      <w:pPr>
        <w:pStyle w:val="ListParagraph"/>
        <w:numPr>
          <w:ilvl w:val="0"/>
          <w:numId w:val="33"/>
        </w:num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In </w:t>
      </w:r>
      <w:r>
        <w:rPr>
          <w:rFonts w:ascii="Times New Roman" w:eastAsiaTheme="minorHAnsi" w:hAnsi="Times New Roman" w:cs="Times New Roman"/>
          <w:noProof/>
          <w:sz w:val="24"/>
          <w:szCs w:val="24"/>
        </w:rPr>
        <w:t>order to ensure the effective implementation of the European Pillar of Social Rights demanded by stakeholders, the</w:t>
      </w:r>
      <w:r>
        <w:rPr>
          <w:rFonts w:ascii="Times New Roman" w:eastAsiaTheme="minorHAnsi" w:hAnsi="Times New Roman" w:cs="Times New Roman"/>
          <w:b/>
          <w:noProof/>
          <w:sz w:val="24"/>
          <w:szCs w:val="24"/>
        </w:rPr>
        <w:t xml:space="preserve"> scope of support of ESF+</w:t>
      </w:r>
      <w:r>
        <w:rPr>
          <w:rFonts w:ascii="Times New Roman" w:eastAsiaTheme="minorHAnsi" w:hAnsi="Times New Roman" w:cs="Times New Roman"/>
          <w:noProof/>
          <w:sz w:val="24"/>
          <w:szCs w:val="24"/>
        </w:rPr>
        <w:t xml:space="preserve"> is translated into a number of specific objectives (former investment priorities)</w:t>
      </w:r>
      <w:r>
        <w:rPr>
          <w:rFonts w:ascii="Times New Roman" w:eastAsiaTheme="minorHAnsi" w:hAnsi="Times New Roman" w:cs="Times New Roman"/>
          <w:b/>
          <w:noProof/>
          <w:sz w:val="24"/>
          <w:szCs w:val="24"/>
        </w:rPr>
        <w:t xml:space="preserve"> aligned with the Pillar</w:t>
      </w:r>
      <w:r>
        <w:rPr>
          <w:rFonts w:ascii="Times New Roman" w:eastAsiaTheme="minorHAnsi" w:hAnsi="Times New Roman" w:cs="Times New Roman"/>
          <w:noProof/>
          <w:sz w:val="24"/>
          <w:szCs w:val="24"/>
        </w:rPr>
        <w:t>. In line w</w:t>
      </w:r>
      <w:r>
        <w:rPr>
          <w:rFonts w:ascii="Times New Roman" w:eastAsiaTheme="minorHAnsi" w:hAnsi="Times New Roman" w:cs="Times New Roman"/>
          <w:noProof/>
          <w:sz w:val="24"/>
          <w:szCs w:val="24"/>
        </w:rPr>
        <w:t>ith stakeholder recommendations that the</w:t>
      </w:r>
      <w:r>
        <w:rPr>
          <w:rFonts w:ascii="Times New Roman" w:eastAsiaTheme="minorHAnsi" w:hAnsi="Times New Roman" w:cs="Times New Roman"/>
          <w:b/>
          <w:noProof/>
          <w:sz w:val="24"/>
          <w:szCs w:val="24"/>
        </w:rPr>
        <w:t xml:space="preserve"> social inclusion dimension of the ESF+ is strengthened (in relation to the employment dimension),</w:t>
      </w:r>
      <w:r>
        <w:rPr>
          <w:rFonts w:ascii="Times New Roman" w:eastAsiaTheme="minorHAnsi" w:hAnsi="Times New Roman" w:cs="Times New Roman"/>
          <w:noProof/>
          <w:sz w:val="24"/>
          <w:szCs w:val="24"/>
        </w:rPr>
        <w:t xml:space="preserve"> the integration of the FEAD allows for easier combination of provisions of food/material assistance with support for </w:t>
      </w:r>
      <w:r>
        <w:rPr>
          <w:rFonts w:ascii="Times New Roman" w:eastAsiaTheme="minorHAnsi" w:hAnsi="Times New Roman" w:cs="Times New Roman"/>
          <w:noProof/>
          <w:sz w:val="24"/>
          <w:szCs w:val="24"/>
        </w:rPr>
        <w:t xml:space="preserve">social inclusion. Moreover, </w:t>
      </w:r>
      <w:r>
        <w:rPr>
          <w:rFonts w:ascii="Times New Roman" w:eastAsiaTheme="minorHAnsi" w:hAnsi="Times New Roman" w:cs="Times New Roman"/>
          <w:b/>
          <w:noProof/>
          <w:sz w:val="24"/>
          <w:szCs w:val="24"/>
        </w:rPr>
        <w:t xml:space="preserve">ESF+ resources are earmarked (at least 25%) to promote social inclusion and tackle poverty. </w:t>
      </w:r>
      <w:r>
        <w:rPr>
          <w:rFonts w:ascii="Times New Roman" w:eastAsiaTheme="minorHAnsi" w:hAnsi="Times New Roman" w:cs="Times New Roman"/>
          <w:noProof/>
          <w:sz w:val="24"/>
          <w:szCs w:val="24"/>
        </w:rPr>
        <w:t xml:space="preserve">This responds to the need to ensure that the social dimension of Europe and that a minimum amount of resources are targeting those most </w:t>
      </w:r>
      <w:r>
        <w:rPr>
          <w:rFonts w:ascii="Times New Roman" w:eastAsiaTheme="minorHAnsi" w:hAnsi="Times New Roman" w:cs="Times New Roman"/>
          <w:noProof/>
          <w:sz w:val="24"/>
          <w:szCs w:val="24"/>
        </w:rPr>
        <w:t>in need. Following stakeholders’ feedback,</w:t>
      </w:r>
      <w:r>
        <w:rPr>
          <w:rFonts w:ascii="Times New Roman" w:eastAsiaTheme="minorHAnsi" w:hAnsi="Times New Roman" w:cs="Times New Roman"/>
          <w:b/>
          <w:noProof/>
          <w:sz w:val="24"/>
          <w:szCs w:val="24"/>
        </w:rPr>
        <w:t xml:space="preserve"> </w:t>
      </w:r>
      <w:r>
        <w:rPr>
          <w:rFonts w:ascii="Times New Roman" w:eastAsiaTheme="minorHAnsi" w:hAnsi="Times New Roman" w:cs="Times New Roman"/>
          <w:noProof/>
          <w:sz w:val="24"/>
          <w:szCs w:val="24"/>
        </w:rPr>
        <w:t xml:space="preserve">the ESF+ Regulation proposes that Member States meeting certain criteria allocate a minimum amount of resources to the policy challenges of </w:t>
      </w:r>
      <w:r>
        <w:rPr>
          <w:rFonts w:ascii="Times New Roman" w:eastAsiaTheme="minorHAnsi" w:hAnsi="Times New Roman" w:cs="Times New Roman"/>
          <w:b/>
          <w:noProof/>
          <w:sz w:val="24"/>
          <w:szCs w:val="24"/>
        </w:rPr>
        <w:t>youth unemployment and assistance to the most deprived</w:t>
      </w:r>
      <w:r>
        <w:rPr>
          <w:rFonts w:ascii="Times New Roman" w:eastAsiaTheme="minorHAnsi" w:hAnsi="Times New Roman" w:cs="Times New Roman"/>
          <w:noProof/>
          <w:sz w:val="24"/>
          <w:szCs w:val="24"/>
        </w:rPr>
        <w:t xml:space="preserve">. </w:t>
      </w:r>
    </w:p>
    <w:p w:rsidR="003A1527" w:rsidRDefault="00742A12">
      <w:pPr>
        <w:pStyle w:val="ListParagraph"/>
        <w:numPr>
          <w:ilvl w:val="0"/>
          <w:numId w:val="33"/>
        </w:num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In order to addr</w:t>
      </w:r>
      <w:r>
        <w:rPr>
          <w:rFonts w:ascii="Times New Roman" w:eastAsiaTheme="minorHAnsi" w:hAnsi="Times New Roman" w:cs="Times New Roman"/>
          <w:noProof/>
          <w:sz w:val="24"/>
          <w:szCs w:val="24"/>
        </w:rPr>
        <w:t xml:space="preserve">ess the need for </w:t>
      </w:r>
      <w:r>
        <w:rPr>
          <w:rFonts w:ascii="Times New Roman" w:eastAsiaTheme="minorHAnsi" w:hAnsi="Times New Roman" w:cs="Times New Roman"/>
          <w:b/>
          <w:noProof/>
          <w:sz w:val="24"/>
          <w:szCs w:val="24"/>
        </w:rPr>
        <w:t xml:space="preserve">simplification and focus on the achievement of results, </w:t>
      </w:r>
      <w:r>
        <w:rPr>
          <w:rFonts w:ascii="Times New Roman" w:eastAsiaTheme="minorHAnsi" w:hAnsi="Times New Roman" w:cs="Times New Roman"/>
          <w:noProof/>
          <w:sz w:val="24"/>
          <w:szCs w:val="24"/>
        </w:rPr>
        <w:t>the ESF+ Regulation will include simplified cost options for reimbursing Member States in the area of education. In addition, it will also make use of the option provided for in the n</w:t>
      </w:r>
      <w:r>
        <w:rPr>
          <w:rFonts w:ascii="Times New Roman" w:eastAsiaTheme="minorHAnsi" w:hAnsi="Times New Roman" w:cs="Times New Roman"/>
          <w:noProof/>
          <w:sz w:val="24"/>
          <w:szCs w:val="24"/>
        </w:rPr>
        <w:t>ew Financial Regulation to reimburse Member States on the basis of the achievement of results/conditions.  Furthermore, monitoring and reporting requirements will be reduced, and data collection requirements will be simplified.</w:t>
      </w:r>
    </w:p>
    <w:p w:rsidR="003A1527" w:rsidRDefault="00742A12">
      <w:pPr>
        <w:pStyle w:val="ListParagraph"/>
        <w:numPr>
          <w:ilvl w:val="0"/>
          <w:numId w:val="33"/>
        </w:num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b/>
          <w:noProof/>
          <w:sz w:val="24"/>
        </w:rPr>
        <w:t>Stronger alignment with Euro</w:t>
      </w:r>
      <w:r>
        <w:rPr>
          <w:rFonts w:ascii="Times New Roman" w:eastAsiaTheme="minorHAnsi" w:hAnsi="Times New Roman"/>
          <w:b/>
          <w:noProof/>
          <w:sz w:val="24"/>
        </w:rPr>
        <w:t xml:space="preserve">pean semester process </w:t>
      </w:r>
      <w:r>
        <w:rPr>
          <w:rFonts w:ascii="Times New Roman" w:eastAsiaTheme="minorHAnsi" w:hAnsi="Times New Roman"/>
          <w:noProof/>
          <w:sz w:val="24"/>
        </w:rPr>
        <w:t xml:space="preserve">is sought. EMPL proposes that the future Common Provisions Regulation (applicable to other shared management funds) and ESF+ Regulation require that the programming is streamlined with the European semester. </w:t>
      </w:r>
    </w:p>
    <w:p w:rsidR="003A1527" w:rsidRDefault="003A1527">
      <w:pPr>
        <w:spacing w:after="0" w:line="240" w:lineRule="auto"/>
        <w:jc w:val="both"/>
        <w:rPr>
          <w:rFonts w:ascii="Times New Roman" w:eastAsiaTheme="minorHAnsi" w:hAnsi="Times New Roman" w:cs="Times New Roman"/>
          <w:noProof/>
          <w:sz w:val="24"/>
          <w:szCs w:val="24"/>
        </w:rPr>
      </w:pPr>
    </w:p>
    <w:p w:rsidR="003A1527" w:rsidRDefault="00742A12">
      <w:pPr>
        <w:pStyle w:val="AppendixH1"/>
        <w:numPr>
          <w:ilvl w:val="0"/>
          <w:numId w:val="0"/>
        </w:numPr>
        <w:spacing w:line="240" w:lineRule="auto"/>
        <w:jc w:val="both"/>
        <w:rPr>
          <w:noProof/>
        </w:rPr>
      </w:pPr>
      <w:r>
        <w:rPr>
          <w:noProof/>
        </w:rPr>
        <w:t>6.2 EGF</w:t>
      </w:r>
    </w:p>
    <w:p w:rsidR="003A1527" w:rsidRDefault="00742A12">
      <w:pPr>
        <w:pStyle w:val="AppendixH1"/>
        <w:numPr>
          <w:ilvl w:val="0"/>
          <w:numId w:val="0"/>
        </w:numPr>
        <w:spacing w:line="240" w:lineRule="auto"/>
        <w:jc w:val="both"/>
        <w:rPr>
          <w:b w:val="0"/>
          <w:noProof/>
        </w:rPr>
      </w:pPr>
      <w:r>
        <w:rPr>
          <w:b w:val="0"/>
          <w:noProof/>
        </w:rPr>
        <w:t>The broadened sc</w:t>
      </w:r>
      <w:r>
        <w:rPr>
          <w:b w:val="0"/>
          <w:noProof/>
        </w:rPr>
        <w:t xml:space="preserve">ope of the EGF: EGF Contact Persons and other stakeholders criticized that no other developments such as digitisation, for example, are eligible, even though displaced workers face very similar challenges. It was also criticized that it is extremely hard, </w:t>
      </w:r>
      <w:r>
        <w:rPr>
          <w:b w:val="0"/>
          <w:noProof/>
        </w:rPr>
        <w:t>often near-impossible, to single out the specific reason that triggered a restructuring event. A lower threshold of 250 displaced workers: especially stakeholders from small Member States, and those from Member States with less densely populated areas, cal</w:t>
      </w:r>
      <w:r>
        <w:rPr>
          <w:b w:val="0"/>
          <w:noProof/>
        </w:rPr>
        <w:t xml:space="preserve">led for a lower threshold. Very large enterprises simply do not exist in many regions, but restructuring events involving a smaller number of redundancies have a very significant impact in those regions. </w:t>
      </w:r>
    </w:p>
    <w:p w:rsidR="003A1527" w:rsidRDefault="00742A12">
      <w:pPr>
        <w:pStyle w:val="AppendixH1"/>
        <w:numPr>
          <w:ilvl w:val="0"/>
          <w:numId w:val="0"/>
        </w:numPr>
        <w:spacing w:line="240" w:lineRule="auto"/>
        <w:jc w:val="both"/>
        <w:rPr>
          <w:b w:val="0"/>
          <w:noProof/>
        </w:rPr>
      </w:pPr>
      <w:r>
        <w:rPr>
          <w:b w:val="0"/>
          <w:noProof/>
        </w:rPr>
        <w:t>An EGF co-financing rate aligned with the ESF co-fi</w:t>
      </w:r>
      <w:r>
        <w:rPr>
          <w:b w:val="0"/>
          <w:noProof/>
        </w:rPr>
        <w:t>nancing rate: especially stakeholders from regions with more favourable co-financing rates in the ESF criticized that despite the different design of the funds, the ESF might be used for EGF-type of measures due to the more favourable co-financing rates. T</w:t>
      </w:r>
      <w:r>
        <w:rPr>
          <w:b w:val="0"/>
          <w:noProof/>
        </w:rPr>
        <w:t>herefore, in the future, the EGF co-financing rate shall be aligned with the respective ESF+ co-financing rate in the Member State concerned.</w:t>
      </w:r>
    </w:p>
    <w:p w:rsidR="003A1527" w:rsidRDefault="003A1527">
      <w:pPr>
        <w:spacing w:line="240" w:lineRule="auto"/>
        <w:jc w:val="both"/>
        <w:rPr>
          <w:rFonts w:ascii="Times New Roman" w:eastAsia="Times New Roman" w:hAnsi="Times New Roman" w:cs="Times New Roman"/>
          <w:noProof/>
        </w:rPr>
      </w:pPr>
    </w:p>
    <w:p w:rsidR="003A1527" w:rsidRDefault="00742A12">
      <w:pPr>
        <w:rPr>
          <w:rFonts w:ascii="Times New Roman" w:eastAsia="Times New Roman" w:hAnsi="Times New Roman" w:cs="Times New Roman"/>
          <w:b/>
          <w:noProof/>
          <w:sz w:val="32"/>
        </w:rPr>
      </w:pPr>
      <w:bookmarkStart w:id="100" w:name="_Toc509831779"/>
      <w:bookmarkStart w:id="101" w:name="_Toc509833371"/>
      <w:bookmarkStart w:id="102" w:name="_Toc509843341"/>
      <w:bookmarkStart w:id="103" w:name="_Toc509848058"/>
      <w:r>
        <w:rPr>
          <w:noProof/>
        </w:rPr>
        <w:br w:type="page"/>
      </w:r>
    </w:p>
    <w:p w:rsidR="003A1527" w:rsidRDefault="00742A12">
      <w:pPr>
        <w:pStyle w:val="AnnexTitle"/>
        <w:rPr>
          <w:noProof/>
        </w:rPr>
      </w:pPr>
      <w:bookmarkStart w:id="104" w:name="_Toc514401945"/>
      <w:r>
        <w:rPr>
          <w:noProof/>
        </w:rPr>
        <w:t>Annex 3: Evaluation results</w:t>
      </w:r>
      <w:bookmarkEnd w:id="100"/>
      <w:bookmarkEnd w:id="101"/>
      <w:bookmarkEnd w:id="102"/>
      <w:bookmarkEnd w:id="103"/>
      <w:bookmarkEnd w:id="104"/>
    </w:p>
    <w:p w:rsidR="003A1527" w:rsidRDefault="00742A12">
      <w:pPr>
        <w:tabs>
          <w:tab w:val="left" w:pos="3675"/>
        </w:tabs>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 The European Social Fund (ESF)</w:t>
      </w:r>
      <w:r>
        <w:rPr>
          <w:rFonts w:ascii="Times New Roman" w:hAnsi="Times New Roman" w:cs="Times New Roman"/>
          <w:b/>
          <w:noProof/>
          <w:sz w:val="24"/>
          <w:szCs w:val="24"/>
        </w:rPr>
        <w:tab/>
        <w:t xml:space="preserve"> and Youth Employment Initiative (YEI)</w:t>
      </w:r>
    </w:p>
    <w:p w:rsidR="003A1527" w:rsidRDefault="003A1527">
      <w:pPr>
        <w:spacing w:line="240" w:lineRule="auto"/>
        <w:jc w:val="both"/>
        <w:rPr>
          <w:rFonts w:ascii="Times New Roman" w:hAnsi="Times New Roman" w:cs="Times New Roman"/>
          <w:b/>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Strengths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2000-2006</w:t>
      </w:r>
      <w:r>
        <w:rPr>
          <w:rStyle w:val="FootnoteReference"/>
          <w:rFonts w:ascii="Times New Roman" w:hAnsi="Times New Roman" w:cs="Times New Roman"/>
          <w:noProof/>
          <w:sz w:val="24"/>
          <w:szCs w:val="24"/>
        </w:rPr>
        <w:footnoteReference w:id="142"/>
      </w:r>
      <w:r>
        <w:rPr>
          <w:rFonts w:ascii="Times New Roman" w:hAnsi="Times New Roman" w:cs="Times New Roman"/>
          <w:noProof/>
          <w:sz w:val="24"/>
          <w:szCs w:val="24"/>
        </w:rPr>
        <w:t xml:space="preserve"> and 2007-2013 ESF ex-post evaluation</w:t>
      </w:r>
      <w:r>
        <w:rPr>
          <w:rStyle w:val="FootnoteReference"/>
          <w:rFonts w:ascii="Times New Roman" w:hAnsi="Times New Roman" w:cs="Times New Roman"/>
          <w:noProof/>
          <w:sz w:val="24"/>
          <w:szCs w:val="24"/>
        </w:rPr>
        <w:footnoteReference w:id="143"/>
      </w:r>
      <w:r>
        <w:rPr>
          <w:rFonts w:ascii="Times New Roman" w:hAnsi="Times New Roman" w:cs="Times New Roman"/>
          <w:noProof/>
          <w:sz w:val="24"/>
          <w:szCs w:val="24"/>
        </w:rPr>
        <w:t xml:space="preserve"> recognises ESF investment as relevant, efficient and effective. In particular, the ESF's alignment with EU policies and priorities under the Lisbon Strategy and the Europe 2020 strategy for sm</w:t>
      </w:r>
      <w:r>
        <w:rPr>
          <w:rFonts w:ascii="Times New Roman" w:hAnsi="Times New Roman" w:cs="Times New Roman"/>
          <w:noProof/>
          <w:sz w:val="24"/>
          <w:szCs w:val="24"/>
        </w:rPr>
        <w:t xml:space="preserve">art, sustainable and inclusive growth was strengthened in 2007-2013 and 2014-2020 and this has meant that resources were concentrated on relevant policy priorities.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one of the structural funds, the ESF directly contributes to cohesion policy's goals of</w:t>
      </w:r>
      <w:r>
        <w:rPr>
          <w:rFonts w:ascii="Times New Roman" w:hAnsi="Times New Roman" w:cs="Times New Roman"/>
          <w:noProof/>
          <w:sz w:val="24"/>
          <w:szCs w:val="24"/>
        </w:rPr>
        <w:t xml:space="preserve"> economic, social and territorial cohesion by increasing the concentration of resources and maintaining different co-financing rates for Member States.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fund was effective in reaching a significant number of EU citizens, in particular those most in need</w:t>
      </w:r>
      <w:r>
        <w:rPr>
          <w:rFonts w:ascii="Times New Roman" w:hAnsi="Times New Roman" w:cs="Times New Roman"/>
          <w:noProof/>
          <w:sz w:val="24"/>
          <w:szCs w:val="24"/>
        </w:rPr>
        <w:t xml:space="preserve"> of support (such as the low-skilled and unemployed). This was due to the fact that the ESF provided significant financial resources to address employment and social challenges in Member States (volume effects) and broadened existing action by supporting p</w:t>
      </w:r>
      <w:r>
        <w:rPr>
          <w:rFonts w:ascii="Times New Roman" w:hAnsi="Times New Roman" w:cs="Times New Roman"/>
          <w:noProof/>
          <w:sz w:val="24"/>
          <w:szCs w:val="24"/>
        </w:rPr>
        <w:t>olicy areas or groups that would not have otherwise received support (scope effects). Furthermore, The ESF has supported local/regional innovations that are then mainstreamed at national level and for the introduction of new ways in which various stakehold</w:t>
      </w:r>
      <w:r>
        <w:rPr>
          <w:rFonts w:ascii="Times New Roman" w:hAnsi="Times New Roman" w:cs="Times New Roman"/>
          <w:noProof/>
          <w:sz w:val="24"/>
          <w:szCs w:val="24"/>
        </w:rPr>
        <w:t>ers can work together (role effects).</w:t>
      </w:r>
      <w:r>
        <w:rPr>
          <w:rStyle w:val="FootnoteReference"/>
          <w:rFonts w:ascii="Times New Roman" w:hAnsi="Times New Roman" w:cs="Times New Roman"/>
          <w:noProof/>
          <w:sz w:val="24"/>
          <w:szCs w:val="24"/>
        </w:rPr>
        <w:footnoteReference w:id="144"/>
      </w:r>
      <w:r>
        <w:rPr>
          <w:rFonts w:ascii="Times New Roman" w:hAnsi="Times New Roman" w:cs="Times New Roman"/>
          <w:noProof/>
          <w:sz w:val="24"/>
          <w:szCs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Thus, the ESF's socio-economic impacts can be summarised as: </w:t>
      </w:r>
    </w:p>
    <w:p w:rsidR="003A1527" w:rsidRDefault="00742A12">
      <w:pPr>
        <w:pStyle w:val="Default"/>
        <w:numPr>
          <w:ilvl w:val="0"/>
          <w:numId w:val="17"/>
        </w:numPr>
        <w:spacing w:after="0" w:line="240" w:lineRule="auto"/>
        <w:jc w:val="both"/>
        <w:rPr>
          <w:noProof/>
          <w:color w:val="auto"/>
        </w:rPr>
      </w:pPr>
      <w:r>
        <w:rPr>
          <w:noProof/>
          <w:color w:val="auto"/>
        </w:rPr>
        <w:t>at the micro level: large number of people participating in ESF activities, gaining employment, qualifications, skills and competences (including ‘softer’</w:t>
      </w:r>
      <w:r>
        <w:rPr>
          <w:noProof/>
          <w:color w:val="auto"/>
        </w:rPr>
        <w:t xml:space="preserve"> skills such as behavioural changes). For example, at least 9.4 million Europeans found a job and 8.7 million people gained a qualification or certificate between 2007 and 2014 thanks to ESF support.</w:t>
      </w:r>
      <w:r>
        <w:rPr>
          <w:noProof/>
          <w:color w:val="auto"/>
          <w:vertAlign w:val="superscript"/>
        </w:rPr>
        <w:footnoteReference w:id="145"/>
      </w:r>
      <w:r>
        <w:rPr>
          <w:noProof/>
          <w:color w:val="auto"/>
        </w:rPr>
        <w:t xml:space="preserve"> </w:t>
      </w:r>
    </w:p>
    <w:p w:rsidR="003A1527" w:rsidRDefault="00742A12">
      <w:pPr>
        <w:pStyle w:val="Default"/>
        <w:numPr>
          <w:ilvl w:val="0"/>
          <w:numId w:val="17"/>
        </w:numPr>
        <w:spacing w:after="0" w:line="240" w:lineRule="auto"/>
        <w:jc w:val="both"/>
        <w:rPr>
          <w:noProof/>
          <w:color w:val="auto"/>
        </w:rPr>
      </w:pPr>
      <w:r>
        <w:rPr>
          <w:noProof/>
          <w:color w:val="auto"/>
        </w:rPr>
        <w:t>at the meso level: modernising, strengthening and wide</w:t>
      </w:r>
      <w:r>
        <w:rPr>
          <w:noProof/>
          <w:color w:val="auto"/>
        </w:rPr>
        <w:t xml:space="preserve">ning the scope of public services such as active labour market policies but also education, judiciary and general administration. </w:t>
      </w:r>
    </w:p>
    <w:p w:rsidR="003A1527" w:rsidRDefault="00742A12">
      <w:pPr>
        <w:pStyle w:val="Default"/>
        <w:numPr>
          <w:ilvl w:val="0"/>
          <w:numId w:val="17"/>
        </w:numPr>
        <w:spacing w:after="0" w:line="240" w:lineRule="auto"/>
        <w:jc w:val="both"/>
        <w:rPr>
          <w:noProof/>
          <w:color w:val="auto"/>
        </w:rPr>
      </w:pPr>
      <w:r>
        <w:rPr>
          <w:noProof/>
          <w:color w:val="auto"/>
        </w:rPr>
        <w:t xml:space="preserve">at the macro level: effects on GDP and productivity, employment, unemployment and participation, early school leaving rates. </w:t>
      </w:r>
      <w:r>
        <w:rPr>
          <w:noProof/>
          <w:color w:val="auto"/>
        </w:rPr>
        <w:t xml:space="preserve">While at macro level it is difficult to prove causality, the evidence allows to conclude that the ESF did contribute to </w:t>
      </w:r>
      <w:r>
        <w:rPr>
          <w:iCs/>
          <w:noProof/>
          <w:color w:val="auto"/>
        </w:rPr>
        <w:t>strengthen economic and social cohesion</w:t>
      </w:r>
      <w:r>
        <w:rPr>
          <w:noProof/>
          <w:color w:val="auto"/>
        </w:rPr>
        <w:t xml:space="preserve">.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ESF also played a significant role in mitigating the negative effects of the economic cri</w:t>
      </w:r>
      <w:r>
        <w:rPr>
          <w:rFonts w:ascii="Times New Roman" w:hAnsi="Times New Roman" w:cs="Times New Roman"/>
          <w:noProof/>
          <w:sz w:val="24"/>
          <w:szCs w:val="24"/>
        </w:rPr>
        <w:t>sis (notably in 'convergence' regions) and responded effectively to emerging social and employment challenges.</w:t>
      </w:r>
      <w:r>
        <w:rPr>
          <w:rStyle w:val="FootnoteReference"/>
          <w:rFonts w:ascii="Times New Roman" w:hAnsi="Times New Roman" w:cs="Times New Roman"/>
          <w:noProof/>
          <w:sz w:val="24"/>
          <w:szCs w:val="24"/>
        </w:rPr>
        <w:footnoteReference w:id="146"/>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Achieving for the first time an earmarked minimum share of ESF within the cohesion policy budget heading for the programming period 2014-2020 en</w:t>
      </w:r>
      <w:r>
        <w:rPr>
          <w:rFonts w:ascii="Times New Roman" w:hAnsi="Times New Roman" w:cs="Times New Roman"/>
          <w:noProof/>
          <w:sz w:val="24"/>
          <w:szCs w:val="24"/>
        </w:rPr>
        <w:t>sured that at least 23.1% of cohesion policy is dedicated to investing in people. This share has been exceeded as the ESF corresponds to 24.8% of cohesion policy funding programmed by Member States. Moreover, Member States had to invest at least 20% of ESF</w:t>
      </w:r>
      <w:r>
        <w:rPr>
          <w:rFonts w:ascii="Times New Roman" w:hAnsi="Times New Roman" w:cs="Times New Roman"/>
          <w:noProof/>
          <w:sz w:val="24"/>
          <w:szCs w:val="24"/>
        </w:rPr>
        <w:t xml:space="preserve"> resources for social inclusion. This requirement has also been exceeded since Member States have programmed 25.6% of ESF resources for measures linked to social inclusion.</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current requirement to focus on a limited number of investment pri</w:t>
      </w:r>
      <w:r>
        <w:rPr>
          <w:rFonts w:ascii="Times New Roman" w:hAnsi="Times New Roman" w:cs="Times New Roman"/>
          <w:noProof/>
          <w:sz w:val="24"/>
          <w:szCs w:val="24"/>
        </w:rPr>
        <w:t>orities, including specific objectives for which result indicators are defined in advance, has increased the targeting of investment.</w:t>
      </w:r>
    </w:p>
    <w:p w:rsidR="003A1527" w:rsidRDefault="00742A12">
      <w:pPr>
        <w:spacing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introduction of thematic and general </w:t>
      </w:r>
      <w:r>
        <w:rPr>
          <w:rFonts w:ascii="Times New Roman" w:eastAsia="Times New Roman" w:hAnsi="Times New Roman" w:cs="Times New Roman"/>
          <w:i/>
          <w:noProof/>
          <w:sz w:val="24"/>
          <w:szCs w:val="24"/>
          <w:lang w:eastAsia="de-DE"/>
        </w:rPr>
        <w:t>ex-ante</w:t>
      </w:r>
      <w:r>
        <w:rPr>
          <w:rFonts w:ascii="Times New Roman" w:eastAsia="Times New Roman" w:hAnsi="Times New Roman" w:cs="Times New Roman"/>
          <w:noProof/>
          <w:sz w:val="24"/>
          <w:szCs w:val="24"/>
          <w:lang w:eastAsia="de-DE"/>
        </w:rPr>
        <w:t xml:space="preserve"> conditionalities in 2014-2020 contributed  to creating the necessary structures for effective implementation of the ESF programmes and initiated reforms and changes in a number of Member States that otherwise would not have happened (like for example in t</w:t>
      </w:r>
      <w:r>
        <w:rPr>
          <w:rFonts w:ascii="Times New Roman" w:eastAsia="Times New Roman" w:hAnsi="Times New Roman" w:cs="Times New Roman"/>
          <w:noProof/>
          <w:sz w:val="24"/>
          <w:szCs w:val="24"/>
          <w:lang w:eastAsia="de-DE"/>
        </w:rPr>
        <w:t>he case of modernising the PES or with regard to the DI process).</w:t>
      </w:r>
      <w:r>
        <w:rPr>
          <w:rStyle w:val="FootnoteReference"/>
          <w:rFonts w:ascii="Times New Roman" w:eastAsia="Times New Roman" w:hAnsi="Times New Roman" w:cs="Times New Roman"/>
          <w:noProof/>
          <w:sz w:val="24"/>
          <w:szCs w:val="24"/>
          <w:lang w:eastAsia="de-DE"/>
        </w:rPr>
        <w:footnoteReference w:id="147"/>
      </w:r>
      <w:r>
        <w:rPr>
          <w:rFonts w:ascii="Times New Roman" w:eastAsia="Times New Roman" w:hAnsi="Times New Roman" w:cs="Times New Roman"/>
          <w:noProof/>
          <w:sz w:val="24"/>
          <w:szCs w:val="24"/>
          <w:lang w:eastAsia="de-DE"/>
        </w:rPr>
        <w:tab/>
      </w:r>
    </w:p>
    <w:p w:rsidR="003A1527" w:rsidRDefault="00742A12">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Furthermore, making the partnership principle mandatory in order to enhance the involvement and capacity of all actors, being from the public or private sector, NGOs or social partners, to</w:t>
      </w:r>
      <w:r>
        <w:rPr>
          <w:rFonts w:ascii="Times New Roman" w:eastAsia="Times New Roman" w:hAnsi="Times New Roman" w:cs="Times New Roman"/>
          <w:noProof/>
          <w:sz w:val="24"/>
          <w:szCs w:val="24"/>
          <w:lang w:eastAsia="de-DE"/>
        </w:rPr>
        <w:t xml:space="preserve"> work together has strengthened the implementation of the ESF programmes.</w:t>
      </w:r>
    </w:p>
    <w:p w:rsidR="003A1527" w:rsidRDefault="003A1527">
      <w:pPr>
        <w:spacing w:after="0" w:line="240" w:lineRule="auto"/>
        <w:contextualSpacing/>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Ex-post</w:t>
      </w:r>
      <w:r>
        <w:rPr>
          <w:rFonts w:ascii="Times New Roman" w:hAnsi="Times New Roman" w:cs="Times New Roman"/>
          <w:noProof/>
          <w:sz w:val="24"/>
          <w:szCs w:val="24"/>
        </w:rPr>
        <w:t xml:space="preserve"> evaluations show that overall the largest importance of ESF may be seen in contributing towards active labour market policies, helping to support provision of services by la</w:t>
      </w:r>
      <w:r>
        <w:rPr>
          <w:rFonts w:ascii="Times New Roman" w:hAnsi="Times New Roman" w:cs="Times New Roman"/>
          <w:noProof/>
          <w:sz w:val="24"/>
          <w:szCs w:val="24"/>
        </w:rPr>
        <w:t xml:space="preserve">bour market institutions such as public employment services that help large number of unemployed or those at risk of unemployment to gain a job (or a better job). Evidence points that for these activities to be successful they need to incorporate know how </w:t>
      </w:r>
      <w:r>
        <w:rPr>
          <w:rFonts w:ascii="Times New Roman" w:hAnsi="Times New Roman" w:cs="Times New Roman"/>
          <w:noProof/>
          <w:sz w:val="24"/>
          <w:szCs w:val="24"/>
        </w:rPr>
        <w:t>of institutions working with target groups by providing support adapted to the personal situations combining work based learning, wage incentives and other measures. Respondents to the public consultation conducted in the framework of the 2007-2013 e</w:t>
      </w:r>
      <w:r>
        <w:rPr>
          <w:rFonts w:ascii="Times New Roman" w:hAnsi="Times New Roman" w:cs="Times New Roman"/>
          <w:i/>
          <w:noProof/>
          <w:sz w:val="24"/>
          <w:szCs w:val="24"/>
        </w:rPr>
        <w:t>x-post</w:t>
      </w:r>
      <w:r>
        <w:rPr>
          <w:rFonts w:ascii="Times New Roman" w:hAnsi="Times New Roman" w:cs="Times New Roman"/>
          <w:noProof/>
          <w:sz w:val="24"/>
          <w:szCs w:val="24"/>
        </w:rPr>
        <w:t xml:space="preserve"> evaluation identify that unemployed (68%), long term unemployed (57%) along with the young people (66%) are the target groups that would have not received assistance in the absence of ESF or would be covered to a lesser degree, confirming the perceived im</w:t>
      </w:r>
      <w:r>
        <w:rPr>
          <w:rFonts w:ascii="Times New Roman" w:hAnsi="Times New Roman" w:cs="Times New Roman"/>
          <w:noProof/>
          <w:sz w:val="24"/>
          <w:szCs w:val="24"/>
        </w:rPr>
        <w:t xml:space="preserve">portance of interventions in this field.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mainstream access to employment measures, interventions in the social inclusion field are often set with the objective of inclusion in the labour market. As such operations most often target per</w:t>
      </w:r>
      <w:r>
        <w:rPr>
          <w:rFonts w:ascii="Times New Roman" w:hAnsi="Times New Roman" w:cs="Times New Roman"/>
          <w:noProof/>
          <w:sz w:val="24"/>
          <w:szCs w:val="24"/>
        </w:rPr>
        <w:t xml:space="preserve">sons at a greater distance from the labour market, facing multiple challenges and requiring more systemic and coordinated pathway approaches with follow-up activities. </w:t>
      </w:r>
    </w:p>
    <w:p w:rsidR="003A1527" w:rsidRDefault="00742A12">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Education, training and institutional capacity interventions are more important for con</w:t>
      </w:r>
      <w:r>
        <w:rPr>
          <w:rFonts w:ascii="Times New Roman" w:hAnsi="Times New Roman" w:cs="Times New Roman"/>
          <w:noProof/>
          <w:sz w:val="24"/>
          <w:szCs w:val="24"/>
        </w:rPr>
        <w:t>vergence regions. The ESF helped a large variety of operations in the education and training field, starting from early childhood education continuing to schools, vocational education, research and lifelong learning activities. Stakeholders responding to t</w:t>
      </w:r>
      <w:r>
        <w:rPr>
          <w:rFonts w:ascii="Times New Roman" w:hAnsi="Times New Roman" w:cs="Times New Roman"/>
          <w:noProof/>
          <w:sz w:val="24"/>
          <w:szCs w:val="24"/>
        </w:rPr>
        <w:t>he 2007-2013 pubic consultation saw obtaining a qualification as a main benefit for ESF participants. Investment in education and training often take long time to materialize thus necessitating an extensive coordination among stakeholders to ensure a conti</w:t>
      </w:r>
      <w:r>
        <w:rPr>
          <w:rFonts w:ascii="Times New Roman" w:hAnsi="Times New Roman" w:cs="Times New Roman"/>
          <w:noProof/>
          <w:sz w:val="24"/>
          <w:szCs w:val="24"/>
        </w:rPr>
        <w:t xml:space="preserve">nuously relevant offer. </w:t>
      </w:r>
      <w:r>
        <w:rPr>
          <w:rFonts w:ascii="Times New Roman" w:eastAsia="Times New Roman" w:hAnsi="Times New Roman" w:cs="Times New Roman"/>
          <w:noProof/>
          <w:sz w:val="24"/>
          <w:szCs w:val="24"/>
        </w:rPr>
        <w:t>Evaluations also demonstrate that improved health is one of the effects of interventions co-financed by ESF. These effects have been both direct, especially in investments supporting access to high quality services or support to mor</w:t>
      </w:r>
      <w:r>
        <w:rPr>
          <w:rFonts w:ascii="Times New Roman" w:eastAsia="Times New Roman" w:hAnsi="Times New Roman" w:cs="Times New Roman"/>
          <w:noProof/>
          <w:sz w:val="24"/>
          <w:szCs w:val="24"/>
        </w:rPr>
        <w:t xml:space="preserve">e vulnerable groups facing health challenges, and indirect, when support primarily fostering different objectives produced spill over effects.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to institutional capacity building and public administration reforms is seen as especially important given the overarching role of good governance for achieving convergence. ESF interventions in 2007-2013 helped to fund reforms in areas such as hea</w:t>
      </w:r>
      <w:r>
        <w:rPr>
          <w:rFonts w:ascii="Times New Roman" w:hAnsi="Times New Roman" w:cs="Times New Roman"/>
          <w:noProof/>
          <w:sz w:val="24"/>
          <w:szCs w:val="24"/>
        </w:rPr>
        <w:t xml:space="preserve">lthcare, judiciary, better policy decision-making and e-governance. However, continued support and political commitment to change is critical for actions in this area given their multiannual character.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ESF has provided a critical mass of funding for</w:t>
      </w:r>
      <w:r>
        <w:rPr>
          <w:rFonts w:ascii="Times New Roman" w:hAnsi="Times New Roman" w:cs="Times New Roman"/>
          <w:noProof/>
          <w:sz w:val="24"/>
          <w:szCs w:val="24"/>
        </w:rPr>
        <w:t xml:space="preserve"> policy reforms in a number of Member States by</w:t>
      </w:r>
      <w:r>
        <w:rPr>
          <w:rFonts w:ascii="Times New Roman" w:eastAsia="Times New Roman" w:hAnsi="Times New Roman" w:cs="Times New Roman"/>
          <w:noProof/>
          <w:sz w:val="24"/>
          <w:szCs w:val="24"/>
          <w:lang w:eastAsia="en-GB"/>
        </w:rPr>
        <w:t xml:space="preserve"> modernising, strengthening and widening the scope of public services implementing active labour market policies but also education, judiciary and general administration.</w:t>
      </w:r>
      <w:r>
        <w:rPr>
          <w:rStyle w:val="FootnoteReference"/>
          <w:rFonts w:ascii="Times New Roman" w:hAnsi="Times New Roman" w:cs="Times New Roman"/>
          <w:noProof/>
          <w:sz w:val="24"/>
          <w:szCs w:val="24"/>
        </w:rPr>
        <w:footnoteReference w:id="148"/>
      </w:r>
      <w:r>
        <w:rPr>
          <w:rFonts w:ascii="Times New Roman" w:hAnsi="Times New Roman" w:cs="Times New Roman"/>
          <w:noProof/>
          <w:sz w:val="24"/>
          <w:szCs w:val="24"/>
        </w:rPr>
        <w:t xml:space="preserve"> Good governance is in particular seen</w:t>
      </w:r>
      <w:r>
        <w:rPr>
          <w:rFonts w:ascii="Times New Roman" w:hAnsi="Times New Roman" w:cs="Times New Roman"/>
          <w:noProof/>
          <w:sz w:val="24"/>
          <w:szCs w:val="24"/>
        </w:rPr>
        <w:t xml:space="preserve"> as having a critical role in ensuring economic and social convergence</w:t>
      </w:r>
      <w:r>
        <w:rPr>
          <w:rStyle w:val="FootnoteReference"/>
          <w:rFonts w:ascii="Times New Roman" w:hAnsi="Times New Roman" w:cs="Times New Roman"/>
          <w:noProof/>
          <w:sz w:val="24"/>
          <w:szCs w:val="24"/>
        </w:rPr>
        <w:footnoteReference w:id="149"/>
      </w:r>
      <w:r>
        <w:rPr>
          <w:rFonts w:ascii="Times New Roman" w:hAnsi="Times New Roman" w:cs="Times New Roman"/>
          <w:noProof/>
          <w:sz w:val="24"/>
          <w:szCs w:val="24"/>
        </w:rPr>
        <w:t xml:space="preserve"> of lagging regions. The ESF is for example instrumental in helping to reduce administrative burdens and costs for citizens and businesses, reducing the length of judicial proceedings and making services more accessible.</w:t>
      </w:r>
      <w:r>
        <w:rPr>
          <w:rStyle w:val="FootnoteReference"/>
          <w:rFonts w:ascii="Times New Roman" w:hAnsi="Times New Roman" w:cs="Times New Roman"/>
          <w:noProof/>
          <w:sz w:val="24"/>
          <w:szCs w:val="24"/>
        </w:rPr>
        <w:footnoteReference w:id="150"/>
      </w:r>
      <w:r>
        <w:rPr>
          <w:rFonts w:ascii="Times New Roman" w:hAnsi="Times New Roman" w:cs="Times New Roman"/>
          <w:noProof/>
          <w:sz w:val="24"/>
          <w:szCs w:val="24"/>
        </w:rPr>
        <w:t xml:space="preserve">   </w:t>
      </w:r>
    </w:p>
    <w:p w:rsidR="003A1527" w:rsidRDefault="003A1527">
      <w:pPr>
        <w:spacing w:afterLines="200" w:after="480" w:line="240" w:lineRule="auto"/>
        <w:contextualSpacing/>
        <w:jc w:val="both"/>
        <w:rPr>
          <w:rFonts w:ascii="Times New Roman" w:hAnsi="Times New Roman" w:cs="Times New Roman"/>
          <w:noProof/>
          <w:sz w:val="24"/>
          <w:szCs w:val="24"/>
        </w:rPr>
      </w:pPr>
    </w:p>
    <w:p w:rsidR="003A1527" w:rsidRDefault="00742A12">
      <w:pPr>
        <w:spacing w:afterLines="200" w:after="48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Available data from the 2014-2</w:t>
      </w:r>
      <w:r>
        <w:rPr>
          <w:rFonts w:ascii="Times New Roman" w:hAnsi="Times New Roman" w:cs="Times New Roman"/>
          <w:noProof/>
          <w:sz w:val="24"/>
          <w:szCs w:val="24"/>
        </w:rPr>
        <w:t xml:space="preserve">020 period show that significant progress was lately made in the field of financial instruments, with the number of financial instruments financed by the ESF increased at the end of 2016 from 7 to 23, and an OP amount committed to financial instruments of </w:t>
      </w:r>
      <w:r>
        <w:rPr>
          <w:rFonts w:ascii="Times New Roman" w:hAnsi="Times New Roman" w:cs="Times New Roman"/>
          <w:noProof/>
          <w:sz w:val="24"/>
          <w:szCs w:val="24"/>
        </w:rPr>
        <w:t>EUR 418 million (compared to EUR 282 million as of the end of 2015). In 2014-2020, an improved regulatory framework and extended support activities provided ground for a limited but real increase in the role that FIs can play for achieving the goals of the</w:t>
      </w:r>
      <w:r>
        <w:rPr>
          <w:rFonts w:ascii="Times New Roman" w:hAnsi="Times New Roman" w:cs="Times New Roman"/>
          <w:noProof/>
          <w:sz w:val="24"/>
          <w:szCs w:val="24"/>
        </w:rPr>
        <w:t xml:space="preserve"> ESF, with the objective to increase the use of FIs under the ESF in terms of budget, territorial coverage and types of investment.</w:t>
      </w:r>
    </w:p>
    <w:p w:rsidR="003A1527" w:rsidRDefault="003A1527">
      <w:pPr>
        <w:spacing w:line="240" w:lineRule="auto"/>
        <w:contextualSpacing/>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Weaknesses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Evaluations and stakeholder consultations have also highlighted key lessons for improvements in the ESF and thus</w:t>
      </w:r>
      <w:r>
        <w:rPr>
          <w:rFonts w:ascii="Times New Roman" w:hAnsi="Times New Roman" w:cs="Times New Roman"/>
          <w:noProof/>
          <w:sz w:val="24"/>
          <w:szCs w:val="24"/>
        </w:rPr>
        <w:t>, for increasing its added value. They are summarised below.</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noProof/>
          <w:sz w:val="24"/>
          <w:szCs w:val="24"/>
        </w:rPr>
      </w:pPr>
      <w:r>
        <w:rPr>
          <w:rFonts w:ascii="Times New Roman" w:hAnsi="Times New Roman"/>
          <w:i/>
          <w:noProof/>
          <w:sz w:val="24"/>
        </w:rPr>
        <w:t>Policy alignment:</w:t>
      </w:r>
      <w:r>
        <w:rPr>
          <w:rFonts w:ascii="Times New Roman" w:hAnsi="Times New Roman" w:cs="Times New Roman"/>
          <w:noProof/>
          <w:sz w:val="24"/>
          <w:szCs w:val="24"/>
        </w:rPr>
        <w:t xml:space="preserve"> while the Fund's link to EU level policy priorities and economic governance in the context of the European Semester has improved significantly in the 2014-2020 programming peri</w:t>
      </w:r>
      <w:r>
        <w:rPr>
          <w:rFonts w:ascii="Times New Roman" w:hAnsi="Times New Roman" w:cs="Times New Roman"/>
          <w:noProof/>
          <w:sz w:val="24"/>
          <w:szCs w:val="24"/>
        </w:rPr>
        <w:t>od</w:t>
      </w:r>
      <w:r>
        <w:rPr>
          <w:rStyle w:val="FootnoteReference"/>
          <w:rFonts w:ascii="Times New Roman" w:hAnsi="Times New Roman" w:cs="Times New Roman"/>
          <w:noProof/>
          <w:sz w:val="24"/>
          <w:szCs w:val="24"/>
        </w:rPr>
        <w:footnoteReference w:id="151"/>
      </w:r>
      <w:r>
        <w:rPr>
          <w:rFonts w:ascii="Times New Roman" w:hAnsi="Times New Roman" w:cs="Times New Roman"/>
          <w:noProof/>
          <w:sz w:val="24"/>
          <w:szCs w:val="24"/>
        </w:rPr>
        <w:t>, it is not yet optimal. Evidence shows that country-specific recommendations (CSRs), proposed by the Commission as part of the European Semester in 2012-2015, as well as other structural challenges identified in the Commission country reports and in th</w:t>
      </w:r>
      <w:r>
        <w:rPr>
          <w:rFonts w:ascii="Times New Roman" w:hAnsi="Times New Roman" w:cs="Times New Roman"/>
          <w:noProof/>
          <w:sz w:val="24"/>
          <w:szCs w:val="24"/>
        </w:rPr>
        <w:t>e memoranda of understanding were taken up in the ESF's programming, and that the Fund contributes to implementing these reforms. However rules linked to the allocation mechanism and the territorial implementation of the ESF hamper a coherent alignment wit</w:t>
      </w:r>
      <w:r>
        <w:rPr>
          <w:rFonts w:ascii="Times New Roman" w:hAnsi="Times New Roman" w:cs="Times New Roman"/>
          <w:noProof/>
          <w:sz w:val="24"/>
          <w:szCs w:val="24"/>
        </w:rPr>
        <w:t>h the policies supported. Past programming periods have shown that flexibility, which is a main element to ensure the Fund's alignment with changing policy priorities (e.g. in reprogramming), has proven insufficient. In particular, the amendment process of</w:t>
      </w:r>
      <w:r>
        <w:rPr>
          <w:rFonts w:ascii="Times New Roman" w:hAnsi="Times New Roman" w:cs="Times New Roman"/>
          <w:noProof/>
          <w:sz w:val="24"/>
          <w:szCs w:val="24"/>
        </w:rPr>
        <w:t xml:space="preserve"> programmes results to be very burdensome.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i/>
          <w:noProof/>
          <w:sz w:val="24"/>
        </w:rPr>
        <w:t>Programming:</w:t>
      </w:r>
      <w:r>
        <w:rPr>
          <w:rFonts w:ascii="Times New Roman" w:hAnsi="Times New Roman" w:cs="Times New Roman"/>
          <w:noProof/>
          <w:sz w:val="24"/>
          <w:szCs w:val="24"/>
        </w:rPr>
        <w:t xml:space="preserve"> evidence showed that in 2007-2013 the OP architecture was defined too broadly and the output and result indicators were not always clearly aligned with the strategic objectives in the priority axes. </w:t>
      </w:r>
      <w:r>
        <w:rPr>
          <w:rFonts w:ascii="Times New Roman" w:hAnsi="Times New Roman" w:cs="Times New Roman"/>
          <w:noProof/>
          <w:sz w:val="24"/>
          <w:szCs w:val="24"/>
        </w:rPr>
        <w:t>In 2014-2020 result orientation was strengthened but the performance framework introduced in the current programming period has so far not proved to be a sufficient performance incentive for Member States. Furthermore, programming requirements have been cr</w:t>
      </w:r>
      <w:r>
        <w:rPr>
          <w:rFonts w:ascii="Times New Roman" w:hAnsi="Times New Roman" w:cs="Times New Roman"/>
          <w:noProof/>
          <w:sz w:val="24"/>
          <w:szCs w:val="24"/>
        </w:rPr>
        <w:t>iticised for being excessively administratively burdensome.</w:t>
      </w:r>
      <w:r>
        <w:rPr>
          <w:rStyle w:val="FootnoteReference"/>
          <w:rFonts w:ascii="Times New Roman" w:hAnsi="Times New Roman" w:cs="Times New Roman"/>
          <w:noProof/>
          <w:sz w:val="24"/>
          <w:szCs w:val="24"/>
        </w:rPr>
        <w:footnoteReference w:id="152"/>
      </w:r>
    </w:p>
    <w:p w:rsidR="003A1527" w:rsidRDefault="00742A12">
      <w:pPr>
        <w:spacing w:line="240" w:lineRule="auto"/>
        <w:jc w:val="both"/>
        <w:rPr>
          <w:rFonts w:ascii="Times New Roman" w:hAnsi="Times New Roman" w:cs="Times New Roman"/>
          <w:noProof/>
          <w:sz w:val="24"/>
          <w:szCs w:val="24"/>
        </w:rPr>
      </w:pPr>
      <w:r>
        <w:rPr>
          <w:rFonts w:ascii="Times New Roman" w:hAnsi="Times New Roman"/>
          <w:i/>
          <w:noProof/>
          <w:sz w:val="24"/>
        </w:rPr>
        <w:t>Target groups</w:t>
      </w:r>
      <w:r>
        <w:rPr>
          <w:rFonts w:ascii="Times New Roman" w:hAnsi="Times New Roman" w:cs="Times New Roman"/>
          <w:noProof/>
          <w:sz w:val="24"/>
          <w:szCs w:val="24"/>
        </w:rPr>
        <w:t>: over the 2007-2013 programming period the share of the disadvantaged participants among all participants decreased, while the share of young and older remained stable (despite spec</w:t>
      </w:r>
      <w:r>
        <w:rPr>
          <w:rFonts w:ascii="Times New Roman" w:hAnsi="Times New Roman" w:cs="Times New Roman"/>
          <w:noProof/>
          <w:sz w:val="24"/>
          <w:szCs w:val="24"/>
        </w:rPr>
        <w:t>ial initiatives such as youth action teams and challenges posed by aging society). These trends suggest that without reinforced focus on disadvantaged, young and older people and gender balance the fund cannot be successful in reaching key target groups. T</w:t>
      </w:r>
      <w:r>
        <w:rPr>
          <w:rFonts w:ascii="Times New Roman" w:hAnsi="Times New Roman" w:cs="Times New Roman"/>
          <w:noProof/>
          <w:sz w:val="24"/>
          <w:szCs w:val="24"/>
        </w:rPr>
        <w:t xml:space="preserve">he method of earmarking a certain percentage for disadvantaged groups (at least 20% of expenditure for social inclusion activates over the 2014-2020 period) thus preserves their continued coverage.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i/>
          <w:noProof/>
          <w:sz w:val="24"/>
        </w:rPr>
        <w:t>Programme implementation</w:t>
      </w:r>
      <w:r>
        <w:rPr>
          <w:rFonts w:ascii="Times New Roman" w:hAnsi="Times New Roman" w:cs="Times New Roman"/>
          <w:noProof/>
          <w:sz w:val="24"/>
          <w:szCs w:val="24"/>
        </w:rPr>
        <w:t>: studies show that despite some</w:t>
      </w:r>
      <w:r>
        <w:rPr>
          <w:rFonts w:ascii="Times New Roman" w:hAnsi="Times New Roman" w:cs="Times New Roman"/>
          <w:noProof/>
          <w:sz w:val="24"/>
          <w:szCs w:val="24"/>
        </w:rPr>
        <w:t xml:space="preserve"> progress ESF management and delivery remains too complex and the shift from a logic based on inputs towards one based on results, while it has improved in 2014-2020, has not fully taken place. Reimbursement based on real costs, territorial principles, des</w:t>
      </w:r>
      <w:r>
        <w:rPr>
          <w:rFonts w:ascii="Times New Roman" w:hAnsi="Times New Roman" w:cs="Times New Roman"/>
          <w:noProof/>
          <w:sz w:val="24"/>
          <w:szCs w:val="24"/>
        </w:rPr>
        <w:t>ignation of authorities, the programming architecture, including multi-fund programmes, and audit rules have contributed to this complexity.</w:t>
      </w:r>
      <w:r>
        <w:rPr>
          <w:rStyle w:val="FootnoteReference"/>
          <w:rFonts w:ascii="Times New Roman" w:hAnsi="Times New Roman" w:cs="Times New Roman"/>
          <w:noProof/>
          <w:sz w:val="24"/>
          <w:szCs w:val="24"/>
        </w:rPr>
        <w:footnoteReference w:id="153"/>
      </w:r>
      <w:r>
        <w:rPr>
          <w:rFonts w:ascii="Times New Roman" w:hAnsi="Times New Roman" w:cs="Times New Roman"/>
          <w:noProof/>
          <w:sz w:val="24"/>
          <w:szCs w:val="24"/>
        </w:rPr>
        <w:t xml:space="preserve"> These complex implementation rules ultimately result in delays in the starting of the implementation of programmes</w:t>
      </w:r>
      <w:r>
        <w:rPr>
          <w:rFonts w:ascii="Times New Roman" w:hAnsi="Times New Roman" w:cs="Times New Roman"/>
          <w:noProof/>
          <w:sz w:val="24"/>
          <w:szCs w:val="24"/>
        </w:rPr>
        <w:t>. Although progressive simplification measures were introduced in 2007-2013, the overall level of uptake remains low. The mandatory use of simplified cost options (SCOs) for projects up to EUR 50 000 (Article 14 of the ESF Regulation) in 2014-2020 has prov</w:t>
      </w:r>
      <w:r>
        <w:rPr>
          <w:rFonts w:ascii="Times New Roman" w:hAnsi="Times New Roman" w:cs="Times New Roman"/>
          <w:noProof/>
          <w:sz w:val="24"/>
          <w:szCs w:val="24"/>
        </w:rPr>
        <w:t>ed to be a step in the right direction. However insufficient legal certainty is a main cause of Managing Authorities' concerns that prevent the widespread adoption of SCOs. In addition, concerns arise from potential multiple audits.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54"/>
      </w:r>
      <w:r>
        <w:rPr>
          <w:rFonts w:ascii="Times New Roman" w:hAnsi="Times New Roman" w:cs="Times New Roman"/>
          <w:noProof/>
          <w:sz w:val="24"/>
          <w:szCs w:val="24"/>
        </w:rPr>
        <w:t xml:space="preserve"> Finally, evaluations </w:t>
      </w:r>
      <w:r>
        <w:rPr>
          <w:rFonts w:ascii="Times New Roman" w:hAnsi="Times New Roman" w:cs="Times New Roman"/>
          <w:noProof/>
          <w:sz w:val="24"/>
          <w:szCs w:val="24"/>
        </w:rPr>
        <w:t xml:space="preserve">underline the need for capacity building, training and mentoring of implementing bodies (particularly among stakeholders new to the ESF) especially as new rules are introduced. </w:t>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i/>
          <w:noProof/>
          <w:sz w:val="24"/>
        </w:rPr>
        <w:t>Framework for monitoring and evaluation</w:t>
      </w:r>
      <w:r>
        <w:rPr>
          <w:rFonts w:ascii="Times New Roman" w:hAnsi="Times New Roman" w:cs="Times New Roman"/>
          <w:noProof/>
          <w:sz w:val="24"/>
          <w:szCs w:val="24"/>
        </w:rPr>
        <w:t>: lessons from 2007-2013 programming pe</w:t>
      </w:r>
      <w:r>
        <w:rPr>
          <w:rFonts w:ascii="Times New Roman" w:hAnsi="Times New Roman" w:cs="Times New Roman"/>
          <w:noProof/>
          <w:sz w:val="24"/>
          <w:szCs w:val="24"/>
        </w:rPr>
        <w:t>riod advise to develop more robust definition of the objectives for the various priorities supported by clear and measurable baselines, milestones and targets.  Some of these lessons have been taken already on board in the 2014-2020 programming period. Not</w:t>
      </w:r>
      <w:r>
        <w:rPr>
          <w:rFonts w:ascii="Times New Roman" w:hAnsi="Times New Roman" w:cs="Times New Roman"/>
          <w:noProof/>
          <w:sz w:val="24"/>
          <w:szCs w:val="24"/>
        </w:rPr>
        <w:t>ably, the use of common indicators has been expanded in order to improve (1) the monitoring of progress on outputs and results after the interventions, (2) the evaluation of the latter's effectiveness and sustainability (long</w:t>
      </w:r>
      <w:r>
        <w:rPr>
          <w:rFonts w:ascii="Times New Roman" w:hAnsi="Times New Roman" w:cs="Times New Roman"/>
          <w:noProof/>
          <w:sz w:val="24"/>
          <w:szCs w:val="24"/>
        </w:rPr>
        <w:noBreakHyphen/>
        <w:t>term results/impact) and (3) a</w:t>
      </w:r>
      <w:r>
        <w:rPr>
          <w:rFonts w:ascii="Times New Roman" w:hAnsi="Times New Roman" w:cs="Times New Roman"/>
          <w:noProof/>
          <w:sz w:val="24"/>
          <w:szCs w:val="24"/>
        </w:rPr>
        <w:t xml:space="preserve">ggregation data at EU level.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specific objectives are more clearly linked to output and result indicators capturing the anticipated change (intervention logic). Results targets and milestones in the OPs are defined in relation to baseline values. Membe</w:t>
      </w:r>
      <w:r>
        <w:rPr>
          <w:rFonts w:ascii="Times New Roman" w:hAnsi="Times New Roman" w:cs="Times New Roman"/>
          <w:noProof/>
          <w:sz w:val="24"/>
          <w:szCs w:val="24"/>
        </w:rPr>
        <w:t>r States should present periodically progress towards achieving the objectives of the programme and its contribution to implementing the Union strategy for smart, sustainable and inclusive growth.</w:t>
      </w:r>
      <w:r>
        <w:rPr>
          <w:rStyle w:val="FootnoteReference"/>
          <w:rFonts w:ascii="Times New Roman" w:hAnsi="Times New Roman" w:cs="Times New Roman"/>
          <w:noProof/>
          <w:sz w:val="24"/>
          <w:szCs w:val="24"/>
        </w:rPr>
        <w:footnoteReference w:id="155"/>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specific evaluation framework is required for disadvanta</w:t>
      </w:r>
      <w:r>
        <w:rPr>
          <w:rFonts w:ascii="Times New Roman" w:hAnsi="Times New Roman" w:cs="Times New Roman"/>
          <w:noProof/>
          <w:sz w:val="24"/>
          <w:szCs w:val="24"/>
        </w:rPr>
        <w:t>ged groups with multiple problems. The traditional approach probably underestimates the total benefits to society resulting from the measures. There is a need for capturing ‘soft’ results. The latter were not considered in the common monitoring framework f</w:t>
      </w:r>
      <w:r>
        <w:rPr>
          <w:rFonts w:ascii="Times New Roman" w:hAnsi="Times New Roman" w:cs="Times New Roman"/>
          <w:noProof/>
          <w:sz w:val="24"/>
          <w:szCs w:val="24"/>
        </w:rPr>
        <w:t>or 2014-2020, but the Commission should encourage Member States to use them, in particular for the purpose of impact evaluations.</w:t>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i/>
          <w:noProof/>
          <w:sz w:val="24"/>
        </w:rPr>
        <w:t>Social innovation:</w:t>
      </w:r>
      <w:r>
        <w:rPr>
          <w:rFonts w:ascii="Times New Roman" w:hAnsi="Times New Roman" w:cs="Times New Roman"/>
          <w:noProof/>
          <w:sz w:val="24"/>
          <w:szCs w:val="24"/>
        </w:rPr>
        <w:t xml:space="preserve"> </w:t>
      </w:r>
      <w:r>
        <w:rPr>
          <w:rFonts w:ascii="Times New Roman" w:hAnsi="Times New Roman" w:cs="Times New Roman"/>
          <w:bCs/>
          <w:noProof/>
          <w:sz w:val="24"/>
          <w:szCs w:val="24"/>
        </w:rPr>
        <w:t>The ongoing ESF thematic study on social innovation finds that the uptake of social experimentation promote</w:t>
      </w:r>
      <w:r>
        <w:rPr>
          <w:rFonts w:ascii="Times New Roman" w:hAnsi="Times New Roman" w:cs="Times New Roman"/>
          <w:bCs/>
          <w:noProof/>
          <w:sz w:val="24"/>
          <w:szCs w:val="24"/>
        </w:rPr>
        <w:t>d by EaSI has been limited. Member Sates have allocated less than EUR 1 billion to social innovation, although most plan or implement actions relevant to social innovation. The study also reveals a need for more financial resources dedicated to social inno</w:t>
      </w:r>
      <w:r>
        <w:rPr>
          <w:rFonts w:ascii="Times New Roman" w:hAnsi="Times New Roman" w:cs="Times New Roman"/>
          <w:bCs/>
          <w:noProof/>
          <w:sz w:val="24"/>
          <w:szCs w:val="24"/>
        </w:rPr>
        <w:t>vation, together with enhanced capacity building and simpler administrative procedures.</w:t>
      </w:r>
    </w:p>
    <w:p w:rsidR="003A1527" w:rsidRDefault="00742A12">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The Youth Employment Initiative (</w:t>
      </w:r>
      <w:r>
        <w:rPr>
          <w:rFonts w:ascii="Times New Roman" w:eastAsia="Times New Roman" w:hAnsi="Times New Roman" w:cs="Times New Roman"/>
          <w:noProof/>
          <w:sz w:val="24"/>
          <w:szCs w:val="24"/>
          <w:u w:val="single"/>
          <w:lang w:eastAsia="de-DE"/>
        </w:rPr>
        <w:t>YEI</w:t>
      </w:r>
      <w:r>
        <w:rPr>
          <w:rFonts w:ascii="Times New Roman" w:hAnsi="Times New Roman" w:cs="Times New Roman"/>
          <w:noProof/>
          <w:sz w:val="24"/>
          <w:szCs w:val="24"/>
        </w:rPr>
        <w:t>)</w:t>
      </w:r>
    </w:p>
    <w:p w:rsidR="003A1527" w:rsidRDefault="00742A12">
      <w:pPr>
        <w:spacing w:line="240" w:lineRule="auto"/>
        <w:jc w:val="both"/>
        <w:rPr>
          <w:rFonts w:ascii="Times New Roman" w:hAnsi="Times New Roman"/>
          <w:b/>
          <w:noProof/>
          <w:sz w:val="24"/>
        </w:rPr>
      </w:pPr>
      <w:r>
        <w:rPr>
          <w:rFonts w:ascii="Times New Roman" w:hAnsi="Times New Roman"/>
          <w:b/>
          <w:noProof/>
          <w:sz w:val="24"/>
        </w:rPr>
        <w:t>Strengths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Alongside ESF-funded actions to support youth employment, the funding under the</w:t>
      </w:r>
      <w:r>
        <w:rPr>
          <w:rFonts w:ascii="Times New Roman" w:hAnsi="Times New Roman" w:cs="Times New Roman"/>
          <w:b/>
          <w:noProof/>
          <w:sz w:val="24"/>
          <w:szCs w:val="24"/>
        </w:rPr>
        <w:t xml:space="preserve"> YEI</w:t>
      </w:r>
      <w:r>
        <w:rPr>
          <w:rFonts w:ascii="Times New Roman" w:hAnsi="Times New Roman" w:cs="Times New Roman"/>
          <w:noProof/>
          <w:sz w:val="24"/>
          <w:szCs w:val="24"/>
        </w:rPr>
        <w:t xml:space="preserve"> has provided important policy and funding implementation lessons in particular through its targeted focus on policy level. Through its support to young people not in employment, education or training (NEETs) in specific EU regions the YEI has increased bo</w:t>
      </w:r>
      <w:r>
        <w:rPr>
          <w:rFonts w:ascii="Times New Roman" w:hAnsi="Times New Roman" w:cs="Times New Roman"/>
          <w:noProof/>
          <w:sz w:val="24"/>
          <w:szCs w:val="24"/>
        </w:rPr>
        <w:t>th the visibility of youth employment policies but has also acted as a driver for policy reforms in a number of Member States in the context of the set-up and implementation of youth guarantee schemes. Member States report that the Initiative is of critica</w:t>
      </w:r>
      <w:r>
        <w:rPr>
          <w:rFonts w:ascii="Times New Roman" w:hAnsi="Times New Roman" w:cs="Times New Roman"/>
          <w:noProof/>
          <w:sz w:val="24"/>
          <w:szCs w:val="24"/>
        </w:rPr>
        <w:t xml:space="preserve">l importance for the coverage and design of employment policy in their country. Expanding the ESF's scope, the YEI supports youth through more targeted and tailor-made actions, including employment pathways based on an individual assessment. Thanks to the </w:t>
      </w:r>
      <w:r>
        <w:rPr>
          <w:rFonts w:ascii="Times New Roman" w:hAnsi="Times New Roman" w:cs="Times New Roman"/>
          <w:noProof/>
          <w:sz w:val="24"/>
          <w:szCs w:val="24"/>
        </w:rPr>
        <w:t>YEI, in 2017, at least 1.7 million young people have participated in projects that boost their skills or allow them to have a working experience.</w:t>
      </w:r>
      <w:r>
        <w:rPr>
          <w:rStyle w:val="FootnoteReference"/>
          <w:rFonts w:ascii="Times New Roman" w:hAnsi="Times New Roman" w:cs="Times New Roman"/>
          <w:noProof/>
          <w:sz w:val="24"/>
          <w:szCs w:val="24"/>
        </w:rPr>
        <w:footnoteReference w:id="156"/>
      </w:r>
      <w:r>
        <w:rPr>
          <w:rFonts w:ascii="Times New Roman" w:hAnsi="Times New Roman" w:cs="Times New Roman"/>
          <w:noProof/>
          <w:sz w:val="24"/>
          <w:szCs w:val="24"/>
        </w:rPr>
        <w:t xml:space="preserve"> What is more, the Commission has provided guidance to Member States urging them to design measures that are t</w:t>
      </w:r>
      <w:r>
        <w:rPr>
          <w:rFonts w:ascii="Times New Roman" w:hAnsi="Times New Roman" w:cs="Times New Roman"/>
          <w:noProof/>
          <w:sz w:val="24"/>
          <w:szCs w:val="24"/>
        </w:rPr>
        <w:t>ailored to the needs of the different groups of population targeted by the YEI.</w:t>
      </w:r>
      <w:r>
        <w:rPr>
          <w:rFonts w:ascii="Times New Roman" w:hAnsi="Times New Roman" w:cs="Times New Roman"/>
          <w:noProof/>
          <w:sz w:val="24"/>
          <w:szCs w:val="24"/>
          <w:vertAlign w:val="superscript"/>
        </w:rPr>
        <w:footnoteReference w:id="157"/>
      </w:r>
      <w:r>
        <w:rPr>
          <w:rFonts w:ascii="Times New Roman" w:hAnsi="Times New Roman" w:cs="Times New Roman"/>
          <w:noProof/>
          <w:sz w:val="24"/>
          <w:szCs w:val="24"/>
        </w:rPr>
        <w:t xml:space="preserve"> Indeed, the YEI has stimulated public authorities to be more innovative and to put the focus increasingly on ensuring individualised approaches as regards youth employment mea</w:t>
      </w:r>
      <w:r>
        <w:rPr>
          <w:rFonts w:ascii="Times New Roman" w:hAnsi="Times New Roman" w:cs="Times New Roman"/>
          <w:noProof/>
          <w:sz w:val="24"/>
          <w:szCs w:val="24"/>
        </w:rPr>
        <w:t>sures.</w:t>
      </w:r>
      <w:r>
        <w:rPr>
          <w:rStyle w:val="FootnoteReference"/>
          <w:rFonts w:ascii="Times New Roman" w:hAnsi="Times New Roman" w:cs="Times New Roman"/>
          <w:noProof/>
          <w:sz w:val="24"/>
          <w:szCs w:val="24"/>
        </w:rPr>
        <w:footnoteReference w:id="158"/>
      </w:r>
      <w:r>
        <w:rPr>
          <w:rFonts w:ascii="Times New Roman" w:hAnsi="Times New Roman" w:cs="Times New Roman"/>
          <w:noProof/>
          <w:sz w:val="24"/>
          <w:szCs w:val="24"/>
        </w:rPr>
        <w:t xml:space="preserve"> In addition, the common result indicators for the YEI have been instrumental in demonstrating the aggregated achievements of the funding provided for the target group and have been widely praised for enabling a concrete and direct link between fund</w:t>
      </w:r>
      <w:r>
        <w:rPr>
          <w:rFonts w:ascii="Times New Roman" w:hAnsi="Times New Roman" w:cs="Times New Roman"/>
          <w:noProof/>
          <w:sz w:val="24"/>
          <w:szCs w:val="24"/>
        </w:rPr>
        <w:t xml:space="preserve">ing and results. </w:t>
      </w:r>
    </w:p>
    <w:p w:rsidR="003A1527" w:rsidRDefault="00742A12">
      <w:pPr>
        <w:pStyle w:val="DGEMPLStandard"/>
        <w:spacing w:line="240" w:lineRule="auto"/>
        <w:rPr>
          <w:rFonts w:ascii="Times New Roman" w:hAnsi="Times New Roman"/>
          <w:b/>
          <w:noProof/>
          <w:sz w:val="24"/>
        </w:rPr>
      </w:pPr>
      <w:r>
        <w:rPr>
          <w:rFonts w:ascii="Times New Roman" w:hAnsi="Times New Roman"/>
          <w:b/>
          <w:noProof/>
          <w:sz w:val="24"/>
        </w:rPr>
        <w:t>Weaknesses</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The main challenges for the YEI refer to its peculiar financial management modalities (being funded from two funding sources – the YEI and ESF allocations) as well as the additional reporting requirements for YEI (common indica</w:t>
      </w:r>
      <w:r>
        <w:rPr>
          <w:rFonts w:ascii="Times New Roman" w:hAnsi="Times New Roman"/>
          <w:noProof/>
          <w:sz w:val="24"/>
          <w:szCs w:val="24"/>
        </w:rPr>
        <w:t>tors ESF + YEI result indicators). These elements and in particular reporting requirements have been perceived by beneficiaries and implementing authorities as increasing the administrative burden.</w:t>
      </w:r>
      <w:r>
        <w:rPr>
          <w:rStyle w:val="FootnoteReference"/>
          <w:rFonts w:ascii="Times New Roman" w:hAnsi="Times New Roman"/>
          <w:noProof/>
          <w:sz w:val="24"/>
          <w:szCs w:val="24"/>
        </w:rPr>
        <w:footnoteReference w:id="159"/>
      </w:r>
      <w:r>
        <w:rPr>
          <w:rFonts w:ascii="Times New Roman" w:hAnsi="Times New Roman"/>
          <w:noProof/>
          <w:sz w:val="24"/>
          <w:szCs w:val="24"/>
        </w:rPr>
        <w:t xml:space="preserve">  In addition, the definition at national level of the NEE</w:t>
      </w:r>
      <w:r>
        <w:rPr>
          <w:rFonts w:ascii="Times New Roman" w:hAnsi="Times New Roman"/>
          <w:noProof/>
          <w:sz w:val="24"/>
          <w:szCs w:val="24"/>
        </w:rPr>
        <w:t xml:space="preserve">T target group has posed difficulties in a number of Member States in view of audit requirements. Due to the overall programming requirements stemming from the rules applicable to the ESIF, YEI implementation could not start as swiftly as desired. YEI has </w:t>
      </w:r>
      <w:r>
        <w:rPr>
          <w:rFonts w:ascii="Times New Roman" w:hAnsi="Times New Roman"/>
          <w:noProof/>
          <w:sz w:val="24"/>
          <w:szCs w:val="24"/>
        </w:rPr>
        <w:t>been more successful in supporting better educated and short-term unemployed young people and less effective in targeting the inactive NEETs.</w:t>
      </w:r>
      <w:r>
        <w:rPr>
          <w:rStyle w:val="FootnoteReference"/>
          <w:rFonts w:ascii="Times New Roman" w:hAnsi="Times New Roman"/>
          <w:noProof/>
          <w:sz w:val="24"/>
          <w:szCs w:val="24"/>
        </w:rPr>
        <w:footnoteReference w:id="160"/>
      </w:r>
      <w:r>
        <w:rPr>
          <w:rFonts w:ascii="Times New Roman" w:hAnsi="Times New Roman"/>
          <w:noProof/>
          <w:sz w:val="24"/>
          <w:szCs w:val="24"/>
        </w:rPr>
        <w:t xml:space="preserve"> It has been noted that additional efforts should be made for youth employment actions to support young people tha</w:t>
      </w:r>
      <w:r>
        <w:rPr>
          <w:rFonts w:ascii="Times New Roman" w:hAnsi="Times New Roman"/>
          <w:noProof/>
          <w:sz w:val="24"/>
          <w:szCs w:val="24"/>
        </w:rPr>
        <w:t>t are furthest away from education, training and employment as well as to increase the overall quality of the job and training offers funded by the YEI in the context of youth guarantee schemes.</w:t>
      </w:r>
      <w:r>
        <w:rPr>
          <w:rStyle w:val="FootnoteReference"/>
          <w:rFonts w:ascii="Times New Roman" w:hAnsi="Times New Roman"/>
          <w:noProof/>
          <w:sz w:val="24"/>
          <w:szCs w:val="24"/>
        </w:rPr>
        <w:footnoteReference w:id="161"/>
      </w:r>
      <w:r>
        <w:rPr>
          <w:rFonts w:ascii="Times New Roman" w:hAnsi="Times New Roman"/>
          <w:noProof/>
          <w:sz w:val="24"/>
          <w:szCs w:val="24"/>
        </w:rPr>
        <w:t xml:space="preserve"> </w:t>
      </w:r>
    </w:p>
    <w:p w:rsidR="003A1527" w:rsidRDefault="003A1527">
      <w:pPr>
        <w:pStyle w:val="DGEMPLStandard"/>
        <w:spacing w:line="240" w:lineRule="auto"/>
        <w:rPr>
          <w:rFonts w:ascii="Times New Roman" w:hAnsi="Times New Roman"/>
          <w:b/>
          <w:noProof/>
          <w:sz w:val="24"/>
          <w:szCs w:val="24"/>
        </w:rPr>
      </w:pPr>
    </w:p>
    <w:p w:rsidR="003A1527" w:rsidRDefault="00742A12">
      <w:pPr>
        <w:pStyle w:val="DGEMPLStandard"/>
        <w:spacing w:line="240" w:lineRule="auto"/>
        <w:rPr>
          <w:rFonts w:ascii="Times New Roman" w:hAnsi="Times New Roman"/>
          <w:b/>
          <w:noProof/>
          <w:sz w:val="24"/>
          <w:szCs w:val="24"/>
        </w:rPr>
      </w:pPr>
      <w:r>
        <w:rPr>
          <w:rFonts w:ascii="Times New Roman" w:hAnsi="Times New Roman"/>
          <w:b/>
          <w:noProof/>
          <w:sz w:val="24"/>
          <w:szCs w:val="24"/>
        </w:rPr>
        <w:t>2. FEAD</w:t>
      </w:r>
    </w:p>
    <w:p w:rsidR="003A1527" w:rsidRDefault="00742A12">
      <w:pPr>
        <w:pStyle w:val="DGEMPLStandard"/>
        <w:spacing w:line="240" w:lineRule="auto"/>
        <w:rPr>
          <w:rFonts w:ascii="Times New Roman" w:hAnsi="Times New Roman"/>
          <w:b/>
          <w:noProof/>
          <w:sz w:val="24"/>
          <w:szCs w:val="24"/>
        </w:rPr>
      </w:pPr>
      <w:r>
        <w:rPr>
          <w:rFonts w:ascii="Times New Roman" w:hAnsi="Times New Roman"/>
          <w:b/>
          <w:noProof/>
          <w:sz w:val="24"/>
          <w:szCs w:val="24"/>
        </w:rPr>
        <w:t xml:space="preserve">Strengths </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 xml:space="preserve">Preliminary results of the mid-term </w:t>
      </w:r>
      <w:r>
        <w:rPr>
          <w:rFonts w:ascii="Times New Roman" w:hAnsi="Times New Roman"/>
          <w:noProof/>
          <w:sz w:val="24"/>
          <w:szCs w:val="24"/>
        </w:rPr>
        <w:t>evaluation of the FEAD, including results of stakeholder consultations</w:t>
      </w:r>
      <w:r>
        <w:rPr>
          <w:rStyle w:val="FootnoteReference"/>
          <w:rFonts w:ascii="Times New Roman" w:hAnsi="Times New Roman"/>
          <w:noProof/>
          <w:sz w:val="24"/>
          <w:szCs w:val="24"/>
        </w:rPr>
        <w:footnoteReference w:id="162"/>
      </w:r>
      <w:r>
        <w:rPr>
          <w:rFonts w:ascii="Times New Roman" w:hAnsi="Times New Roman"/>
          <w:noProof/>
          <w:sz w:val="24"/>
          <w:szCs w:val="24"/>
        </w:rPr>
        <w:t>, indicate that the supported food, material aid and social inclusion measures make a difference to the most deprived, including those who otherwise may be left out by mainstream social</w:t>
      </w:r>
      <w:r>
        <w:rPr>
          <w:rFonts w:ascii="Times New Roman" w:hAnsi="Times New Roman"/>
          <w:noProof/>
          <w:sz w:val="24"/>
          <w:szCs w:val="24"/>
        </w:rPr>
        <w:t xml:space="preserve"> assistance or who need immediate support With reference to national schemes it plays both a complementary and supporting role, most notably by filling “social assistance gaps”, e.g. in in those Member States that do not have national non-financial assista</w:t>
      </w:r>
      <w:r>
        <w:rPr>
          <w:rFonts w:ascii="Times New Roman" w:hAnsi="Times New Roman"/>
          <w:noProof/>
          <w:sz w:val="24"/>
          <w:szCs w:val="24"/>
        </w:rPr>
        <w:t>nce programmes or where these do not cover the full spectre of most deprived. This is especially true of families with children, homeless people and people who are not reached by public services such as undocumented migrants, to whom FEAD provides informat</w:t>
      </w:r>
      <w:r>
        <w:rPr>
          <w:rFonts w:ascii="Times New Roman" w:hAnsi="Times New Roman"/>
          <w:noProof/>
          <w:sz w:val="24"/>
          <w:szCs w:val="24"/>
        </w:rPr>
        <w:t>ion about key services. For the older generation with minimum levels of income and who do not have access to the labour market, also FEAD helps find solutions.</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FEAD entails certain flexibility to adapt to the changing needs and emergencies by introducing c</w:t>
      </w:r>
      <w:r>
        <w:rPr>
          <w:rFonts w:ascii="Times New Roman" w:hAnsi="Times New Roman"/>
          <w:noProof/>
          <w:sz w:val="24"/>
          <w:szCs w:val="24"/>
        </w:rPr>
        <w:t xml:space="preserve">hanges to the delivery modes, the content of the aid and the targeting. In addition, FEAD OPs have proved relatively flexible with regards to types of food and items distributed, adapting them in response to feedback from end recipients. </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In addition to fo</w:t>
      </w:r>
      <w:r>
        <w:rPr>
          <w:rFonts w:ascii="Times New Roman" w:hAnsi="Times New Roman"/>
          <w:noProof/>
          <w:sz w:val="24"/>
          <w:szCs w:val="24"/>
        </w:rPr>
        <w:t>od and material assistance, FEAD offers a full range of services for the most deprived through the provision of accompanying measures that represent an important step towards poverty reduction, notably if end recipients use them to access social services a</w:t>
      </w:r>
      <w:r>
        <w:rPr>
          <w:rFonts w:ascii="Times New Roman" w:hAnsi="Times New Roman"/>
          <w:noProof/>
          <w:sz w:val="24"/>
          <w:szCs w:val="24"/>
        </w:rPr>
        <w:t>nd get further support that can lift them out of poverty.</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The fact that a common Managing Authority MA to the ESF and FEAD programmes has been established in some Member States positively facilitates coordination between ESF and FEAD and prevents situation</w:t>
      </w:r>
      <w:r>
        <w:rPr>
          <w:rFonts w:ascii="Times New Roman" w:hAnsi="Times New Roman"/>
          <w:noProof/>
          <w:sz w:val="24"/>
          <w:szCs w:val="24"/>
        </w:rPr>
        <w:t xml:space="preserve">s of double funding. </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Evidence points to the importance of partnerships and knowledge sharing both among institutions, partner organisations and social services, as well as across different partner organisations. The FEAD Network</w:t>
      </w:r>
      <w:r>
        <w:rPr>
          <w:rStyle w:val="FootnoteReference"/>
          <w:rFonts w:ascii="Times New Roman" w:hAnsi="Times New Roman"/>
          <w:noProof/>
          <w:sz w:val="24"/>
          <w:szCs w:val="24"/>
        </w:rPr>
        <w:footnoteReference w:id="163"/>
      </w:r>
      <w:r>
        <w:rPr>
          <w:rFonts w:ascii="Times New Roman" w:hAnsi="Times New Roman"/>
          <w:noProof/>
          <w:sz w:val="24"/>
          <w:szCs w:val="24"/>
        </w:rPr>
        <w:t xml:space="preserve"> launched in September 201</w:t>
      </w:r>
      <w:r>
        <w:rPr>
          <w:rFonts w:ascii="Times New Roman" w:hAnsi="Times New Roman"/>
          <w:noProof/>
          <w:sz w:val="24"/>
          <w:szCs w:val="24"/>
        </w:rPr>
        <w:t>6 plays an important role in supporting mutual learning at EU level, through networking and dissemination of good practices in the area of non-financial assistance to the most deprived persons.</w:t>
      </w:r>
    </w:p>
    <w:p w:rsidR="003A1527" w:rsidRDefault="003A1527">
      <w:pPr>
        <w:pStyle w:val="DGEMPLStandard"/>
        <w:spacing w:line="240" w:lineRule="auto"/>
        <w:rPr>
          <w:rFonts w:ascii="Times New Roman" w:hAnsi="Times New Roman"/>
          <w:noProof/>
          <w:sz w:val="24"/>
          <w:szCs w:val="24"/>
        </w:rPr>
      </w:pPr>
    </w:p>
    <w:p w:rsidR="003A1527" w:rsidRDefault="00742A12">
      <w:pPr>
        <w:pStyle w:val="DGEMPLStandard"/>
        <w:spacing w:line="240" w:lineRule="auto"/>
        <w:rPr>
          <w:rFonts w:ascii="Times New Roman" w:hAnsi="Times New Roman"/>
          <w:b/>
          <w:noProof/>
          <w:sz w:val="24"/>
          <w:szCs w:val="24"/>
        </w:rPr>
      </w:pPr>
      <w:r>
        <w:rPr>
          <w:rFonts w:ascii="Times New Roman" w:hAnsi="Times New Roman"/>
          <w:b/>
          <w:noProof/>
          <w:sz w:val="24"/>
          <w:szCs w:val="24"/>
        </w:rPr>
        <w:t>Weaknesses</w:t>
      </w:r>
    </w:p>
    <w:p w:rsidR="003A1527" w:rsidRDefault="00742A12">
      <w:pPr>
        <w:pStyle w:val="DGEMPLStandard"/>
        <w:spacing w:line="240" w:lineRule="auto"/>
        <w:rPr>
          <w:rFonts w:ascii="Times New Roman" w:eastAsia="Calibri" w:hAnsi="Times New Roman"/>
          <w:noProof/>
          <w:sz w:val="24"/>
          <w:szCs w:val="24"/>
        </w:rPr>
      </w:pPr>
      <w:r>
        <w:rPr>
          <w:rFonts w:ascii="Times New Roman" w:hAnsi="Times New Roman"/>
          <w:noProof/>
          <w:sz w:val="24"/>
          <w:szCs w:val="24"/>
        </w:rPr>
        <w:t>A number of difficulties in  the implementation of</w:t>
      </w:r>
      <w:r>
        <w:rPr>
          <w:rFonts w:ascii="Times New Roman" w:hAnsi="Times New Roman"/>
          <w:noProof/>
          <w:sz w:val="24"/>
          <w:szCs w:val="24"/>
        </w:rPr>
        <w:t xml:space="preserve"> FEAD are associated either with the EU regulatory framework and its interpretation or with national requirements, namely  delays in the start-up phase of the programme and administrative obstacles mostly linked to national procurement policies and to addi</w:t>
      </w:r>
      <w:r>
        <w:rPr>
          <w:rFonts w:ascii="Times New Roman" w:hAnsi="Times New Roman"/>
          <w:noProof/>
          <w:sz w:val="24"/>
          <w:szCs w:val="24"/>
        </w:rPr>
        <w:t xml:space="preserve">tional requirements such as </w:t>
      </w:r>
      <w:r>
        <w:rPr>
          <w:rFonts w:ascii="Times New Roman" w:hAnsi="Times New Roman"/>
          <w:i/>
          <w:noProof/>
          <w:sz w:val="24"/>
          <w:szCs w:val="24"/>
        </w:rPr>
        <w:t>inter alia</w:t>
      </w:r>
      <w:r>
        <w:rPr>
          <w:rFonts w:ascii="Times New Roman" w:hAnsi="Times New Roman"/>
          <w:noProof/>
          <w:sz w:val="24"/>
          <w:szCs w:val="24"/>
        </w:rPr>
        <w:t xml:space="preserve"> </w:t>
      </w:r>
      <w:r>
        <w:rPr>
          <w:rFonts w:ascii="Times New Roman" w:eastAsia="Calibri" w:hAnsi="Times New Roman"/>
          <w:noProof/>
          <w:sz w:val="24"/>
          <w:szCs w:val="24"/>
        </w:rPr>
        <w:t>recording data/information on operations and end recipients for monitoring purposes, lengthy documentation procedures and instructions and excessive procedures for the certification of end recipients.</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Similarly, defin</w:t>
      </w:r>
      <w:r>
        <w:rPr>
          <w:rFonts w:ascii="Times New Roman" w:hAnsi="Times New Roman"/>
          <w:noProof/>
          <w:sz w:val="24"/>
          <w:szCs w:val="24"/>
        </w:rPr>
        <w:t xml:space="preserve">ing a too narrow and restrictive list of eligibility criteria for the end-beneficiaries creates burden on the partner organizations, excludes those who do not have access to the social system and does not permit prompt responses to emergencies. </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A unique f</w:t>
      </w:r>
      <w:r>
        <w:rPr>
          <w:rFonts w:ascii="Times New Roman" w:hAnsi="Times New Roman"/>
          <w:noProof/>
          <w:sz w:val="24"/>
          <w:szCs w:val="24"/>
        </w:rPr>
        <w:t>eature of FEAD relies on its delivery mode through partner organisations. However, these organizations are mostly NGOs based on volunteers who often lack the capacity to cope with the administrative burden that FEAD's implementation entails and this may re</w:t>
      </w:r>
      <w:r>
        <w:rPr>
          <w:rFonts w:ascii="Times New Roman" w:hAnsi="Times New Roman"/>
          <w:noProof/>
          <w:sz w:val="24"/>
          <w:szCs w:val="24"/>
        </w:rPr>
        <w:t>sult in serious delays in the introduction of payment claims to the Commission and hence to loss of resources.</w:t>
      </w:r>
    </w:p>
    <w:p w:rsidR="003A1527" w:rsidRDefault="00742A12">
      <w:pPr>
        <w:pStyle w:val="DGEMPLStandard"/>
        <w:spacing w:line="240" w:lineRule="auto"/>
        <w:rPr>
          <w:rFonts w:ascii="Times New Roman" w:hAnsi="Times New Roman"/>
          <w:noProof/>
          <w:sz w:val="24"/>
          <w:szCs w:val="24"/>
        </w:rPr>
      </w:pPr>
      <w:r>
        <w:rPr>
          <w:rFonts w:ascii="Times New Roman" w:hAnsi="Times New Roman"/>
          <w:noProof/>
          <w:sz w:val="24"/>
          <w:szCs w:val="24"/>
        </w:rPr>
        <w:t>Stakeholders state that food and material aid through FEAD alone is not sufficient to lift end recipients out of poverty. Conversely, it was note</w:t>
      </w:r>
      <w:r>
        <w:rPr>
          <w:rFonts w:ascii="Times New Roman" w:hAnsi="Times New Roman"/>
          <w:noProof/>
          <w:sz w:val="24"/>
          <w:szCs w:val="24"/>
        </w:rPr>
        <w:t>d that Member States implementing only social inclusion activities under FEAD see a need to also deliver material aid in order to alleviate immediate needs of the end recipients. This is not however possible under the current OP differentiation. The absenc</w:t>
      </w:r>
      <w:r>
        <w:rPr>
          <w:rFonts w:ascii="Times New Roman" w:hAnsi="Times New Roman"/>
          <w:noProof/>
          <w:sz w:val="24"/>
          <w:szCs w:val="24"/>
        </w:rPr>
        <w:t xml:space="preserve">e of interaction between FEAD and ESF does not allow complementing the tangible aid provided to the most deprived through FEAD with social support and professional activation through ESF in order to sustainably end the poverty situation. </w:t>
      </w:r>
    </w:p>
    <w:p w:rsidR="003A1527" w:rsidRDefault="003A1527">
      <w:pPr>
        <w:spacing w:line="240" w:lineRule="auto"/>
        <w:jc w:val="both"/>
        <w:rPr>
          <w:rFonts w:ascii="Times New Roman" w:hAnsi="Times New Roman" w:cs="Times New Roman"/>
          <w:noProof/>
          <w:sz w:val="24"/>
          <w:szCs w:val="24"/>
        </w:rPr>
      </w:pPr>
    </w:p>
    <w:p w:rsidR="003A1527" w:rsidRDefault="00742A1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 EGF</w:t>
      </w:r>
    </w:p>
    <w:p w:rsidR="003A1527" w:rsidRDefault="00742A12">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EGF had been subject to several evaluations and studies, the most recent being the ex-post evaluation of the EGF 2007-2013, a European Court of Auditors special report on the EU value added of the EGF 2007-2013, the </w:t>
      </w:r>
      <w:hyperlink r:id="rId54" w:history="1">
        <w:r>
          <w:rPr>
            <w:rFonts w:ascii="Times New Roman" w:eastAsia="Times New Roman" w:hAnsi="Times New Roman" w:cs="Times New Roman"/>
            <w:noProof/>
            <w:sz w:val="24"/>
            <w:szCs w:val="24"/>
          </w:rPr>
          <w:t>European Parliament’s European Implementation Assessment of the EGF 2007-2014</w:t>
        </w:r>
      </w:hyperlink>
      <w:r>
        <w:rPr>
          <w:rFonts w:ascii="Times New Roman" w:eastAsia="Times New Roman" w:hAnsi="Times New Roman" w:cs="Times New Roman"/>
          <w:noProof/>
          <w:sz w:val="24"/>
          <w:szCs w:val="24"/>
        </w:rPr>
        <w:t xml:space="preserve"> and the mid-term evaluation of the EGF 2014-2020.</w:t>
      </w:r>
      <w:r>
        <w:rPr>
          <w:rStyle w:val="FootnoteReference"/>
          <w:rFonts w:ascii="Times New Roman" w:eastAsia="Times New Roman" w:hAnsi="Times New Roman" w:cs="Times New Roman"/>
          <w:noProof/>
          <w:sz w:val="24"/>
          <w:szCs w:val="24"/>
        </w:rPr>
        <w:footnoteReference w:id="164"/>
      </w:r>
      <w:r>
        <w:rPr>
          <w:rFonts w:ascii="Times New Roman" w:eastAsia="Times New Roman" w:hAnsi="Times New Roman" w:cs="Times New Roman"/>
          <w:noProof/>
          <w:sz w:val="24"/>
          <w:szCs w:val="24"/>
        </w:rPr>
        <w:t xml:space="preserve"> </w:t>
      </w:r>
    </w:p>
    <w:p w:rsidR="003A1527" w:rsidRDefault="00742A12">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reports on the former programming period confirm</w:t>
      </w:r>
      <w:r>
        <w:rPr>
          <w:rFonts w:ascii="Times New Roman" w:eastAsia="Times New Roman" w:hAnsi="Times New Roman" w:cs="Times New Roman"/>
          <w:noProof/>
          <w:sz w:val="24"/>
          <w:szCs w:val="24"/>
        </w:rPr>
        <w:t xml:space="preserve">ed the EU value added of the EGF by delivering assistance to the most vulnerable dismissed workers which they otherwise would not have received, and resulting in re-integration rates higher than identified comparators. Some recommendations have been made, </w:t>
      </w:r>
      <w:r>
        <w:rPr>
          <w:rFonts w:ascii="Times New Roman" w:eastAsia="Times New Roman" w:hAnsi="Times New Roman" w:cs="Times New Roman"/>
          <w:noProof/>
          <w:sz w:val="24"/>
          <w:szCs w:val="24"/>
        </w:rPr>
        <w:t xml:space="preserve">most of which had been incorporated into the design of the EGF 2014-2020. </w:t>
      </w:r>
    </w:p>
    <w:p w:rsidR="003A1527" w:rsidRDefault="00742A12">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the EGF mid-term evaluation 2014-2020 was finalised on 16.5.2018. The stakeholder consultations carried out comprised internet-based open public consultations, the orga</w:t>
      </w:r>
      <w:r>
        <w:rPr>
          <w:rFonts w:ascii="Times New Roman" w:eastAsia="Times New Roman" w:hAnsi="Times New Roman" w:cs="Times New Roman"/>
          <w:noProof/>
          <w:sz w:val="24"/>
          <w:szCs w:val="24"/>
        </w:rPr>
        <w:t>nisation of a networking seminar with EGF stakeholders, and of targeted consultations (interviews with EGF-Team, national Contact Persons, delivery partners, beneficiaries).</w:t>
      </w:r>
    </w:p>
    <w:p w:rsidR="003A1527" w:rsidRDefault="00742A12">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Due to the limited number of cases approved and implemented since 2014, the result</w:t>
      </w:r>
      <w:r>
        <w:rPr>
          <w:rFonts w:ascii="Times New Roman" w:eastAsia="Times New Roman" w:hAnsi="Times New Roman" w:cs="Times New Roman"/>
          <w:noProof/>
          <w:sz w:val="24"/>
          <w:szCs w:val="24"/>
        </w:rPr>
        <w:t>s of the evaluation still have to be taken with caution.</w:t>
      </w:r>
    </w:p>
    <w:p w:rsidR="003A1527" w:rsidRDefault="00742A12">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Strengths</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the mid-term evaluation show that the EGF generated EU</w:t>
      </w:r>
      <w:r>
        <w:rPr>
          <w:rFonts w:ascii="Times New Roman" w:eastAsia="Times New Roman" w:hAnsi="Times New Roman" w:cs="Times New Roman"/>
          <w:b/>
          <w:i/>
          <w:noProof/>
          <w:sz w:val="24"/>
          <w:szCs w:val="24"/>
        </w:rPr>
        <w:t xml:space="preserve"> </w:t>
      </w:r>
      <w:r>
        <w:rPr>
          <w:rFonts w:ascii="Times New Roman" w:eastAsia="Times New Roman" w:hAnsi="Times New Roman" w:cs="Times New Roman"/>
          <w:noProof/>
          <w:sz w:val="24"/>
          <w:szCs w:val="24"/>
        </w:rPr>
        <w:t>added value. This is particularly true in terms of its volume effects, meaning that EGF assistance not only increases t</w:t>
      </w:r>
      <w:r>
        <w:rPr>
          <w:rFonts w:ascii="Times New Roman" w:eastAsia="Times New Roman" w:hAnsi="Times New Roman" w:cs="Times New Roman"/>
          <w:noProof/>
          <w:sz w:val="24"/>
          <w:szCs w:val="24"/>
        </w:rPr>
        <w:t>he number and variety of services offered, but also their level of intensity. EGF measures are always offered on top of regular national measures and/or intensifying them. No displacement effects were observed at case level. The help offered would otherwis</w:t>
      </w:r>
      <w:r>
        <w:rPr>
          <w:rFonts w:ascii="Times New Roman" w:eastAsia="Times New Roman" w:hAnsi="Times New Roman" w:cs="Times New Roman"/>
          <w:noProof/>
          <w:sz w:val="24"/>
          <w:szCs w:val="24"/>
        </w:rPr>
        <w:t>e not have been available. This is a clear sign of the complementarity and additionality of EGF measures.</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unique combination of tailored measures that EGF offered to beneficiaries led to more sustainable results, beneficiaries increased self-esteem and</w:t>
      </w:r>
      <w:r>
        <w:rPr>
          <w:rFonts w:ascii="Times New Roman" w:eastAsia="Times New Roman" w:hAnsi="Times New Roman" w:cs="Times New Roman"/>
          <w:noProof/>
          <w:sz w:val="24"/>
          <w:szCs w:val="24"/>
        </w:rPr>
        <w:t xml:space="preserve"> as a result had a more proactive approach in job seeking. In addition, beneficiaries focused on transversal knowledge, skills and competences that are relevant to a broad range of occupations and sectors (i.e. language skills or digital competences). Ther</w:t>
      </w:r>
      <w:r>
        <w:rPr>
          <w:rFonts w:ascii="Times New Roman" w:eastAsia="Times New Roman" w:hAnsi="Times New Roman" w:cs="Times New Roman"/>
          <w:noProof/>
          <w:sz w:val="24"/>
          <w:szCs w:val="24"/>
        </w:rPr>
        <w:t xml:space="preserve">efore, its employability improved significantly. </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 the NEETs derogation no conclusive judgement seems possible. Even though not all Member States eligible made use of the derogation, evidence shows that wherever it has been used, the help has bee</w:t>
      </w:r>
      <w:r>
        <w:rPr>
          <w:rFonts w:ascii="Times New Roman" w:eastAsia="Times New Roman" w:hAnsi="Times New Roman" w:cs="Times New Roman"/>
          <w:noProof/>
          <w:sz w:val="24"/>
          <w:szCs w:val="24"/>
        </w:rPr>
        <w:t xml:space="preserve">n picked up to a very high degree by the young people targeted, a type of help they would otherwise not have received. The inclusion of NEETs generated process effects by creating entirely new partnerships with partners that worked more closely with young </w:t>
      </w:r>
      <w:r>
        <w:rPr>
          <w:rFonts w:ascii="Times New Roman" w:eastAsia="Times New Roman" w:hAnsi="Times New Roman" w:cs="Times New Roman"/>
          <w:noProof/>
          <w:sz w:val="24"/>
          <w:szCs w:val="24"/>
        </w:rPr>
        <w:t>people and consequently influencing on national policy choices.</w:t>
      </w:r>
    </w:p>
    <w:p w:rsidR="003A1527" w:rsidRDefault="00742A12">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an institutional level, the use of EGF assistance fosters the development of a general delivery mechanism of restructuring assistance in Member States with little experience in dealing with</w:t>
      </w:r>
      <w:r>
        <w:rPr>
          <w:rFonts w:ascii="Times New Roman" w:eastAsia="Times New Roman" w:hAnsi="Times New Roman" w:cs="Times New Roman"/>
          <w:noProof/>
          <w:sz w:val="24"/>
          <w:szCs w:val="24"/>
        </w:rPr>
        <w:t xml:space="preserve"> mass redundancies. In Member States that can already build on a wealth of experience and delivery mechanisms in place, the EGF serves as a tool to test innovative measures, which could later be incorporated into regular assistance.</w:t>
      </w:r>
    </w:p>
    <w:p w:rsidR="003A1527" w:rsidRDefault="00742A12">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Weaknesses</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mobilisa</w:t>
      </w:r>
      <w:r>
        <w:rPr>
          <w:rFonts w:ascii="Times New Roman" w:eastAsia="Times New Roman" w:hAnsi="Times New Roman" w:cs="Times New Roman"/>
          <w:noProof/>
          <w:sz w:val="24"/>
          <w:szCs w:val="24"/>
        </w:rPr>
        <w:t>tion of assistance offered to workers made redundant can either be justified by showing that redundancies occurred as a consequence of ‘globalisation’ or the ‘financial and economic crisis’. However, neither of the two terms has been clearly defined in the</w:t>
      </w:r>
      <w:r>
        <w:rPr>
          <w:rFonts w:ascii="Times New Roman" w:eastAsia="Times New Roman" w:hAnsi="Times New Roman" w:cs="Times New Roman"/>
          <w:noProof/>
          <w:sz w:val="24"/>
          <w:szCs w:val="24"/>
        </w:rPr>
        <w:t xml:space="preserve"> EGF Regulation. Evidence shows that Member States are often ambivalent as whether to submit an application under one criterion or the other, and then choose the one they can substantiate best. In general, the lack of definitions can be perceived as offeri</w:t>
      </w:r>
      <w:r>
        <w:rPr>
          <w:rFonts w:ascii="Times New Roman" w:eastAsia="Times New Roman" w:hAnsi="Times New Roman" w:cs="Times New Roman"/>
          <w:noProof/>
          <w:sz w:val="24"/>
          <w:szCs w:val="24"/>
        </w:rPr>
        <w:t>ng certain flexibility, but also as leaving grey areas of uncertainty. Finding the right evidence to justify a case is a major challenge and frequently keeps Member States from applying.</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Even though smaller redundancy cases could be eligible under a deroga</w:t>
      </w:r>
      <w:r>
        <w:rPr>
          <w:rFonts w:ascii="Times New Roman" w:eastAsia="Times New Roman" w:hAnsi="Times New Roman" w:cs="Times New Roman"/>
          <w:noProof/>
          <w:sz w:val="24"/>
          <w:szCs w:val="24"/>
        </w:rPr>
        <w:t>tion clause, Member States are not certain how to show that redundancies are likely to have a significant impact, as this impact is also not further defined by the Regulation. Institutional and financial capacity problems during both the application and im</w:t>
      </w:r>
      <w:r>
        <w:rPr>
          <w:rFonts w:ascii="Times New Roman" w:eastAsia="Times New Roman" w:hAnsi="Times New Roman" w:cs="Times New Roman"/>
          <w:noProof/>
          <w:sz w:val="24"/>
          <w:szCs w:val="24"/>
        </w:rPr>
        <w:t>plementation phases are a further obstacle Member States face when deciding on a possible application.</w:t>
      </w:r>
    </w:p>
    <w:p w:rsidR="003A1527" w:rsidRDefault="00742A12">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for the </w:t>
      </w:r>
      <w:r>
        <w:rPr>
          <w:rFonts w:ascii="Times New Roman" w:eastAsia="Times New Roman" w:hAnsi="Times New Roman" w:cs="Times New Roman"/>
          <w:i/>
          <w:noProof/>
          <w:sz w:val="24"/>
          <w:szCs w:val="24"/>
        </w:rPr>
        <w:t>efficiency</w:t>
      </w:r>
      <w:r>
        <w:rPr>
          <w:rFonts w:ascii="Times New Roman" w:eastAsia="Times New Roman" w:hAnsi="Times New Roman" w:cs="Times New Roman"/>
          <w:noProof/>
          <w:sz w:val="24"/>
          <w:szCs w:val="24"/>
        </w:rPr>
        <w:t xml:space="preserve"> of the assistance mobilised, the length of procedures during the decision-making process has been criticised. This does not only relate to the application stage, but also to the actual mobilisation of funds. As the EGF is operating outside the MFF ceiling</w:t>
      </w:r>
      <w:r>
        <w:rPr>
          <w:rFonts w:ascii="Times New Roman" w:eastAsia="Times New Roman" w:hAnsi="Times New Roman" w:cs="Times New Roman"/>
          <w:noProof/>
          <w:sz w:val="24"/>
          <w:szCs w:val="24"/>
        </w:rPr>
        <w:t>s, a full budgetary procedure, involving the European Parliament and the Council, is needed in order to mobilise the funds for EGF assistance. All stages of the application and mobilisation procedure would therefore require streamlining. More efforts are n</w:t>
      </w:r>
      <w:r>
        <w:rPr>
          <w:rFonts w:ascii="Times New Roman" w:eastAsia="Times New Roman" w:hAnsi="Times New Roman" w:cs="Times New Roman"/>
          <w:noProof/>
          <w:sz w:val="24"/>
          <w:szCs w:val="24"/>
        </w:rPr>
        <w:t xml:space="preserve">eeded to ensure the </w:t>
      </w:r>
      <w:r>
        <w:rPr>
          <w:rFonts w:ascii="Times New Roman" w:eastAsia="Times New Roman" w:hAnsi="Times New Roman" w:cs="Times New Roman"/>
          <w:i/>
          <w:noProof/>
          <w:sz w:val="24"/>
          <w:szCs w:val="24"/>
        </w:rPr>
        <w:t>coherence</w:t>
      </w:r>
      <w:r>
        <w:rPr>
          <w:rFonts w:ascii="Times New Roman" w:eastAsia="Times New Roman" w:hAnsi="Times New Roman" w:cs="Times New Roman"/>
          <w:noProof/>
          <w:sz w:val="24"/>
          <w:szCs w:val="24"/>
        </w:rPr>
        <w:t xml:space="preserve"> of funding. On the one hand, no overlaps with other EU or national funding could be identified at case level. On the other hand, an integrated approach could at best be observed in the interplay of national funding and EGF. No</w:t>
      </w:r>
      <w:r>
        <w:rPr>
          <w:rFonts w:ascii="Times New Roman" w:eastAsia="Times New Roman" w:hAnsi="Times New Roman" w:cs="Times New Roman"/>
          <w:noProof/>
          <w:sz w:val="24"/>
          <w:szCs w:val="24"/>
        </w:rPr>
        <w:t xml:space="preserve"> integrated approach to EGF and other EU funding was observed at case level. At instrumental level, no direct overlap in the design of the instruments could be identified, but there is evidence of an overlapping use of the instruments, e.g. the use of ESF </w:t>
      </w:r>
      <w:r>
        <w:rPr>
          <w:rFonts w:ascii="Times New Roman" w:eastAsia="Times New Roman" w:hAnsi="Times New Roman" w:cs="Times New Roman"/>
          <w:noProof/>
          <w:sz w:val="24"/>
          <w:szCs w:val="24"/>
        </w:rPr>
        <w:t>for short-term relief measures that are targeted by EGF (in a few Member States, in particular those with absorption problems regarding the ESF, a short-term re-programming of the ESF was possible). In general, the use of the EGF could be better coordinate</w:t>
      </w:r>
      <w:r>
        <w:rPr>
          <w:rFonts w:ascii="Times New Roman" w:eastAsia="Times New Roman" w:hAnsi="Times New Roman" w:cs="Times New Roman"/>
          <w:noProof/>
          <w:sz w:val="24"/>
          <w:szCs w:val="24"/>
        </w:rPr>
        <w:t xml:space="preserve">d with the recommendations set out in the EU Quality Framework for anticipation of change and restructuring (QFR).As for the </w:t>
      </w:r>
      <w:r>
        <w:rPr>
          <w:rFonts w:ascii="Times New Roman" w:eastAsia="Times New Roman" w:hAnsi="Times New Roman" w:cs="Times New Roman"/>
          <w:i/>
          <w:noProof/>
          <w:sz w:val="24"/>
          <w:szCs w:val="24"/>
        </w:rPr>
        <w:t>relevance</w:t>
      </w:r>
      <w:r>
        <w:rPr>
          <w:rFonts w:ascii="Times New Roman" w:eastAsia="Times New Roman" w:hAnsi="Times New Roman" w:cs="Times New Roman"/>
          <w:noProof/>
          <w:sz w:val="24"/>
          <w:szCs w:val="24"/>
        </w:rPr>
        <w:t xml:space="preserve"> of EGF funding, particularly those stakeholders with experience in the delivery of EGF measures questioned whether the EG</w:t>
      </w:r>
      <w:r>
        <w:rPr>
          <w:rFonts w:ascii="Times New Roman" w:eastAsia="Times New Roman" w:hAnsi="Times New Roman" w:cs="Times New Roman"/>
          <w:noProof/>
          <w:sz w:val="24"/>
          <w:szCs w:val="24"/>
        </w:rPr>
        <w:t>F was the right channel to deliver assistance to NEETs. To a far smaller but still significant degree, the crisis criterion was regarded as not relevant anymore. In the light of changes in how globalisation works, the increasing interconnectedness of world</w:t>
      </w:r>
      <w:r>
        <w:rPr>
          <w:rFonts w:ascii="Times New Roman" w:eastAsia="Times New Roman" w:hAnsi="Times New Roman" w:cs="Times New Roman"/>
          <w:noProof/>
          <w:sz w:val="24"/>
          <w:szCs w:val="24"/>
        </w:rPr>
        <w:t xml:space="preserve"> economies and increasing development of global value chains are likely to further increase the relevance of the globalisation criterion, but will also make it harder to substantiate it. Considering the difficulties in evidencing applications, it is clear </w:t>
      </w:r>
      <w:r>
        <w:rPr>
          <w:rFonts w:ascii="Times New Roman" w:eastAsia="Times New Roman" w:hAnsi="Times New Roman" w:cs="Times New Roman"/>
          <w:noProof/>
          <w:sz w:val="24"/>
          <w:szCs w:val="24"/>
        </w:rPr>
        <w:t>that the EGF could be mobilised far quicker if the background analyses currently required to argue for either the globalisation or the crisis criterion wasn’t necessary (which would be the case if all major restructuring events were eligible). The EGF woul</w:t>
      </w:r>
      <w:r>
        <w:rPr>
          <w:rFonts w:ascii="Times New Roman" w:eastAsia="Times New Roman" w:hAnsi="Times New Roman" w:cs="Times New Roman"/>
          <w:noProof/>
          <w:sz w:val="24"/>
          <w:szCs w:val="24"/>
        </w:rPr>
        <w:t>d then correspond better to its function as an emergency relief instrument. Several needs that arise through other recent economic developments, for example structural changes due to automation, are currently not covered.</w:t>
      </w:r>
    </w:p>
    <w:p w:rsidR="003A1527" w:rsidRDefault="003A1527">
      <w:pPr>
        <w:spacing w:line="240" w:lineRule="auto"/>
        <w:jc w:val="both"/>
        <w:rPr>
          <w:rFonts w:ascii="Times New Roman" w:hAnsi="Times New Roman" w:cs="Times New Roman"/>
          <w:noProof/>
          <w:sz w:val="24"/>
          <w:szCs w:val="24"/>
        </w:rPr>
      </w:pPr>
    </w:p>
    <w:p w:rsidR="003A1527" w:rsidRDefault="00742A12">
      <w:pPr>
        <w:pStyle w:val="BodyText2"/>
        <w:spacing w:line="240" w:lineRule="auto"/>
        <w:rPr>
          <w:b/>
          <w:color w:val="auto"/>
        </w:rPr>
      </w:pPr>
      <w:r>
        <w:rPr>
          <w:b/>
          <w:color w:val="auto"/>
        </w:rPr>
        <w:t>4. EaSI</w:t>
      </w:r>
    </w:p>
    <w:p w:rsidR="003A1527" w:rsidRDefault="00742A12">
      <w:pPr>
        <w:pStyle w:val="BodyText2"/>
        <w:spacing w:line="240" w:lineRule="auto"/>
        <w:rPr>
          <w:b/>
          <w:color w:val="auto"/>
        </w:rPr>
      </w:pPr>
      <w:r>
        <w:rPr>
          <w:color w:val="auto"/>
        </w:rPr>
        <w:t xml:space="preserve">This section takes stock </w:t>
      </w:r>
      <w:r>
        <w:rPr>
          <w:color w:val="auto"/>
        </w:rPr>
        <w:t>of the programme's mid-term evaluation and stakeholder consultations’ key findings across its strengths and weaknesses</w:t>
      </w:r>
      <w:r>
        <w:rPr>
          <w:b/>
          <w:color w:val="auto"/>
        </w:rPr>
        <w:t>.</w:t>
      </w:r>
    </w:p>
    <w:p w:rsidR="003A1527" w:rsidRDefault="00742A12">
      <w:pPr>
        <w:pStyle w:val="BodyText2"/>
        <w:spacing w:line="240" w:lineRule="auto"/>
        <w:rPr>
          <w:b/>
          <w:color w:val="auto"/>
        </w:rPr>
      </w:pPr>
      <w:r>
        <w:rPr>
          <w:b/>
          <w:color w:val="auto"/>
        </w:rPr>
        <w:t>Strengths</w:t>
      </w:r>
    </w:p>
    <w:p w:rsidR="003A1527" w:rsidRDefault="00742A12">
      <w:pPr>
        <w:pStyle w:val="BodyText2"/>
        <w:spacing w:line="240" w:lineRule="auto"/>
        <w:rPr>
          <w:color w:val="auto"/>
        </w:rPr>
      </w:pPr>
      <w:r>
        <w:rPr>
          <w:color w:val="auto"/>
        </w:rPr>
        <w:t>The mid-term evaluation shows EaSI original rationale - its general and specific objectives - are still pertinent in particula</w:t>
      </w:r>
      <w:r>
        <w:rPr>
          <w:color w:val="auto"/>
        </w:rPr>
        <w:t>r in light of the current challenging socio-economic context characterised by the aftermath of the financial and economic crisis, with positive but slow recovery. The programme's objectives are also highly relevant in light of the recent political events l</w:t>
      </w:r>
      <w:r>
        <w:rPr>
          <w:color w:val="auto"/>
        </w:rPr>
        <w:t>ikely to impact the EU in the coming years. For instance, with a large influx of migrants, the share of vulnerable people has significantly increased, making the successful integration of these persons one of the highest priorities across the EU in the nex</w:t>
      </w:r>
      <w:r>
        <w:rPr>
          <w:color w:val="auto"/>
        </w:rPr>
        <w:t>t couple of years and an important challenge for the society.</w:t>
      </w:r>
    </w:p>
    <w:p w:rsidR="003A1527" w:rsidRDefault="00742A12">
      <w:pPr>
        <w:pStyle w:val="BodyText2"/>
        <w:spacing w:line="240" w:lineRule="auto"/>
        <w:rPr>
          <w:strike/>
          <w:color w:val="auto"/>
        </w:rPr>
      </w:pPr>
      <w:r>
        <w:rPr>
          <w:color w:val="auto"/>
        </w:rPr>
        <w:t xml:space="preserve">The evaluation presents evidence that - in 2014-2016 - the EaSI programme was generally effective in reaching the relevant stakeholders, generating outcomes and achieving its objectives. </w:t>
      </w:r>
    </w:p>
    <w:p w:rsidR="003A1527" w:rsidRDefault="00742A12">
      <w:pPr>
        <w:pStyle w:val="BodyText2"/>
        <w:spacing w:line="240" w:lineRule="auto"/>
        <w:rPr>
          <w:color w:val="auto"/>
        </w:rPr>
      </w:pPr>
      <w:r>
        <w:rPr>
          <w:color w:val="auto"/>
        </w:rPr>
        <w:t>EaSI w</w:t>
      </w:r>
      <w:r>
        <w:rPr>
          <w:color w:val="auto"/>
        </w:rPr>
        <w:t>as efficient and effective in contributing to raise awareness about EU policy inputs in the area of social inclusion and poverty reduction, to an improved perception of the cross-border potentials for employment, to a rapid testing and implementation of in</w:t>
      </w:r>
      <w:r>
        <w:rPr>
          <w:color w:val="auto"/>
        </w:rPr>
        <w:t>novative measures, to an increased access to microfinance loans and support for entrepreneurship. EaSI also facilitated policy change through dissemination of comparative and analytical knowledge, exchange and building capacity, mutual learning and dialogu</w:t>
      </w:r>
      <w:r>
        <w:rPr>
          <w:color w:val="auto"/>
        </w:rPr>
        <w:t xml:space="preserve">e, helping therefore different stakeholders to influence the formulation and implementation of socio-economic policies in the programme's participating countries. </w:t>
      </w:r>
    </w:p>
    <w:p w:rsidR="003A1527" w:rsidRDefault="00742A12">
      <w:pPr>
        <w:pStyle w:val="BodyText2"/>
        <w:spacing w:line="240" w:lineRule="auto"/>
        <w:rPr>
          <w:color w:val="auto"/>
        </w:rPr>
      </w:pPr>
      <w:r>
        <w:rPr>
          <w:color w:val="auto"/>
        </w:rPr>
        <w:t>Regarding the programme's internal coherence, the evaluation findings showed that a series o</w:t>
      </w:r>
      <w:r>
        <w:rPr>
          <w:color w:val="auto"/>
        </w:rPr>
        <w:t>f policy evidence, information sharing and mutual learning activities funded under PROGRESS axis complement the two other axes and contribute to their effectiveness.</w:t>
      </w:r>
    </w:p>
    <w:p w:rsidR="003A1527" w:rsidRDefault="00742A12">
      <w:pPr>
        <w:pStyle w:val="BodyText2"/>
        <w:spacing w:line="240" w:lineRule="auto"/>
        <w:rPr>
          <w:color w:val="auto"/>
        </w:rPr>
      </w:pPr>
      <w:r>
        <w:rPr>
          <w:color w:val="auto"/>
        </w:rPr>
        <w:t xml:space="preserve">Regarding external coherence with other EU programmes, the evaluation indicated that EaSI </w:t>
      </w:r>
      <w:r>
        <w:rPr>
          <w:color w:val="auto"/>
        </w:rPr>
        <w:t>is mostly coherent with ESF. As regards the EaSI axes, PROGRESS shows also complementarity with other EU programmes such as Erasmus+, Horizon 2020 and COSME in terms of specific objectives, activities and beneficiaries. Complementarity between EURES and th</w:t>
      </w:r>
      <w:r>
        <w:rPr>
          <w:color w:val="auto"/>
        </w:rPr>
        <w:t>e European Territorial Co-operation programme (Interreg) was also found. The Microfinance/Social Entrepreneurship axis is also coherent and complementary with other microfinance instruments at the EU-level, which either support SMEs (like the COSME financi</w:t>
      </w:r>
      <w:r>
        <w:rPr>
          <w:color w:val="auto"/>
        </w:rPr>
        <w:t>al guarantee) or companies up to large caps (InnovFin) and offer larger financing amounts (InnovFin and COSME). In addition, the Microfinance/Social Entrepreneurship axis ensures a wide geographic coverage across EU Member States and other participating co</w:t>
      </w:r>
      <w:r>
        <w:rPr>
          <w:color w:val="auto"/>
        </w:rPr>
        <w:t>untries.</w:t>
      </w:r>
    </w:p>
    <w:p w:rsidR="003A1527" w:rsidRDefault="00742A12">
      <w:pPr>
        <w:pStyle w:val="BodyText2"/>
        <w:spacing w:line="240" w:lineRule="auto"/>
        <w:rPr>
          <w:color w:val="auto"/>
        </w:rPr>
      </w:pPr>
      <w:r>
        <w:rPr>
          <w:color w:val="auto"/>
        </w:rPr>
        <w:t xml:space="preserve">The EaSI programme produced demonstrable EU added value compared to national and regional level support in terms of scope and scale.  </w:t>
      </w:r>
    </w:p>
    <w:p w:rsidR="003A1527" w:rsidRDefault="00742A12">
      <w:pPr>
        <w:pStyle w:val="BodyText"/>
        <w:spacing w:line="240" w:lineRule="auto"/>
        <w:rPr>
          <w:noProof/>
          <w:szCs w:val="24"/>
        </w:rPr>
      </w:pPr>
      <w:r>
        <w:rPr>
          <w:noProof/>
          <w:szCs w:val="24"/>
        </w:rPr>
        <w:t>Another added value of EaSI comes from its transnational dimension, with few other equivalents in the programme'</w:t>
      </w:r>
      <w:r>
        <w:rPr>
          <w:noProof/>
          <w:szCs w:val="24"/>
        </w:rPr>
        <w:t xml:space="preserve">s participating countries in terms of scale and scope. The evidence gathered reveals that EaSI is able to support cross-border projects with a larger scope compared to what is possible at national level; indeed, </w:t>
      </w:r>
      <w:r>
        <w:rPr>
          <w:bCs/>
          <w:noProof/>
          <w:szCs w:val="24"/>
        </w:rPr>
        <w:t>no other programme integrates building coope</w:t>
      </w:r>
      <w:r>
        <w:rPr>
          <w:bCs/>
          <w:noProof/>
          <w:szCs w:val="24"/>
        </w:rPr>
        <w:t>ration links across borders, while delivering services and information to facilitate mobility</w:t>
      </w:r>
      <w:r>
        <w:rPr>
          <w:noProof/>
          <w:szCs w:val="24"/>
        </w:rPr>
        <w:t>. Also, EaSI contributes to build EU-level networks and produces comparative analysis that are not prioritised at other governance levels, such as multi-country da</w:t>
      </w:r>
      <w:r>
        <w:rPr>
          <w:noProof/>
          <w:szCs w:val="24"/>
        </w:rPr>
        <w:t>tabases, studies, statistics, social policy experimentations, capacity building and mutual learning activities. Moreover, EaSI appears to fill a clear gap in the supply of microfinance loans and support to social entrepreneurship in the programme's partici</w:t>
      </w:r>
      <w:r>
        <w:rPr>
          <w:noProof/>
          <w:szCs w:val="24"/>
        </w:rPr>
        <w:t>pating countries. Overall, the work carried out under EaSI programme extends beyond the management of the financial instruments and impulses a variety of measures to develop an eco-system for social finance markets, for example through grants to develop bo</w:t>
      </w:r>
      <w:r>
        <w:rPr>
          <w:noProof/>
          <w:szCs w:val="24"/>
        </w:rPr>
        <w:t>th the supply and demand side of social enterprise finance, but also through technical assistance and non-financial initiatives such as the 'Code of Good Conduct for microcredit provision', which helps to raise standards in the microfinance sector.</w:t>
      </w:r>
    </w:p>
    <w:p w:rsidR="003A1527" w:rsidRDefault="00742A12">
      <w:pPr>
        <w:pStyle w:val="BodyText2"/>
        <w:spacing w:line="240" w:lineRule="auto"/>
        <w:rPr>
          <w:color w:val="auto"/>
        </w:rPr>
      </w:pPr>
      <w:r>
        <w:rPr>
          <w:color w:val="auto"/>
        </w:rPr>
        <w:t>Overall</w:t>
      </w:r>
      <w:r>
        <w:rPr>
          <w:color w:val="auto"/>
        </w:rPr>
        <w:t>, no major overlaps between the objectives of EaSI and the objectives of national or EU-level instruments/programmes were identified during the mid-term evaluation. In particular the open public consultation highlights a significant consensus among stakeho</w:t>
      </w:r>
      <w:r>
        <w:rPr>
          <w:color w:val="auto"/>
        </w:rPr>
        <w:t>lders on the importance to maintain each type of instruments at EU level even where minor overlaps are identified with the national programmes. The evaluation also shows that the EaSI programme’s added value compared to what could be achieved by Member Sta</w:t>
      </w:r>
      <w:r>
        <w:rPr>
          <w:color w:val="auto"/>
        </w:rPr>
        <w:t xml:space="preserve">tes at national, regional and local levels is undeniable. </w:t>
      </w:r>
    </w:p>
    <w:p w:rsidR="003A1527" w:rsidRDefault="00742A12">
      <w:pPr>
        <w:pStyle w:val="BodyText2"/>
        <w:spacing w:line="240" w:lineRule="auto"/>
        <w:rPr>
          <w:color w:val="auto"/>
        </w:rPr>
      </w:pPr>
      <w:r>
        <w:rPr>
          <w:color w:val="auto"/>
        </w:rPr>
        <w:t>EaSI appears as unique as not the single EU-level programme that integrates the access to high-quality comparative analytical knowledge (like studies, databases, methodologies), the exchange of goo</w:t>
      </w:r>
      <w:r>
        <w:rPr>
          <w:color w:val="auto"/>
        </w:rPr>
        <w:t>d practices and mutual learning activities, social policy innovations testing, a overall better job matching and placement thanks to the combined effect of the online platform matching capabilities (the EURES job portal) and the roll out of targeted placem</w:t>
      </w:r>
      <w:r>
        <w:rPr>
          <w:color w:val="auto"/>
        </w:rPr>
        <w:t>ent services for respectively young workers (e.g. the 'Your first EURES Job' scheme) and frontier workers under the cross-border partnerships, the support provided to social enterprises as well the provision of loans to microenterprises, in particular thos</w:t>
      </w:r>
      <w:r>
        <w:rPr>
          <w:color w:val="auto"/>
        </w:rPr>
        <w:t xml:space="preserve">e employing vulnerable groups. EaSI support also fulfilled a vital function by facilitating the EU-level ONGs networking and the team building of stakeholders across the programme's participating countries. </w:t>
      </w:r>
    </w:p>
    <w:p w:rsidR="003A1527" w:rsidRDefault="00742A12">
      <w:pPr>
        <w:spacing w:after="200"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findings converge towards suggesting that t</w:t>
      </w:r>
      <w:r>
        <w:rPr>
          <w:rFonts w:ascii="Times New Roman" w:hAnsi="Times New Roman" w:cs="Times New Roman"/>
          <w:noProof/>
          <w:sz w:val="24"/>
          <w:szCs w:val="24"/>
        </w:rPr>
        <w:t>hanks to the EaSI programme, more relevant projects were supported compared to what was possible only through the national or other EU funding.</w:t>
      </w:r>
    </w:p>
    <w:p w:rsidR="003A1527" w:rsidRDefault="00742A12">
      <w:pPr>
        <w:pStyle w:val="ListBullet21"/>
        <w:numPr>
          <w:ilvl w:val="0"/>
          <w:numId w:val="0"/>
        </w:numPr>
        <w:spacing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lang w:eastAsia="en-GB"/>
        </w:rPr>
        <w:t>One central approach being promoted in the current EaSI programme is social policy experimentation, considered a</w:t>
      </w:r>
      <w:r>
        <w:rPr>
          <w:rFonts w:ascii="Times New Roman" w:hAnsi="Times New Roman" w:cs="Times New Roman"/>
          <w:noProof/>
          <w:color w:val="auto"/>
          <w:sz w:val="24"/>
          <w:szCs w:val="24"/>
          <w:lang w:eastAsia="en-GB"/>
        </w:rPr>
        <w:t xml:space="preserve">s a pilot to test proposed changes to social policies or new reforms. Very often government programmes in the field of social policy suffer from a lack of robust evidence on what works and what does not work. </w:t>
      </w:r>
      <w:r>
        <w:rPr>
          <w:rFonts w:ascii="Times New Roman" w:hAnsi="Times New Roman" w:cs="Times New Roman"/>
          <w:noProof/>
          <w:color w:val="auto"/>
          <w:sz w:val="24"/>
          <w:szCs w:val="24"/>
        </w:rPr>
        <w:t>Social policy experimentations help avoiding co</w:t>
      </w:r>
      <w:r>
        <w:rPr>
          <w:rFonts w:ascii="Times New Roman" w:hAnsi="Times New Roman" w:cs="Times New Roman"/>
          <w:noProof/>
          <w:color w:val="auto"/>
          <w:sz w:val="24"/>
          <w:szCs w:val="24"/>
        </w:rPr>
        <w:t>sts of launching untested programs that may fail, serve as source of inspiration for policymakers finding comprehensive responses to particular social problems and support policy decisions resulting in policies being adopted that otherwise would not be. Su</w:t>
      </w:r>
      <w:r>
        <w:rPr>
          <w:rFonts w:ascii="Times New Roman" w:hAnsi="Times New Roman" w:cs="Times New Roman"/>
          <w:noProof/>
          <w:color w:val="auto"/>
          <w:sz w:val="24"/>
          <w:szCs w:val="24"/>
        </w:rPr>
        <w:t xml:space="preserve">bsequently, the successful innovations tested under EaSI could be up-scaled or mainstreamed by either national or EU funding. </w:t>
      </w:r>
    </w:p>
    <w:p w:rsidR="003A1527" w:rsidRDefault="003A1527">
      <w:pPr>
        <w:pStyle w:val="BodyText2"/>
        <w:spacing w:line="240" w:lineRule="auto"/>
        <w:rPr>
          <w:b/>
          <w:color w:val="auto"/>
        </w:rPr>
      </w:pPr>
    </w:p>
    <w:p w:rsidR="003A1527" w:rsidRDefault="00742A12">
      <w:pPr>
        <w:pStyle w:val="BodyText2"/>
        <w:spacing w:line="240" w:lineRule="auto"/>
        <w:rPr>
          <w:b/>
          <w:color w:val="auto"/>
        </w:rPr>
      </w:pPr>
      <w:r>
        <w:rPr>
          <w:b/>
          <w:color w:val="auto"/>
        </w:rPr>
        <w:t>Weaknesses</w:t>
      </w:r>
    </w:p>
    <w:p w:rsidR="003A1527" w:rsidRDefault="00742A12">
      <w:pPr>
        <w:pStyle w:val="BodyText2"/>
        <w:spacing w:line="240" w:lineRule="auto"/>
        <w:rPr>
          <w:color w:val="auto"/>
        </w:rPr>
      </w:pPr>
      <w:r>
        <w:rPr>
          <w:color w:val="auto"/>
        </w:rPr>
        <w:t>Despite its continuing relevance, more could be done to improve the EaSI relevance and impacts in the next programmin</w:t>
      </w:r>
      <w:r>
        <w:rPr>
          <w:color w:val="auto"/>
        </w:rPr>
        <w:t xml:space="preserve">g period. Several areas for improvement of programme's effectiveness were identified across the axes. </w:t>
      </w:r>
    </w:p>
    <w:p w:rsidR="003A1527" w:rsidRDefault="00742A12">
      <w:pPr>
        <w:pStyle w:val="BodyText2"/>
        <w:spacing w:line="240" w:lineRule="auto"/>
        <w:rPr>
          <w:color w:val="auto"/>
        </w:rPr>
      </w:pPr>
      <w:r>
        <w:rPr>
          <w:color w:val="auto"/>
        </w:rPr>
        <w:t>The PROGRESS axis should improve the efforts on the delivery of social policy experimentations by revising the procedures for evaluation and selection of</w:t>
      </w:r>
      <w:r>
        <w:rPr>
          <w:color w:val="auto"/>
        </w:rPr>
        <w:t xml:space="preserve"> projects and by creating the conditions for their scaling up. Moreover, the issue of co-financing has to be clarified, as it is not always clear for applicants to calls for proposals whether it should be in labour costs or in actual monetary value. </w:t>
      </w:r>
    </w:p>
    <w:p w:rsidR="003A1527" w:rsidRDefault="00742A12">
      <w:pPr>
        <w:pStyle w:val="BodyText2"/>
        <w:spacing w:line="240" w:lineRule="auto"/>
        <w:rPr>
          <w:color w:val="auto"/>
        </w:rPr>
      </w:pPr>
      <w:r>
        <w:rPr>
          <w:color w:val="auto"/>
        </w:rPr>
        <w:t>For E</w:t>
      </w:r>
      <w:r>
        <w:rPr>
          <w:color w:val="auto"/>
        </w:rPr>
        <w:t>URES, considering a longer implementation period (minimum two years) combined with measures for reducing the administrative burden related to the call management might enable stakeholders to properly develop, implement, measure the effectiveness and ensure</w:t>
      </w:r>
      <w:r>
        <w:rPr>
          <w:color w:val="auto"/>
        </w:rPr>
        <w:t xml:space="preserve"> the sustainability of projects. </w:t>
      </w:r>
    </w:p>
    <w:p w:rsidR="003A1527" w:rsidRDefault="00742A12">
      <w:pPr>
        <w:pStyle w:val="BodyText2"/>
        <w:spacing w:line="240" w:lineRule="auto"/>
        <w:rPr>
          <w:color w:val="auto"/>
        </w:rPr>
      </w:pPr>
      <w:r>
        <w:rPr>
          <w:color w:val="auto"/>
        </w:rPr>
        <w:t xml:space="preserve">Regarding the Microfinance/Social Entrepreneurship axis, the overwhelming demand for the EaSI guarantee instrument has put pressure on its budget. As two-third of the allocated amount for the instrument were used already </w:t>
      </w:r>
      <w:r>
        <w:rPr>
          <w:color w:val="auto"/>
        </w:rPr>
        <w:t xml:space="preserve">after one year, the EaSI third axis will run out of funds before 2020, suggesting that its initial allocated budget is too small. Introducing more flexibility in the resource allocation across the axes (instead of the current indicative percentages) would </w:t>
      </w:r>
      <w:r>
        <w:rPr>
          <w:color w:val="auto"/>
        </w:rPr>
        <w:t>allow more room for manoeuver in the transfer of budgets between axes when needed. This greater flexibility in terms of resource allocation would be beneficial in particular for the Microfinance/Social Entrepreneurship axis strong demand. Indeed, the evalu</w:t>
      </w:r>
      <w:r>
        <w:rPr>
          <w:color w:val="auto"/>
        </w:rPr>
        <w:t>ation pointed out that the consequence of instituting indicative percentages for each axis was that budgets cannot be easily moved to the axis with the higher demand (and, thus, ensuring a faster deployment of funds).  Overall, a more flexible re-allocatio</w:t>
      </w:r>
      <w:r>
        <w:rPr>
          <w:color w:val="auto"/>
        </w:rPr>
        <w:t>n between the three axes should be enabled in order to minimize discrepancies between planned and actual commitments, and ensure an optimal transfer of budgets between axes according to needs.</w:t>
      </w:r>
    </w:p>
    <w:p w:rsidR="003A1527" w:rsidRDefault="00742A12">
      <w:pPr>
        <w:pStyle w:val="CommentText"/>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aim of regrouping the three axes under one umbrella program</w:t>
      </w:r>
      <w:r>
        <w:rPr>
          <w:rFonts w:ascii="Times New Roman" w:hAnsi="Times New Roman" w:cs="Times New Roman"/>
          <w:noProof/>
          <w:sz w:val="24"/>
          <w:szCs w:val="24"/>
        </w:rPr>
        <w:t>me was to achieve greater policy coherence, and more effective delivery and management. The different data collected - in particular through the stakeholders' consultation, beneficiaries survey and interviews - suggest that, despite the efforts to reinforc</w:t>
      </w:r>
      <w:r>
        <w:rPr>
          <w:rFonts w:ascii="Times New Roman" w:hAnsi="Times New Roman" w:cs="Times New Roman"/>
          <w:noProof/>
          <w:sz w:val="24"/>
          <w:szCs w:val="24"/>
        </w:rPr>
        <w:t>e synergies between the three axes - they operate rather independently. A stronger focus on the potential benefits that could emerge from a coherent programme's structure promoting interdisciplinary solutions to multiple challenges should be put. The mid-t</w:t>
      </w:r>
      <w:r>
        <w:rPr>
          <w:rFonts w:ascii="Times New Roman" w:hAnsi="Times New Roman" w:cs="Times New Roman"/>
          <w:noProof/>
          <w:sz w:val="24"/>
          <w:szCs w:val="24"/>
        </w:rPr>
        <w:t xml:space="preserve">erm evaluation shows that the ambitions and wide thematic scope of the EaSI programme exceed what the budget allows for. </w:t>
      </w:r>
      <w:r>
        <w:rPr>
          <w:rFonts w:ascii="Times New Roman" w:hAnsi="Times New Roman" w:cs="Times New Roman"/>
          <w:noProof/>
          <w:sz w:val="24"/>
          <w:szCs w:val="24"/>
          <w:lang w:eastAsia="en-GB"/>
        </w:rPr>
        <w:t>The current funding structure of EaSI - with a relatively rigid allocation between and within axes - lacks flexibility to adjust swiftl</w:t>
      </w:r>
      <w:r>
        <w:rPr>
          <w:rFonts w:ascii="Times New Roman" w:hAnsi="Times New Roman" w:cs="Times New Roman"/>
          <w:noProof/>
          <w:sz w:val="24"/>
          <w:szCs w:val="24"/>
          <w:lang w:eastAsia="en-GB"/>
        </w:rPr>
        <w:t xml:space="preserve">y and efficiently to emerging priorities. </w:t>
      </w:r>
      <w:r>
        <w:rPr>
          <w:rFonts w:ascii="Times New Roman" w:hAnsi="Times New Roman" w:cs="Times New Roman"/>
          <w:noProof/>
          <w:sz w:val="24"/>
          <w:szCs w:val="24"/>
        </w:rPr>
        <w:t>Although this recommendation was already being considered in the context of the ’Omnibus’ Regulation in 2017, more flexibility - even a total flexibility between axes - would permit more room for manoeuver in the t</w:t>
      </w:r>
      <w:r>
        <w:rPr>
          <w:rFonts w:ascii="Times New Roman" w:hAnsi="Times New Roman" w:cs="Times New Roman"/>
          <w:noProof/>
          <w:sz w:val="24"/>
          <w:szCs w:val="24"/>
        </w:rPr>
        <w:t>ransfer of budgets between axes when needed. The axes as such and indicative minimum shares per axis/thematic section within each axis will not be applied within ESF+. This will allow an optimal transfer of budgets between the priorities according to the n</w:t>
      </w:r>
      <w:r>
        <w:rPr>
          <w:rFonts w:ascii="Times New Roman" w:hAnsi="Times New Roman" w:cs="Times New Roman"/>
          <w:noProof/>
          <w:sz w:val="24"/>
          <w:szCs w:val="24"/>
        </w:rPr>
        <w:t>eeds, as well as reinforce synergies between activities.</w:t>
      </w:r>
    </w:p>
    <w:p w:rsidR="003A1527" w:rsidRDefault="00742A12">
      <w:pPr>
        <w:pStyle w:val="BodyText2"/>
        <w:spacing w:line="240" w:lineRule="auto"/>
        <w:rPr>
          <w:color w:val="auto"/>
        </w:rPr>
      </w:pPr>
      <w:r>
        <w:rPr>
          <w:color w:val="auto"/>
        </w:rPr>
        <w:t>Despite the complementarities between EaSI and other EU-level instruments (see section on "Strengths" above), further coherence is hampered by the different interventions logics and rules governing t</w:t>
      </w:r>
      <w:r>
        <w:rPr>
          <w:color w:val="auto"/>
        </w:rPr>
        <w:t>hese funds. Specific mechanisms should be put in place in order to facilitate the synergies between different EU funds, for instance a mechanism permitting the scaling up or multiplication of the social experimentations tested under EaSI within ESF funding</w:t>
      </w:r>
      <w:r>
        <w:rPr>
          <w:color w:val="auto"/>
        </w:rPr>
        <w:t>. Thus, recognising that the co-existence of different rule-books (Financial Regulation for financial instruments on one hand, and the Common Provisions Regulations for shared management funds on the other hand) makes it challenging to tap into complementa</w:t>
      </w:r>
      <w:r>
        <w:rPr>
          <w:color w:val="auto"/>
        </w:rPr>
        <w:t xml:space="preserve">rities between different funds. A streamlining of rules could help to maximise the potential of such complementarities and synergies. </w:t>
      </w:r>
    </w:p>
    <w:p w:rsidR="003A1527" w:rsidRDefault="00742A12">
      <w:pPr>
        <w:pStyle w:val="BodyText2"/>
        <w:spacing w:line="240" w:lineRule="auto"/>
        <w:rPr>
          <w:color w:val="auto"/>
        </w:rPr>
      </w:pPr>
      <w:r>
        <w:rPr>
          <w:color w:val="auto"/>
        </w:rPr>
        <w:t xml:space="preserve">Continuous efforts are necessary mainly in terms of communication on EaSI activities and dissemination of its results. Indeed, stakeholders are eager to receive further information and feel that through a better dissemination they could gain great benefit </w:t>
      </w:r>
      <w:r>
        <w:rPr>
          <w:color w:val="auto"/>
        </w:rPr>
        <w:t xml:space="preserve">through, in particular, country specific examples and good practices, updated websites and databases, expanding the languages for communication and making the contents more accessible to a broad audience. </w:t>
      </w:r>
    </w:p>
    <w:p w:rsidR="003A1527" w:rsidRDefault="003A1527">
      <w:pPr>
        <w:spacing w:line="240" w:lineRule="auto"/>
        <w:jc w:val="both"/>
        <w:rPr>
          <w:rFonts w:ascii="Times New Roman" w:hAnsi="Times New Roman" w:cs="Times New Roman"/>
          <w:noProof/>
          <w:sz w:val="24"/>
          <w:szCs w:val="24"/>
        </w:rPr>
      </w:pPr>
    </w:p>
    <w:p w:rsidR="003A1527" w:rsidRDefault="00742A12">
      <w:pPr>
        <w:rPr>
          <w:rFonts w:ascii="Times New Roman" w:eastAsia="Times New Roman" w:hAnsi="Times New Roman" w:cs="Times New Roman"/>
          <w:b/>
          <w:noProof/>
          <w:sz w:val="32"/>
        </w:rPr>
      </w:pPr>
      <w:bookmarkStart w:id="105" w:name="_Toc509831780"/>
      <w:bookmarkStart w:id="106" w:name="_Toc509833372"/>
      <w:bookmarkStart w:id="107" w:name="_Toc509843342"/>
      <w:bookmarkStart w:id="108" w:name="_Toc509848059"/>
      <w:r>
        <w:rPr>
          <w:noProof/>
        </w:rPr>
        <w:br w:type="page"/>
      </w:r>
    </w:p>
    <w:p w:rsidR="003A1527" w:rsidRDefault="00742A12">
      <w:pPr>
        <w:pStyle w:val="AnnexTitle"/>
        <w:rPr>
          <w:noProof/>
        </w:rPr>
      </w:pPr>
      <w:bookmarkStart w:id="109" w:name="_Toc514401946"/>
      <w:r>
        <w:rPr>
          <w:noProof/>
        </w:rPr>
        <w:t>Annex 4: Synergies and coherence between the ES</w:t>
      </w:r>
      <w:r>
        <w:rPr>
          <w:noProof/>
        </w:rPr>
        <w:t>F+ and other Funds investing in human capital development</w:t>
      </w:r>
      <w:bookmarkEnd w:id="105"/>
      <w:bookmarkEnd w:id="106"/>
      <w:bookmarkEnd w:id="107"/>
      <w:bookmarkEnd w:id="108"/>
      <w:bookmarkEnd w:id="109"/>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ESF+ and ERDF: </w:t>
      </w:r>
      <w:r>
        <w:rPr>
          <w:rFonts w:ascii="Times New Roman" w:hAnsi="Times New Roman" w:cs="Times New Roman"/>
          <w:noProof/>
          <w:sz w:val="24"/>
          <w:szCs w:val="24"/>
        </w:rPr>
        <w:t>as the ESF+ and ERDF share the objective of economic and social cohesion, coordination between them on the basis of common rules for shared management funds in certain areas such as p</w:t>
      </w:r>
      <w:r>
        <w:rPr>
          <w:rFonts w:ascii="Times New Roman" w:hAnsi="Times New Roman" w:cs="Times New Roman"/>
          <w:noProof/>
          <w:sz w:val="24"/>
          <w:szCs w:val="24"/>
        </w:rPr>
        <w:t>rogramming and financial management (in the future Common Provisions Regulation) will remain key in the pos-2020 programming period. There is significant scope for taking further the simplification mechanisms in the new 'Omnibus' Regulation</w:t>
      </w:r>
      <w:r>
        <w:rPr>
          <w:rStyle w:val="FootnoteReference"/>
          <w:rFonts w:ascii="Times New Roman" w:hAnsi="Times New Roman" w:cs="Times New Roman"/>
          <w:noProof/>
          <w:sz w:val="24"/>
          <w:szCs w:val="24"/>
        </w:rPr>
        <w:footnoteReference w:id="165"/>
      </w:r>
      <w:r>
        <w:rPr>
          <w:rFonts w:ascii="Times New Roman" w:hAnsi="Times New Roman" w:cs="Times New Roman"/>
          <w:noProof/>
          <w:sz w:val="24"/>
          <w:szCs w:val="24"/>
        </w:rPr>
        <w:t xml:space="preserve">  and building </w:t>
      </w:r>
      <w:r>
        <w:rPr>
          <w:rFonts w:ascii="Times New Roman" w:hAnsi="Times New Roman" w:cs="Times New Roman"/>
          <w:noProof/>
          <w:sz w:val="24"/>
          <w:szCs w:val="24"/>
        </w:rPr>
        <w:t>on lessons learned as regards incentivising the results-orientation of ESI Funds in general. ESF+ programmes should be in principle mono-fund programmes (to address the shortcomings of multi-fund programming that have been identified</w:t>
      </w:r>
      <w:r>
        <w:rPr>
          <w:rStyle w:val="FootnoteReference"/>
          <w:rFonts w:ascii="Times New Roman" w:hAnsi="Times New Roman" w:cs="Times New Roman"/>
          <w:noProof/>
          <w:sz w:val="24"/>
          <w:szCs w:val="24"/>
        </w:rPr>
        <w:footnoteReference w:id="166"/>
      </w:r>
      <w:r>
        <w:rPr>
          <w:rFonts w:ascii="Times New Roman" w:hAnsi="Times New Roman" w:cs="Times New Roman"/>
          <w:noProof/>
          <w:sz w:val="24"/>
          <w:szCs w:val="24"/>
        </w:rPr>
        <w:t>) and Member States wi</w:t>
      </w:r>
      <w:r>
        <w:rPr>
          <w:rFonts w:ascii="Times New Roman" w:hAnsi="Times New Roman" w:cs="Times New Roman"/>
          <w:noProof/>
          <w:sz w:val="24"/>
          <w:szCs w:val="24"/>
        </w:rPr>
        <w:t xml:space="preserve">ll be able to use multi-fund programmes only where justified. Common rules should continue to allow investments combining complementary aspects such as investment in people (ESF+) and in social infrastructure (ERDF).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ESF+ and Erasmus: </w:t>
      </w:r>
      <w:r>
        <w:rPr>
          <w:rFonts w:ascii="Times New Roman" w:hAnsi="Times New Roman" w:cs="Times New Roman"/>
          <w:noProof/>
          <w:sz w:val="24"/>
          <w:szCs w:val="24"/>
        </w:rPr>
        <w:t xml:space="preserve">the aims of today's </w:t>
      </w:r>
      <w:r>
        <w:rPr>
          <w:rFonts w:ascii="Times New Roman" w:hAnsi="Times New Roman" w:cs="Times New Roman"/>
          <w:noProof/>
          <w:sz w:val="24"/>
          <w:szCs w:val="24"/>
        </w:rPr>
        <w:t>ESF have much more in common with the objectives of other funds investing in people, such as Erasmus+, than those of the ERDF and the Cohesion Fun. While it is possible now to use ESF and Erasmus+ in a complementary manner, some aspects (such as their mana</w:t>
      </w:r>
      <w:r>
        <w:rPr>
          <w:rFonts w:ascii="Times New Roman" w:hAnsi="Times New Roman" w:cs="Times New Roman"/>
          <w:noProof/>
          <w:sz w:val="24"/>
          <w:szCs w:val="24"/>
        </w:rPr>
        <w:t>gement modes) are not conducive to coordinated responses unless specific mechanisms are put in place. Various operational arrangements will be put forward. The ESF+ and Erasmus regulations will include suitable provisions, to be worked out in detail in wor</w:t>
      </w:r>
      <w:r>
        <w:rPr>
          <w:rFonts w:ascii="Times New Roman" w:hAnsi="Times New Roman" w:cs="Times New Roman"/>
          <w:noProof/>
          <w:sz w:val="24"/>
          <w:szCs w:val="24"/>
        </w:rPr>
        <w:t>k programmes and programme guides. The following measures could be envisaged: the participation of Erasmus national agencies in the design of relevant ESF+ actions. This could result in the upscaling of successful Erasmus cooperation projects, just as soci</w:t>
      </w:r>
      <w:r>
        <w:rPr>
          <w:rFonts w:ascii="Times New Roman" w:hAnsi="Times New Roman" w:cs="Times New Roman"/>
          <w:noProof/>
          <w:sz w:val="24"/>
          <w:szCs w:val="24"/>
        </w:rPr>
        <w:t>al experimentation under EaSI (and other human capital funds) could be mainstreamed into shared management activities. The establishment of SCOs (at EU or national level) would make it easier for Member States to top up Erasmus measures, e.g. to make Erasm</w:t>
      </w:r>
      <w:r>
        <w:rPr>
          <w:rFonts w:ascii="Times New Roman" w:hAnsi="Times New Roman" w:cs="Times New Roman"/>
          <w:noProof/>
          <w:sz w:val="24"/>
          <w:szCs w:val="24"/>
        </w:rPr>
        <w:t>us mobility more inclusive and accessible to learners from low-income families, Member States could programme a top-up of Erasmus mobility by an additional amount/rate applicable to a specific country. In addition, Erasmus national agencies could where rel</w:t>
      </w:r>
      <w:r>
        <w:rPr>
          <w:rFonts w:ascii="Times New Roman" w:hAnsi="Times New Roman" w:cs="Times New Roman"/>
          <w:noProof/>
          <w:sz w:val="24"/>
          <w:szCs w:val="24"/>
        </w:rPr>
        <w:t>evant play a role as grant beneficiaries in the implementation of transnational cooperation under the ESF+. To boost investment in European University Networks, ESF+ could be used to provide additional support to universities which are partners of such net</w:t>
      </w:r>
      <w:r>
        <w:rPr>
          <w:rFonts w:ascii="Times New Roman" w:hAnsi="Times New Roman" w:cs="Times New Roman"/>
          <w:noProof/>
          <w:sz w:val="24"/>
          <w:szCs w:val="24"/>
        </w:rPr>
        <w:t xml:space="preserve">works or to VET centres for excellence financed under Erasmus.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ESF+ and AMIF: </w:t>
      </w:r>
      <w:r>
        <w:rPr>
          <w:rFonts w:ascii="Times New Roman" w:hAnsi="Times New Roman" w:cs="Times New Roman"/>
          <w:noProof/>
          <w:sz w:val="24"/>
          <w:szCs w:val="24"/>
        </w:rPr>
        <w:t>the longer-term integration of migrants will continue to be supported under the ESF+, while the AMIF will cover short-term needs. A common set of rules applying to all shared ma</w:t>
      </w:r>
      <w:r>
        <w:rPr>
          <w:rFonts w:ascii="Times New Roman" w:hAnsi="Times New Roman" w:cs="Times New Roman"/>
          <w:noProof/>
          <w:sz w:val="24"/>
          <w:szCs w:val="24"/>
        </w:rPr>
        <w:t xml:space="preserve">nagement funds will help to increase synergies between the AMIF and ESF+, especially as regards programming, implementation, monitoring and control. SCOs will be developed under the ESF+ to finance measures targeting migrants. Eligibility rules should not </w:t>
      </w:r>
      <w:r>
        <w:rPr>
          <w:rFonts w:ascii="Times New Roman" w:hAnsi="Times New Roman" w:cs="Times New Roman"/>
          <w:noProof/>
          <w:sz w:val="24"/>
          <w:szCs w:val="24"/>
        </w:rPr>
        <w:t>change substantially, so individuals would be eligible for ESF+ measures under the same terms as any other participants, provided this is legally allowed by the Member States.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ESF+ and InvestEU Fund: </w:t>
      </w:r>
      <w:r>
        <w:rPr>
          <w:rFonts w:ascii="Times New Roman" w:hAnsi="Times New Roman" w:cs="Times New Roman"/>
          <w:noProof/>
          <w:sz w:val="24"/>
          <w:szCs w:val="24"/>
        </w:rPr>
        <w:t>part of the EaSI programme (the FI under the EaSI micr</w:t>
      </w:r>
      <w:r>
        <w:rPr>
          <w:rFonts w:ascii="Times New Roman" w:hAnsi="Times New Roman" w:cs="Times New Roman"/>
          <w:noProof/>
          <w:sz w:val="24"/>
          <w:szCs w:val="24"/>
        </w:rPr>
        <w:t>ofinance and social entrepreneurship axis) will be grouped with other FIs under the InvestEU Fund</w:t>
      </w:r>
      <w:r>
        <w:rPr>
          <w:rStyle w:val="FootnoteReference"/>
          <w:rFonts w:ascii="Times New Roman" w:hAnsi="Times New Roman" w:cs="Times New Roman"/>
          <w:noProof/>
          <w:sz w:val="24"/>
          <w:szCs w:val="24"/>
        </w:rPr>
        <w:footnoteReference w:id="167"/>
      </w:r>
      <w:r>
        <w:rPr>
          <w:rFonts w:ascii="Times New Roman" w:hAnsi="Times New Roman" w:cs="Times New Roman"/>
          <w:noProof/>
          <w:sz w:val="24"/>
          <w:szCs w:val="24"/>
        </w:rPr>
        <w:t xml:space="preserve"> while the current activities relating to the EURES portal will be transferred to the European Labour Agency (the future DG EMPL agency). ESF+ will continue t</w:t>
      </w:r>
      <w:r>
        <w:rPr>
          <w:rFonts w:ascii="Times New Roman" w:hAnsi="Times New Roman" w:cs="Times New Roman"/>
          <w:noProof/>
          <w:sz w:val="24"/>
          <w:szCs w:val="24"/>
        </w:rPr>
        <w:t>o support the development of social enterprise finance and microfinance markets with complementary activities, such as: capacity-building for microfinance and social enterprise finance providers including through technical assistance, upholding high ethica</w:t>
      </w:r>
      <w:r>
        <w:rPr>
          <w:rFonts w:ascii="Times New Roman" w:hAnsi="Times New Roman" w:cs="Times New Roman"/>
          <w:noProof/>
          <w:sz w:val="24"/>
          <w:szCs w:val="24"/>
        </w:rPr>
        <w:t>l lending standards such as the European Code of Good Conduct for microcredit provision, and providing grant support to build up the nascent market ecosystem, including through blending. This involves combing grants from both shared and (in)direct ESF+ str</w:t>
      </w:r>
      <w:r>
        <w:rPr>
          <w:rFonts w:ascii="Times New Roman" w:hAnsi="Times New Roman" w:cs="Times New Roman"/>
          <w:noProof/>
          <w:sz w:val="24"/>
          <w:szCs w:val="24"/>
        </w:rPr>
        <w:t>ands with financial instruments from the InvestEU Fund, in order to reduce transaction costs and support non-financial or business development services for entrepreneurs, including vulnerable groups. The EU-level market development efforts and FIs should a</w:t>
      </w:r>
      <w:r>
        <w:rPr>
          <w:rFonts w:ascii="Times New Roman" w:hAnsi="Times New Roman" w:cs="Times New Roman"/>
          <w:noProof/>
          <w:sz w:val="24"/>
          <w:szCs w:val="24"/>
        </w:rPr>
        <w:t xml:space="preserve">lso be reinforced by the FIs implemented under shared management.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ESF+ and Horizon Europe</w:t>
      </w:r>
      <w:r>
        <w:rPr>
          <w:rFonts w:ascii="Times New Roman" w:hAnsi="Times New Roman" w:cs="Times New Roman"/>
          <w:noProof/>
          <w:sz w:val="24"/>
          <w:szCs w:val="24"/>
        </w:rPr>
        <w:t>: As the main EU instrument for investing in human capital and skills, the ESF+ will continue to make an important contribution to human capital development in resear</w:t>
      </w:r>
      <w:r>
        <w:rPr>
          <w:rFonts w:ascii="Times New Roman" w:hAnsi="Times New Roman" w:cs="Times New Roman"/>
          <w:noProof/>
          <w:sz w:val="24"/>
          <w:szCs w:val="24"/>
        </w:rPr>
        <w:t>ch and innovation (R&amp;I). On the one hand, the future ESF+ can upscale the implementation and adaption to local needs of innovative curricula for education and training programmes and new innovative delivery modes (such as e-learning and blended learning) w</w:t>
      </w:r>
      <w:r>
        <w:rPr>
          <w:rFonts w:ascii="Times New Roman" w:hAnsi="Times New Roman" w:cs="Times New Roman"/>
          <w:noProof/>
          <w:sz w:val="24"/>
          <w:szCs w:val="24"/>
        </w:rPr>
        <w:t>ith high labour-market relevance. On the other hand, as the ESF+ can support the capacity-building and career development of teachers and researchers, it could finance holders of FP seal of excellence awards</w:t>
      </w:r>
      <w:r>
        <w:rPr>
          <w:rStyle w:val="FootnoteReference"/>
          <w:rFonts w:ascii="Times New Roman" w:hAnsi="Times New Roman" w:cs="Times New Roman"/>
          <w:noProof/>
          <w:sz w:val="24"/>
          <w:szCs w:val="24"/>
        </w:rPr>
        <w:footnoteReference w:id="168"/>
      </w:r>
      <w:r>
        <w:rPr>
          <w:rFonts w:ascii="Times New Roman" w:hAnsi="Times New Roman" w:cs="Times New Roman"/>
          <w:noProof/>
          <w:sz w:val="24"/>
          <w:szCs w:val="24"/>
        </w:rPr>
        <w:t xml:space="preserve"> whom the FP has not been able to support (due t</w:t>
      </w:r>
      <w:r>
        <w:rPr>
          <w:rFonts w:ascii="Times New Roman" w:hAnsi="Times New Roman" w:cs="Times New Roman"/>
          <w:noProof/>
          <w:sz w:val="24"/>
          <w:szCs w:val="24"/>
        </w:rPr>
        <w:t>o a lack of sufficient funding). While it is already possible in the current programming period to use ESF and Horizon Europe-MSCA</w:t>
      </w:r>
      <w:r>
        <w:rPr>
          <w:rStyle w:val="FootnoteReference"/>
          <w:rFonts w:ascii="Times New Roman" w:hAnsi="Times New Roman" w:cs="Times New Roman"/>
          <w:noProof/>
          <w:sz w:val="24"/>
          <w:szCs w:val="24"/>
        </w:rPr>
        <w:footnoteReference w:id="169"/>
      </w:r>
      <w:r>
        <w:rPr>
          <w:rFonts w:ascii="Times New Roman" w:hAnsi="Times New Roman" w:cs="Times New Roman"/>
          <w:noProof/>
          <w:sz w:val="24"/>
          <w:szCs w:val="24"/>
        </w:rPr>
        <w:t xml:space="preserve"> in a complementary manner, the ESF+ and Horizon Europe-MSC regulations could further facilitate synergies and complementarit</w:t>
      </w:r>
      <w:r>
        <w:rPr>
          <w:rFonts w:ascii="Times New Roman" w:hAnsi="Times New Roman" w:cs="Times New Roman"/>
          <w:noProof/>
          <w:sz w:val="24"/>
          <w:szCs w:val="24"/>
        </w:rPr>
        <w:t>ies on the ground through adequate operational modalities.</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ESF+ and the Digital Europe Programme</w:t>
      </w:r>
      <w:r>
        <w:rPr>
          <w:rFonts w:ascii="Times New Roman" w:hAnsi="Times New Roman" w:cs="Times New Roman"/>
          <w:noProof/>
          <w:sz w:val="24"/>
          <w:szCs w:val="24"/>
        </w:rPr>
        <w:t xml:space="preserve">: The advanced skills part of the Digital Europe Programme complements the ESF+'s wide approach to digital skills, which starts from basic skills but can cover </w:t>
      </w:r>
      <w:r>
        <w:rPr>
          <w:rFonts w:ascii="Times New Roman" w:hAnsi="Times New Roman" w:cs="Times New Roman"/>
          <w:noProof/>
          <w:sz w:val="24"/>
          <w:szCs w:val="24"/>
        </w:rPr>
        <w:t>other skills levels as well. The Digital Europe Programme will have a strong focus on advanced digital skills needed for the deployment of cutting-edge technologies such as artificial intelligence or high-performance computing.</w:t>
      </w:r>
    </w:p>
    <w:p w:rsidR="003A1527" w:rsidRDefault="00742A12">
      <w:pPr>
        <w:spacing w:line="240" w:lineRule="auto"/>
        <w:jc w:val="both"/>
        <w:rPr>
          <w:rFonts w:ascii="Times New Roman" w:hAnsi="Times New Roman" w:cs="Times New Roman"/>
          <w:i/>
          <w:iCs/>
          <w:noProof/>
          <w:sz w:val="24"/>
          <w:szCs w:val="24"/>
        </w:rPr>
      </w:pPr>
      <w:r>
        <w:rPr>
          <w:rFonts w:ascii="Times New Roman" w:hAnsi="Times New Roman" w:cs="Times New Roman"/>
          <w:i/>
          <w:noProof/>
          <w:sz w:val="24"/>
          <w:szCs w:val="24"/>
        </w:rPr>
        <w:t>ESF+ and the future Reform S</w:t>
      </w:r>
      <w:r>
        <w:rPr>
          <w:rFonts w:ascii="Times New Roman" w:hAnsi="Times New Roman" w:cs="Times New Roman"/>
          <w:i/>
          <w:noProof/>
          <w:sz w:val="24"/>
          <w:szCs w:val="24"/>
        </w:rPr>
        <w:t xml:space="preserve">upport Programme (including financial support instrument for reforms): </w:t>
      </w:r>
      <w:r>
        <w:rPr>
          <w:rFonts w:ascii="Times New Roman" w:hAnsi="Times New Roman" w:cs="Times New Roman"/>
          <w:noProof/>
          <w:sz w:val="24"/>
          <w:szCs w:val="24"/>
        </w:rPr>
        <w:t>The RSP will be implemented through direct management upon a voluntary reform commitment by Member States. The Commission will disburse funding based on completion of reform. This instrument will be complementary to the existing instruments which link ESIF</w:t>
      </w:r>
      <w:r>
        <w:rPr>
          <w:rFonts w:ascii="Times New Roman" w:hAnsi="Times New Roman" w:cs="Times New Roman"/>
          <w:noProof/>
          <w:sz w:val="24"/>
          <w:szCs w:val="24"/>
        </w:rPr>
        <w:t xml:space="preserve"> with the European Semester and country-specific recommendations. </w:t>
      </w:r>
    </w:p>
    <w:p w:rsidR="003A1527" w:rsidRDefault="00742A12">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 </w:t>
      </w:r>
    </w:p>
    <w:p w:rsidR="003A1527" w:rsidRDefault="00742A12">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Other funds under shared management: </w:t>
      </w:r>
    </w:p>
    <w:p w:rsidR="003A1527" w:rsidRDefault="00742A12">
      <w:pPr>
        <w:spacing w:line="240" w:lineRule="auto"/>
        <w:jc w:val="both"/>
        <w:rPr>
          <w:rFonts w:ascii="Times New Roman" w:hAnsi="Times New Roman"/>
          <w:noProof/>
          <w:sz w:val="24"/>
          <w:szCs w:val="24"/>
        </w:rPr>
      </w:pPr>
      <w:r>
        <w:rPr>
          <w:rFonts w:ascii="Times New Roman" w:hAnsi="Times New Roman" w:cs="Times New Roman"/>
          <w:noProof/>
          <w:sz w:val="24"/>
          <w:szCs w:val="24"/>
        </w:rPr>
        <w:t xml:space="preserve">As common rules for the funds under shared management will be applicable not only to the ESF+ and ERDF but also other funds (such as AMIF and EMFF), </w:t>
      </w:r>
      <w:r>
        <w:rPr>
          <w:rFonts w:ascii="Times New Roman" w:hAnsi="Times New Roman" w:cs="Times New Roman"/>
          <w:noProof/>
          <w:sz w:val="24"/>
          <w:szCs w:val="24"/>
        </w:rPr>
        <w:t>the legislative framework will be streamlined.  As regards the EAFRD, t</w:t>
      </w:r>
      <w:r>
        <w:rPr>
          <w:rFonts w:ascii="Times New Roman" w:hAnsi="Times New Roman"/>
          <w:noProof/>
          <w:sz w:val="24"/>
          <w:szCs w:val="24"/>
        </w:rPr>
        <w:t>o ensure the achievement of the objectives defined under article 174 of the Treaty</w:t>
      </w:r>
      <w:r>
        <w:rPr>
          <w:rStyle w:val="FootnoteReference"/>
          <w:rFonts w:ascii="Times New Roman" w:hAnsi="Times New Roman"/>
          <w:noProof/>
          <w:sz w:val="24"/>
          <w:szCs w:val="24"/>
        </w:rPr>
        <w:footnoteReference w:id="170"/>
      </w:r>
      <w:r>
        <w:rPr>
          <w:rFonts w:ascii="Times New Roman" w:hAnsi="Times New Roman"/>
          <w:noProof/>
          <w:sz w:val="24"/>
          <w:szCs w:val="24"/>
        </w:rPr>
        <w:t xml:space="preserve"> it will continue to support social inclusion, poverty reduction and economic development in rural are</w:t>
      </w:r>
      <w:r>
        <w:rPr>
          <w:rFonts w:ascii="Times New Roman" w:hAnsi="Times New Roman"/>
          <w:noProof/>
          <w:sz w:val="24"/>
          <w:szCs w:val="24"/>
        </w:rPr>
        <w:t>as, in complementarity with the ESF+.</w:t>
      </w:r>
    </w:p>
    <w:p w:rsidR="003A1527" w:rsidRDefault="00742A12">
      <w:pPr>
        <w:rPr>
          <w:rFonts w:ascii="Times New Roman" w:hAnsi="Times New Roman" w:cs="Times New Roman"/>
          <w:noProof/>
          <w:sz w:val="24"/>
          <w:szCs w:val="24"/>
        </w:rPr>
      </w:pPr>
      <w:r>
        <w:rPr>
          <w:rFonts w:ascii="Times New Roman" w:hAnsi="Times New Roman" w:cs="Times New Roman"/>
          <w:noProof/>
          <w:sz w:val="24"/>
          <w:szCs w:val="24"/>
        </w:rPr>
        <w:br w:type="page"/>
      </w:r>
    </w:p>
    <w:p w:rsidR="003A1527" w:rsidRDefault="00742A12">
      <w:pPr>
        <w:pStyle w:val="AnnexTitle"/>
        <w:rPr>
          <w:noProof/>
        </w:rPr>
      </w:pPr>
      <w:bookmarkStart w:id="110" w:name="_Toc514401947"/>
      <w:r>
        <w:rPr>
          <w:noProof/>
        </w:rPr>
        <w:t>Annex 5 Programme specific annex on the Health programme</w:t>
      </w:r>
      <w:bookmarkEnd w:id="110"/>
    </w:p>
    <w:p w:rsidR="003A1527" w:rsidRDefault="003A1527">
      <w:pPr>
        <w:spacing w:before="120" w:line="240" w:lineRule="auto"/>
        <w:jc w:val="center"/>
        <w:rPr>
          <w:rFonts w:ascii="Times New Roman" w:eastAsia="Times New Roman" w:hAnsi="Times New Roman" w:cs="Times New Roman"/>
          <w:b/>
          <w:noProof/>
          <w:sz w:val="32"/>
        </w:rPr>
      </w:pPr>
    </w:p>
    <w:p w:rsidR="003A1527" w:rsidRDefault="00742A12">
      <w:pPr>
        <w:tabs>
          <w:tab w:val="left" w:pos="1134"/>
        </w:tabs>
        <w:rPr>
          <w:noProof/>
        </w:rPr>
      </w:pPr>
      <w:bookmarkStart w:id="111" w:name="_Toc382372577"/>
      <w:r>
        <w:rPr>
          <w:rFonts w:ascii="Times New Roman" w:hAnsi="Times New Roman" w:cs="Times New Roman"/>
          <w:b/>
          <w:noProof/>
          <w:sz w:val="28"/>
          <w:szCs w:val="28"/>
        </w:rPr>
        <w:t xml:space="preserve">Glossary </w:t>
      </w:r>
    </w:p>
    <w:tbl>
      <w:tblPr>
        <w:tblStyle w:val="TableGrid"/>
        <w:tblW w:w="8897" w:type="dxa"/>
        <w:tblLook w:val="04A0" w:firstRow="1" w:lastRow="0" w:firstColumn="1" w:lastColumn="0" w:noHBand="0" w:noVBand="1"/>
      </w:tblPr>
      <w:tblGrid>
        <w:gridCol w:w="2560"/>
        <w:gridCol w:w="6337"/>
      </w:tblGrid>
      <w:tr w:rsidR="003A1527">
        <w:tc>
          <w:tcPr>
            <w:tcW w:w="2560" w:type="dxa"/>
            <w:tcBorders>
              <w:bottom w:val="double" w:sz="4" w:space="0" w:color="auto"/>
            </w:tcBorders>
            <w:shd w:val="clear" w:color="auto" w:fill="DFDCDD" w:themeFill="background1" w:themeFillShade="F2"/>
          </w:tcPr>
          <w:p w:rsidR="003A1527" w:rsidRDefault="00742A12">
            <w:pPr>
              <w:spacing w:before="120"/>
              <w:jc w:val="center"/>
              <w:rPr>
                <w:b/>
                <w:i/>
                <w:noProof/>
              </w:rPr>
            </w:pPr>
            <w:r>
              <w:rPr>
                <w:b/>
                <w:i/>
                <w:noProof/>
              </w:rPr>
              <w:t>Term or acronym</w:t>
            </w:r>
          </w:p>
        </w:tc>
        <w:tc>
          <w:tcPr>
            <w:tcW w:w="6337" w:type="dxa"/>
            <w:tcBorders>
              <w:bottom w:val="double" w:sz="4" w:space="0" w:color="auto"/>
            </w:tcBorders>
            <w:shd w:val="clear" w:color="auto" w:fill="DFDCDD" w:themeFill="background1" w:themeFillShade="F2"/>
          </w:tcPr>
          <w:p w:rsidR="003A1527" w:rsidRDefault="00742A12">
            <w:pPr>
              <w:spacing w:before="120"/>
              <w:jc w:val="center"/>
              <w:rPr>
                <w:b/>
                <w:i/>
                <w:noProof/>
              </w:rPr>
            </w:pPr>
            <w:r>
              <w:rPr>
                <w:b/>
                <w:i/>
                <w:noProof/>
              </w:rPr>
              <w:t>Meaning or definition</w:t>
            </w:r>
          </w:p>
        </w:tc>
      </w:tr>
      <w:tr w:rsidR="003A1527">
        <w:tc>
          <w:tcPr>
            <w:tcW w:w="2560" w:type="dxa"/>
            <w:tcMar>
              <w:top w:w="85" w:type="dxa"/>
              <w:left w:w="57" w:type="dxa"/>
              <w:bottom w:w="85" w:type="dxa"/>
              <w:right w:w="57" w:type="dxa"/>
            </w:tcMar>
          </w:tcPr>
          <w:p w:rsidR="003A1527" w:rsidRDefault="00742A12">
            <w:pPr>
              <w:rPr>
                <w:noProof/>
              </w:rPr>
            </w:pPr>
            <w:r>
              <w:rPr>
                <w:noProof/>
              </w:rPr>
              <w:t>AMR</w:t>
            </w:r>
          </w:p>
        </w:tc>
        <w:tc>
          <w:tcPr>
            <w:tcW w:w="6337" w:type="dxa"/>
            <w:tcMar>
              <w:top w:w="85" w:type="dxa"/>
              <w:left w:w="57" w:type="dxa"/>
              <w:bottom w:w="85" w:type="dxa"/>
              <w:right w:w="57" w:type="dxa"/>
            </w:tcMar>
          </w:tcPr>
          <w:p w:rsidR="003A1527" w:rsidRDefault="00742A12">
            <w:pPr>
              <w:rPr>
                <w:noProof/>
              </w:rPr>
            </w:pPr>
            <w:r>
              <w:rPr>
                <w:noProof/>
              </w:rPr>
              <w:t>Antimicrobial Resistance</w:t>
            </w:r>
          </w:p>
        </w:tc>
      </w:tr>
      <w:tr w:rsidR="003A1527">
        <w:tc>
          <w:tcPr>
            <w:tcW w:w="2560" w:type="dxa"/>
            <w:tcMar>
              <w:top w:w="85" w:type="dxa"/>
              <w:left w:w="57" w:type="dxa"/>
              <w:bottom w:w="85" w:type="dxa"/>
              <w:right w:w="57" w:type="dxa"/>
            </w:tcMar>
          </w:tcPr>
          <w:p w:rsidR="003A1527" w:rsidRDefault="00742A12">
            <w:pPr>
              <w:rPr>
                <w:noProof/>
              </w:rPr>
            </w:pPr>
            <w:r>
              <w:rPr>
                <w:noProof/>
              </w:rPr>
              <w:t>AWP</w:t>
            </w:r>
          </w:p>
        </w:tc>
        <w:tc>
          <w:tcPr>
            <w:tcW w:w="6337" w:type="dxa"/>
            <w:tcMar>
              <w:top w:w="85" w:type="dxa"/>
              <w:left w:w="57" w:type="dxa"/>
              <w:bottom w:w="85" w:type="dxa"/>
              <w:right w:w="57" w:type="dxa"/>
            </w:tcMar>
          </w:tcPr>
          <w:p w:rsidR="003A1527" w:rsidRDefault="00742A12">
            <w:pPr>
              <w:rPr>
                <w:noProof/>
              </w:rPr>
            </w:pPr>
            <w:r>
              <w:rPr>
                <w:noProof/>
              </w:rPr>
              <w:t>Annual Work Programmes</w:t>
            </w:r>
          </w:p>
        </w:tc>
      </w:tr>
      <w:tr w:rsidR="003A1527">
        <w:tc>
          <w:tcPr>
            <w:tcW w:w="2560" w:type="dxa"/>
            <w:tcMar>
              <w:top w:w="85" w:type="dxa"/>
              <w:left w:w="57" w:type="dxa"/>
              <w:bottom w:w="85" w:type="dxa"/>
              <w:right w:w="57" w:type="dxa"/>
            </w:tcMar>
          </w:tcPr>
          <w:p w:rsidR="003A1527" w:rsidRDefault="00742A12">
            <w:pPr>
              <w:rPr>
                <w:noProof/>
              </w:rPr>
            </w:pPr>
            <w:r>
              <w:rPr>
                <w:noProof/>
              </w:rPr>
              <w:t xml:space="preserve">CHAFEA  </w:t>
            </w:r>
          </w:p>
        </w:tc>
        <w:tc>
          <w:tcPr>
            <w:tcW w:w="6337" w:type="dxa"/>
            <w:tcMar>
              <w:top w:w="85" w:type="dxa"/>
              <w:left w:w="57" w:type="dxa"/>
              <w:bottom w:w="85" w:type="dxa"/>
              <w:right w:w="57" w:type="dxa"/>
            </w:tcMar>
          </w:tcPr>
          <w:p w:rsidR="003A1527" w:rsidRDefault="00742A12">
            <w:pPr>
              <w:rPr>
                <w:noProof/>
              </w:rPr>
            </w:pPr>
            <w:r>
              <w:rPr>
                <w:noProof/>
              </w:rPr>
              <w:t xml:space="preserve">Consumers, Health, Agriculture and Food </w:t>
            </w:r>
            <w:r>
              <w:rPr>
                <w:noProof/>
              </w:rPr>
              <w:t>Executive Agency</w:t>
            </w:r>
          </w:p>
        </w:tc>
      </w:tr>
      <w:tr w:rsidR="003A1527">
        <w:tc>
          <w:tcPr>
            <w:tcW w:w="2560" w:type="dxa"/>
            <w:tcMar>
              <w:top w:w="85" w:type="dxa"/>
              <w:left w:w="57" w:type="dxa"/>
              <w:bottom w:w="85" w:type="dxa"/>
              <w:right w:w="57" w:type="dxa"/>
            </w:tcMar>
          </w:tcPr>
          <w:p w:rsidR="003A1527" w:rsidRDefault="00742A12">
            <w:pPr>
              <w:rPr>
                <w:noProof/>
              </w:rPr>
            </w:pPr>
            <w:r>
              <w:rPr>
                <w:noProof/>
              </w:rPr>
              <w:t>CNCT</w:t>
            </w:r>
            <w:r>
              <w:rPr>
                <w:noProof/>
              </w:rPr>
              <w:tab/>
            </w:r>
          </w:p>
        </w:tc>
        <w:tc>
          <w:tcPr>
            <w:tcW w:w="6337" w:type="dxa"/>
            <w:tcMar>
              <w:top w:w="85" w:type="dxa"/>
              <w:left w:w="57" w:type="dxa"/>
              <w:bottom w:w="85" w:type="dxa"/>
              <w:right w:w="57" w:type="dxa"/>
            </w:tcMar>
          </w:tcPr>
          <w:p w:rsidR="003A1527" w:rsidRDefault="00742A12">
            <w:pPr>
              <w:rPr>
                <w:noProof/>
              </w:rPr>
            </w:pPr>
            <w:r>
              <w:rPr>
                <w:noProof/>
              </w:rPr>
              <w:t>Directorate-General for Communications Networks, Content and Technology</w:t>
            </w:r>
          </w:p>
        </w:tc>
      </w:tr>
      <w:tr w:rsidR="003A1527">
        <w:tc>
          <w:tcPr>
            <w:tcW w:w="2560" w:type="dxa"/>
            <w:tcMar>
              <w:top w:w="85" w:type="dxa"/>
              <w:left w:w="57" w:type="dxa"/>
              <w:bottom w:w="85" w:type="dxa"/>
              <w:right w:w="57" w:type="dxa"/>
            </w:tcMar>
          </w:tcPr>
          <w:p w:rsidR="003A1527" w:rsidRDefault="00742A12">
            <w:pPr>
              <w:rPr>
                <w:noProof/>
              </w:rPr>
            </w:pPr>
            <w:r>
              <w:rPr>
                <w:noProof/>
              </w:rPr>
              <w:t>COMP</w:t>
            </w:r>
          </w:p>
        </w:tc>
        <w:tc>
          <w:tcPr>
            <w:tcW w:w="6337" w:type="dxa"/>
            <w:tcMar>
              <w:top w:w="85" w:type="dxa"/>
              <w:left w:w="57" w:type="dxa"/>
              <w:bottom w:w="85" w:type="dxa"/>
              <w:right w:w="57" w:type="dxa"/>
            </w:tcMar>
          </w:tcPr>
          <w:p w:rsidR="003A1527" w:rsidRDefault="00742A12">
            <w:pPr>
              <w:rPr>
                <w:noProof/>
              </w:rPr>
            </w:pPr>
            <w:r>
              <w:rPr>
                <w:noProof/>
              </w:rPr>
              <w:t>Directorate-General for Competition</w:t>
            </w:r>
          </w:p>
        </w:tc>
      </w:tr>
      <w:tr w:rsidR="003A1527">
        <w:tc>
          <w:tcPr>
            <w:tcW w:w="2560" w:type="dxa"/>
            <w:tcMar>
              <w:top w:w="85" w:type="dxa"/>
              <w:left w:w="57" w:type="dxa"/>
              <w:bottom w:w="85" w:type="dxa"/>
              <w:right w:w="57" w:type="dxa"/>
            </w:tcMar>
          </w:tcPr>
          <w:p w:rsidR="003A1527" w:rsidRDefault="00742A12">
            <w:pPr>
              <w:rPr>
                <w:noProof/>
              </w:rPr>
            </w:pPr>
            <w:r>
              <w:rPr>
                <w:noProof/>
              </w:rPr>
              <w:t xml:space="preserve">DG Home  </w:t>
            </w:r>
          </w:p>
        </w:tc>
        <w:tc>
          <w:tcPr>
            <w:tcW w:w="6337" w:type="dxa"/>
            <w:tcMar>
              <w:top w:w="85" w:type="dxa"/>
              <w:left w:w="57" w:type="dxa"/>
              <w:bottom w:w="85" w:type="dxa"/>
              <w:right w:w="57" w:type="dxa"/>
            </w:tcMar>
          </w:tcPr>
          <w:p w:rsidR="003A1527" w:rsidRDefault="00742A12">
            <w:pPr>
              <w:rPr>
                <w:noProof/>
              </w:rPr>
            </w:pPr>
            <w:r>
              <w:rPr>
                <w:noProof/>
              </w:rPr>
              <w:t>Directorate-General for Migration and Home Affairs</w:t>
            </w:r>
          </w:p>
        </w:tc>
      </w:tr>
      <w:tr w:rsidR="003A1527">
        <w:tc>
          <w:tcPr>
            <w:tcW w:w="2560" w:type="dxa"/>
            <w:tcMar>
              <w:top w:w="85" w:type="dxa"/>
              <w:left w:w="57" w:type="dxa"/>
              <w:bottom w:w="85" w:type="dxa"/>
              <w:right w:w="57" w:type="dxa"/>
            </w:tcMar>
          </w:tcPr>
          <w:p w:rsidR="003A1527" w:rsidRDefault="00742A12">
            <w:pPr>
              <w:rPr>
                <w:noProof/>
              </w:rPr>
            </w:pPr>
            <w:r>
              <w:rPr>
                <w:noProof/>
              </w:rPr>
              <w:t xml:space="preserve">DG RTD  </w:t>
            </w:r>
          </w:p>
        </w:tc>
        <w:tc>
          <w:tcPr>
            <w:tcW w:w="6337" w:type="dxa"/>
            <w:tcMar>
              <w:top w:w="85" w:type="dxa"/>
              <w:left w:w="57" w:type="dxa"/>
              <w:bottom w:w="85" w:type="dxa"/>
              <w:right w:w="57" w:type="dxa"/>
            </w:tcMar>
          </w:tcPr>
          <w:p w:rsidR="003A1527" w:rsidRDefault="00742A12">
            <w:pPr>
              <w:rPr>
                <w:noProof/>
              </w:rPr>
            </w:pPr>
            <w:r>
              <w:rPr>
                <w:noProof/>
              </w:rPr>
              <w:t xml:space="preserve">Directorate-General for Research and </w:t>
            </w:r>
            <w:r>
              <w:rPr>
                <w:noProof/>
              </w:rPr>
              <w:t>Innovation</w:t>
            </w:r>
          </w:p>
        </w:tc>
      </w:tr>
      <w:tr w:rsidR="003A1527">
        <w:tc>
          <w:tcPr>
            <w:tcW w:w="2560" w:type="dxa"/>
            <w:tcMar>
              <w:top w:w="85" w:type="dxa"/>
              <w:left w:w="57" w:type="dxa"/>
              <w:bottom w:w="85" w:type="dxa"/>
              <w:right w:w="57" w:type="dxa"/>
            </w:tcMar>
          </w:tcPr>
          <w:p w:rsidR="003A1527" w:rsidRDefault="00742A12">
            <w:pPr>
              <w:rPr>
                <w:noProof/>
              </w:rPr>
            </w:pPr>
            <w:r>
              <w:rPr>
                <w:noProof/>
              </w:rPr>
              <w:t>DIGIT</w:t>
            </w:r>
          </w:p>
        </w:tc>
        <w:tc>
          <w:tcPr>
            <w:tcW w:w="6337" w:type="dxa"/>
            <w:tcMar>
              <w:top w:w="85" w:type="dxa"/>
              <w:left w:w="57" w:type="dxa"/>
              <w:bottom w:w="85" w:type="dxa"/>
              <w:right w:w="57" w:type="dxa"/>
            </w:tcMar>
          </w:tcPr>
          <w:p w:rsidR="003A1527" w:rsidRDefault="00742A12">
            <w:pPr>
              <w:rPr>
                <w:noProof/>
              </w:rPr>
            </w:pPr>
            <w:r>
              <w:rPr>
                <w:noProof/>
              </w:rPr>
              <w:t>Directorate-General for Informatics</w:t>
            </w:r>
          </w:p>
        </w:tc>
      </w:tr>
      <w:tr w:rsidR="003A1527">
        <w:tc>
          <w:tcPr>
            <w:tcW w:w="2560" w:type="dxa"/>
            <w:tcMar>
              <w:top w:w="85" w:type="dxa"/>
              <w:left w:w="57" w:type="dxa"/>
              <w:bottom w:w="85" w:type="dxa"/>
              <w:right w:w="57" w:type="dxa"/>
            </w:tcMar>
          </w:tcPr>
          <w:p w:rsidR="003A1527" w:rsidRDefault="00742A12">
            <w:pPr>
              <w:rPr>
                <w:noProof/>
              </w:rPr>
            </w:pPr>
            <w:r>
              <w:rPr>
                <w:noProof/>
              </w:rPr>
              <w:t>ECDC</w:t>
            </w:r>
          </w:p>
        </w:tc>
        <w:tc>
          <w:tcPr>
            <w:tcW w:w="6337" w:type="dxa"/>
            <w:tcMar>
              <w:top w:w="85" w:type="dxa"/>
              <w:left w:w="57" w:type="dxa"/>
              <w:bottom w:w="85" w:type="dxa"/>
              <w:right w:w="57" w:type="dxa"/>
            </w:tcMar>
          </w:tcPr>
          <w:p w:rsidR="003A1527" w:rsidRDefault="00742A12">
            <w:pPr>
              <w:rPr>
                <w:noProof/>
              </w:rPr>
            </w:pPr>
            <w:r>
              <w:rPr>
                <w:noProof/>
              </w:rPr>
              <w:t>European Centre for Disease Prevention and Control</w:t>
            </w:r>
          </w:p>
        </w:tc>
      </w:tr>
      <w:tr w:rsidR="003A1527">
        <w:tc>
          <w:tcPr>
            <w:tcW w:w="2560" w:type="dxa"/>
            <w:tcMar>
              <w:top w:w="85" w:type="dxa"/>
              <w:left w:w="57" w:type="dxa"/>
              <w:bottom w:w="85" w:type="dxa"/>
              <w:right w:w="57" w:type="dxa"/>
            </w:tcMar>
          </w:tcPr>
          <w:p w:rsidR="003A1527" w:rsidRDefault="00742A12">
            <w:pPr>
              <w:rPr>
                <w:noProof/>
              </w:rPr>
            </w:pPr>
            <w:r>
              <w:rPr>
                <w:noProof/>
              </w:rPr>
              <w:t>EFSA</w:t>
            </w:r>
          </w:p>
        </w:tc>
        <w:tc>
          <w:tcPr>
            <w:tcW w:w="6337" w:type="dxa"/>
            <w:tcMar>
              <w:top w:w="85" w:type="dxa"/>
              <w:left w:w="57" w:type="dxa"/>
              <w:bottom w:w="85" w:type="dxa"/>
              <w:right w:w="57" w:type="dxa"/>
            </w:tcMar>
          </w:tcPr>
          <w:p w:rsidR="003A1527" w:rsidRDefault="00742A12">
            <w:pPr>
              <w:rPr>
                <w:noProof/>
              </w:rPr>
            </w:pPr>
            <w:r>
              <w:rPr>
                <w:noProof/>
              </w:rPr>
              <w:t>European Food Safety Authority</w:t>
            </w:r>
          </w:p>
        </w:tc>
      </w:tr>
      <w:tr w:rsidR="003A1527">
        <w:tc>
          <w:tcPr>
            <w:tcW w:w="2560" w:type="dxa"/>
            <w:tcMar>
              <w:top w:w="85" w:type="dxa"/>
              <w:left w:w="57" w:type="dxa"/>
              <w:bottom w:w="85" w:type="dxa"/>
              <w:right w:w="57" w:type="dxa"/>
            </w:tcMar>
          </w:tcPr>
          <w:p w:rsidR="003A1527" w:rsidRDefault="00742A12">
            <w:pPr>
              <w:rPr>
                <w:noProof/>
              </w:rPr>
            </w:pPr>
            <w:r>
              <w:rPr>
                <w:noProof/>
              </w:rPr>
              <w:t xml:space="preserve">EMA   </w:t>
            </w:r>
          </w:p>
        </w:tc>
        <w:tc>
          <w:tcPr>
            <w:tcW w:w="6337" w:type="dxa"/>
            <w:tcMar>
              <w:top w:w="85" w:type="dxa"/>
              <w:left w:w="57" w:type="dxa"/>
              <w:bottom w:w="85" w:type="dxa"/>
              <w:right w:w="57" w:type="dxa"/>
            </w:tcMar>
          </w:tcPr>
          <w:p w:rsidR="003A1527" w:rsidRDefault="00742A12">
            <w:pPr>
              <w:rPr>
                <w:noProof/>
              </w:rPr>
            </w:pPr>
            <w:r>
              <w:rPr>
                <w:noProof/>
              </w:rPr>
              <w:t>European Medicines Agency</w:t>
            </w:r>
          </w:p>
        </w:tc>
      </w:tr>
      <w:tr w:rsidR="003A1527">
        <w:tc>
          <w:tcPr>
            <w:tcW w:w="2560" w:type="dxa"/>
            <w:tcMar>
              <w:top w:w="85" w:type="dxa"/>
              <w:left w:w="57" w:type="dxa"/>
              <w:bottom w:w="85" w:type="dxa"/>
              <w:right w:w="57" w:type="dxa"/>
            </w:tcMar>
          </w:tcPr>
          <w:p w:rsidR="003A1527" w:rsidRDefault="00742A12">
            <w:pPr>
              <w:rPr>
                <w:noProof/>
              </w:rPr>
            </w:pPr>
            <w:r>
              <w:rPr>
                <w:noProof/>
              </w:rPr>
              <w:t xml:space="preserve">ESTAT  </w:t>
            </w:r>
          </w:p>
        </w:tc>
        <w:tc>
          <w:tcPr>
            <w:tcW w:w="6337" w:type="dxa"/>
            <w:tcMar>
              <w:top w:w="85" w:type="dxa"/>
              <w:left w:w="57" w:type="dxa"/>
              <w:bottom w:w="85" w:type="dxa"/>
              <w:right w:w="57" w:type="dxa"/>
            </w:tcMar>
          </w:tcPr>
          <w:p w:rsidR="003A1527" w:rsidRDefault="00742A12">
            <w:pPr>
              <w:rPr>
                <w:noProof/>
              </w:rPr>
            </w:pPr>
            <w:r>
              <w:rPr>
                <w:noProof/>
              </w:rPr>
              <w:t>Eurostat</w:t>
            </w:r>
          </w:p>
        </w:tc>
      </w:tr>
      <w:tr w:rsidR="003A1527">
        <w:tc>
          <w:tcPr>
            <w:tcW w:w="2560" w:type="dxa"/>
            <w:tcMar>
              <w:top w:w="85" w:type="dxa"/>
              <w:left w:w="57" w:type="dxa"/>
              <w:bottom w:w="85" w:type="dxa"/>
              <w:right w:w="57" w:type="dxa"/>
            </w:tcMar>
          </w:tcPr>
          <w:p w:rsidR="003A1527" w:rsidRDefault="00742A12">
            <w:pPr>
              <w:rPr>
                <w:noProof/>
              </w:rPr>
            </w:pPr>
            <w:r>
              <w:rPr>
                <w:noProof/>
              </w:rPr>
              <w:t xml:space="preserve">EU  </w:t>
            </w:r>
          </w:p>
        </w:tc>
        <w:tc>
          <w:tcPr>
            <w:tcW w:w="6337" w:type="dxa"/>
            <w:tcMar>
              <w:top w:w="85" w:type="dxa"/>
              <w:left w:w="57" w:type="dxa"/>
              <w:bottom w:w="85" w:type="dxa"/>
              <w:right w:w="57" w:type="dxa"/>
            </w:tcMar>
          </w:tcPr>
          <w:p w:rsidR="003A1527" w:rsidRDefault="00742A12">
            <w:pPr>
              <w:rPr>
                <w:noProof/>
              </w:rPr>
            </w:pPr>
            <w:r>
              <w:rPr>
                <w:noProof/>
              </w:rPr>
              <w:t>European Union</w:t>
            </w:r>
          </w:p>
        </w:tc>
      </w:tr>
      <w:tr w:rsidR="003A1527">
        <w:tc>
          <w:tcPr>
            <w:tcW w:w="2560" w:type="dxa"/>
            <w:tcMar>
              <w:top w:w="85" w:type="dxa"/>
              <w:left w:w="57" w:type="dxa"/>
              <w:bottom w:w="85" w:type="dxa"/>
              <w:right w:w="57" w:type="dxa"/>
            </w:tcMar>
          </w:tcPr>
          <w:p w:rsidR="003A1527" w:rsidRDefault="00742A12">
            <w:pPr>
              <w:rPr>
                <w:noProof/>
              </w:rPr>
            </w:pPr>
            <w:r>
              <w:rPr>
                <w:noProof/>
              </w:rPr>
              <w:t>FISMA</w:t>
            </w:r>
            <w:r>
              <w:rPr>
                <w:noProof/>
              </w:rPr>
              <w:tab/>
            </w:r>
          </w:p>
        </w:tc>
        <w:tc>
          <w:tcPr>
            <w:tcW w:w="6337" w:type="dxa"/>
            <w:tcMar>
              <w:top w:w="85" w:type="dxa"/>
              <w:left w:w="57" w:type="dxa"/>
              <w:bottom w:w="85" w:type="dxa"/>
              <w:right w:w="57" w:type="dxa"/>
            </w:tcMar>
          </w:tcPr>
          <w:p w:rsidR="003A1527" w:rsidRDefault="00742A12">
            <w:pPr>
              <w:rPr>
                <w:noProof/>
              </w:rPr>
            </w:pPr>
            <w:r>
              <w:rPr>
                <w:noProof/>
              </w:rPr>
              <w:t xml:space="preserve">Directorate-General for Financial Stability, Financial Services and Capital Markets Union  </w:t>
            </w:r>
          </w:p>
        </w:tc>
      </w:tr>
      <w:tr w:rsidR="003A1527">
        <w:tc>
          <w:tcPr>
            <w:tcW w:w="2560" w:type="dxa"/>
            <w:tcMar>
              <w:top w:w="85" w:type="dxa"/>
              <w:left w:w="57" w:type="dxa"/>
              <w:bottom w:w="85" w:type="dxa"/>
              <w:right w:w="57" w:type="dxa"/>
            </w:tcMar>
          </w:tcPr>
          <w:p w:rsidR="003A1527" w:rsidRDefault="00742A12">
            <w:pPr>
              <w:rPr>
                <w:noProof/>
              </w:rPr>
            </w:pPr>
            <w:r>
              <w:rPr>
                <w:noProof/>
              </w:rPr>
              <w:t xml:space="preserve">GNI  </w:t>
            </w:r>
            <w:r>
              <w:rPr>
                <w:noProof/>
              </w:rPr>
              <w:tab/>
            </w:r>
          </w:p>
        </w:tc>
        <w:tc>
          <w:tcPr>
            <w:tcW w:w="6337" w:type="dxa"/>
            <w:tcMar>
              <w:top w:w="85" w:type="dxa"/>
              <w:left w:w="57" w:type="dxa"/>
              <w:bottom w:w="85" w:type="dxa"/>
              <w:right w:w="57" w:type="dxa"/>
            </w:tcMar>
          </w:tcPr>
          <w:p w:rsidR="003A1527" w:rsidRDefault="00742A12">
            <w:pPr>
              <w:rPr>
                <w:noProof/>
              </w:rPr>
            </w:pPr>
            <w:r>
              <w:rPr>
                <w:noProof/>
              </w:rPr>
              <w:t>Gross national income</w:t>
            </w:r>
          </w:p>
        </w:tc>
      </w:tr>
      <w:tr w:rsidR="003A1527">
        <w:tc>
          <w:tcPr>
            <w:tcW w:w="2560" w:type="dxa"/>
            <w:tcMar>
              <w:top w:w="85" w:type="dxa"/>
              <w:left w:w="57" w:type="dxa"/>
              <w:bottom w:w="85" w:type="dxa"/>
              <w:right w:w="57" w:type="dxa"/>
            </w:tcMar>
          </w:tcPr>
          <w:p w:rsidR="003A1527" w:rsidRDefault="00742A12">
            <w:pPr>
              <w:rPr>
                <w:noProof/>
              </w:rPr>
            </w:pPr>
            <w:r>
              <w:rPr>
                <w:noProof/>
              </w:rPr>
              <w:t>GROW</w:t>
            </w:r>
            <w:r>
              <w:rPr>
                <w:noProof/>
              </w:rPr>
              <w:tab/>
            </w:r>
          </w:p>
        </w:tc>
        <w:tc>
          <w:tcPr>
            <w:tcW w:w="6337" w:type="dxa"/>
            <w:tcMar>
              <w:top w:w="85" w:type="dxa"/>
              <w:left w:w="57" w:type="dxa"/>
              <w:bottom w:w="85" w:type="dxa"/>
              <w:right w:w="57" w:type="dxa"/>
            </w:tcMar>
          </w:tcPr>
          <w:p w:rsidR="003A1527" w:rsidRDefault="00742A12">
            <w:pPr>
              <w:rPr>
                <w:noProof/>
              </w:rPr>
            </w:pPr>
            <w:r>
              <w:rPr>
                <w:noProof/>
              </w:rPr>
              <w:t>Directorate-General for Internal Market, Industry, Entrepreneurship and SMEs</w:t>
            </w:r>
          </w:p>
        </w:tc>
      </w:tr>
      <w:tr w:rsidR="003A1527">
        <w:tc>
          <w:tcPr>
            <w:tcW w:w="2560" w:type="dxa"/>
            <w:tcMar>
              <w:top w:w="85" w:type="dxa"/>
              <w:left w:w="57" w:type="dxa"/>
              <w:bottom w:w="85" w:type="dxa"/>
              <w:right w:w="57" w:type="dxa"/>
            </w:tcMar>
          </w:tcPr>
          <w:p w:rsidR="003A1527" w:rsidRDefault="00742A12">
            <w:pPr>
              <w:rPr>
                <w:noProof/>
              </w:rPr>
            </w:pPr>
            <w:r>
              <w:rPr>
                <w:noProof/>
              </w:rPr>
              <w:t>JUST</w:t>
            </w:r>
          </w:p>
        </w:tc>
        <w:tc>
          <w:tcPr>
            <w:tcW w:w="6337" w:type="dxa"/>
            <w:tcMar>
              <w:top w:w="85" w:type="dxa"/>
              <w:left w:w="57" w:type="dxa"/>
              <w:bottom w:w="85" w:type="dxa"/>
              <w:right w:w="57" w:type="dxa"/>
            </w:tcMar>
          </w:tcPr>
          <w:p w:rsidR="003A1527" w:rsidRDefault="00742A12">
            <w:pPr>
              <w:rPr>
                <w:noProof/>
              </w:rPr>
            </w:pPr>
            <w:r>
              <w:rPr>
                <w:noProof/>
              </w:rPr>
              <w:t>Directorate-General for Justice and Consumer</w:t>
            </w:r>
            <w:r>
              <w:rPr>
                <w:noProof/>
              </w:rPr>
              <w:t>s</w:t>
            </w:r>
          </w:p>
        </w:tc>
      </w:tr>
      <w:tr w:rsidR="003A1527">
        <w:tc>
          <w:tcPr>
            <w:tcW w:w="2560" w:type="dxa"/>
            <w:tcMar>
              <w:top w:w="85" w:type="dxa"/>
              <w:left w:w="57" w:type="dxa"/>
              <w:bottom w:w="85" w:type="dxa"/>
              <w:right w:w="57" w:type="dxa"/>
            </w:tcMar>
          </w:tcPr>
          <w:p w:rsidR="003A1527" w:rsidRDefault="00742A12">
            <w:pPr>
              <w:rPr>
                <w:noProof/>
              </w:rPr>
            </w:pPr>
            <w:r>
              <w:rPr>
                <w:noProof/>
              </w:rPr>
              <w:t xml:space="preserve">MAP    </w:t>
            </w:r>
          </w:p>
        </w:tc>
        <w:tc>
          <w:tcPr>
            <w:tcW w:w="6337" w:type="dxa"/>
            <w:tcMar>
              <w:top w:w="85" w:type="dxa"/>
              <w:left w:w="57" w:type="dxa"/>
              <w:bottom w:w="85" w:type="dxa"/>
              <w:right w:w="57" w:type="dxa"/>
            </w:tcMar>
          </w:tcPr>
          <w:p w:rsidR="003A1527" w:rsidRDefault="00742A12">
            <w:pPr>
              <w:rPr>
                <w:noProof/>
              </w:rPr>
            </w:pPr>
            <w:r>
              <w:rPr>
                <w:noProof/>
              </w:rPr>
              <w:t>Multi-Annual Planning</w:t>
            </w:r>
          </w:p>
        </w:tc>
      </w:tr>
      <w:tr w:rsidR="003A1527">
        <w:tc>
          <w:tcPr>
            <w:tcW w:w="2560" w:type="dxa"/>
            <w:tcMar>
              <w:top w:w="85" w:type="dxa"/>
              <w:left w:w="57" w:type="dxa"/>
              <w:bottom w:w="85" w:type="dxa"/>
              <w:right w:w="57" w:type="dxa"/>
            </w:tcMar>
          </w:tcPr>
          <w:p w:rsidR="003A1527" w:rsidRDefault="00742A12">
            <w:pPr>
              <w:rPr>
                <w:noProof/>
              </w:rPr>
            </w:pPr>
            <w:r>
              <w:rPr>
                <w:noProof/>
              </w:rPr>
              <w:t xml:space="preserve">MS   </w:t>
            </w:r>
          </w:p>
        </w:tc>
        <w:tc>
          <w:tcPr>
            <w:tcW w:w="6337" w:type="dxa"/>
            <w:tcMar>
              <w:top w:w="85" w:type="dxa"/>
              <w:left w:w="57" w:type="dxa"/>
              <w:bottom w:w="85" w:type="dxa"/>
              <w:right w:w="57" w:type="dxa"/>
            </w:tcMar>
          </w:tcPr>
          <w:p w:rsidR="003A1527" w:rsidRDefault="00742A12">
            <w:pPr>
              <w:rPr>
                <w:noProof/>
              </w:rPr>
            </w:pPr>
            <w:r>
              <w:rPr>
                <w:noProof/>
              </w:rPr>
              <w:t>Member States</w:t>
            </w:r>
          </w:p>
        </w:tc>
      </w:tr>
      <w:tr w:rsidR="003A1527">
        <w:tc>
          <w:tcPr>
            <w:tcW w:w="2560" w:type="dxa"/>
            <w:tcMar>
              <w:top w:w="85" w:type="dxa"/>
              <w:left w:w="57" w:type="dxa"/>
              <w:bottom w:w="85" w:type="dxa"/>
              <w:right w:w="57" w:type="dxa"/>
            </w:tcMar>
          </w:tcPr>
          <w:p w:rsidR="003A1527" w:rsidRDefault="00742A12">
            <w:pPr>
              <w:rPr>
                <w:noProof/>
              </w:rPr>
            </w:pPr>
            <w:r>
              <w:rPr>
                <w:noProof/>
              </w:rPr>
              <w:t>OECD</w:t>
            </w:r>
            <w:r>
              <w:rPr>
                <w:noProof/>
              </w:rPr>
              <w:tab/>
            </w:r>
          </w:p>
        </w:tc>
        <w:tc>
          <w:tcPr>
            <w:tcW w:w="6337" w:type="dxa"/>
            <w:tcMar>
              <w:top w:w="85" w:type="dxa"/>
              <w:left w:w="57" w:type="dxa"/>
              <w:bottom w:w="85" w:type="dxa"/>
              <w:right w:w="57" w:type="dxa"/>
            </w:tcMar>
          </w:tcPr>
          <w:p w:rsidR="003A1527" w:rsidRDefault="00742A12">
            <w:pPr>
              <w:rPr>
                <w:noProof/>
              </w:rPr>
            </w:pPr>
            <w:r>
              <w:rPr>
                <w:noProof/>
              </w:rPr>
              <w:t>Organisation for Economic Co-operation and Development</w:t>
            </w:r>
          </w:p>
        </w:tc>
      </w:tr>
      <w:tr w:rsidR="003A1527">
        <w:tc>
          <w:tcPr>
            <w:tcW w:w="2560" w:type="dxa"/>
            <w:tcMar>
              <w:top w:w="85" w:type="dxa"/>
              <w:left w:w="57" w:type="dxa"/>
              <w:bottom w:w="85" w:type="dxa"/>
              <w:right w:w="57" w:type="dxa"/>
            </w:tcMar>
          </w:tcPr>
          <w:p w:rsidR="003A1527" w:rsidRDefault="00742A12">
            <w:pPr>
              <w:rPr>
                <w:noProof/>
              </w:rPr>
            </w:pPr>
            <w:r>
              <w:rPr>
                <w:noProof/>
              </w:rPr>
              <w:t xml:space="preserve">R&amp;D      </w:t>
            </w:r>
          </w:p>
        </w:tc>
        <w:tc>
          <w:tcPr>
            <w:tcW w:w="6337" w:type="dxa"/>
            <w:tcMar>
              <w:top w:w="85" w:type="dxa"/>
              <w:left w:w="57" w:type="dxa"/>
              <w:bottom w:w="85" w:type="dxa"/>
              <w:right w:w="57" w:type="dxa"/>
            </w:tcMar>
          </w:tcPr>
          <w:p w:rsidR="003A1527" w:rsidRDefault="00742A12">
            <w:pPr>
              <w:rPr>
                <w:noProof/>
              </w:rPr>
            </w:pPr>
            <w:r>
              <w:rPr>
                <w:noProof/>
              </w:rPr>
              <w:t>Research and development</w:t>
            </w:r>
          </w:p>
        </w:tc>
      </w:tr>
      <w:tr w:rsidR="003A1527">
        <w:tc>
          <w:tcPr>
            <w:tcW w:w="2560" w:type="dxa"/>
            <w:tcMar>
              <w:top w:w="85" w:type="dxa"/>
              <w:left w:w="57" w:type="dxa"/>
              <w:bottom w:w="85" w:type="dxa"/>
              <w:right w:w="57" w:type="dxa"/>
            </w:tcMar>
          </w:tcPr>
          <w:p w:rsidR="003A1527" w:rsidRDefault="00742A12">
            <w:pPr>
              <w:rPr>
                <w:noProof/>
              </w:rPr>
            </w:pPr>
            <w:r>
              <w:rPr>
                <w:noProof/>
              </w:rPr>
              <w:t>SANTE</w:t>
            </w:r>
          </w:p>
        </w:tc>
        <w:tc>
          <w:tcPr>
            <w:tcW w:w="6337" w:type="dxa"/>
            <w:tcMar>
              <w:top w:w="85" w:type="dxa"/>
              <w:left w:w="57" w:type="dxa"/>
              <w:bottom w:w="85" w:type="dxa"/>
              <w:right w:w="57" w:type="dxa"/>
            </w:tcMar>
          </w:tcPr>
          <w:p w:rsidR="003A1527" w:rsidRDefault="00742A12">
            <w:pPr>
              <w:rPr>
                <w:noProof/>
              </w:rPr>
            </w:pPr>
            <w:r>
              <w:rPr>
                <w:noProof/>
              </w:rPr>
              <w:t>Directorate General for Health and Food Safety</w:t>
            </w:r>
          </w:p>
        </w:tc>
      </w:tr>
      <w:tr w:rsidR="003A1527">
        <w:tc>
          <w:tcPr>
            <w:tcW w:w="2560" w:type="dxa"/>
            <w:tcMar>
              <w:top w:w="85" w:type="dxa"/>
              <w:left w:w="57" w:type="dxa"/>
              <w:bottom w:w="85" w:type="dxa"/>
              <w:right w:w="57" w:type="dxa"/>
            </w:tcMar>
          </w:tcPr>
          <w:p w:rsidR="003A1527" w:rsidRDefault="00742A12">
            <w:pPr>
              <w:rPr>
                <w:noProof/>
              </w:rPr>
            </w:pPr>
            <w:r>
              <w:rPr>
                <w:noProof/>
              </w:rPr>
              <w:t xml:space="preserve">SoHO  </w:t>
            </w:r>
          </w:p>
        </w:tc>
        <w:tc>
          <w:tcPr>
            <w:tcW w:w="6337" w:type="dxa"/>
            <w:tcMar>
              <w:top w:w="85" w:type="dxa"/>
              <w:left w:w="57" w:type="dxa"/>
              <w:bottom w:w="85" w:type="dxa"/>
              <w:right w:w="57" w:type="dxa"/>
            </w:tcMar>
          </w:tcPr>
          <w:p w:rsidR="003A1527" w:rsidRDefault="00742A12">
            <w:pPr>
              <w:rPr>
                <w:noProof/>
              </w:rPr>
            </w:pPr>
            <w:r>
              <w:rPr>
                <w:noProof/>
              </w:rPr>
              <w:t>Substances of Human Origin</w:t>
            </w:r>
          </w:p>
        </w:tc>
      </w:tr>
      <w:tr w:rsidR="003A1527">
        <w:tc>
          <w:tcPr>
            <w:tcW w:w="2560" w:type="dxa"/>
            <w:tcMar>
              <w:top w:w="85" w:type="dxa"/>
              <w:left w:w="57" w:type="dxa"/>
              <w:bottom w:w="85" w:type="dxa"/>
              <w:right w:w="57" w:type="dxa"/>
            </w:tcMar>
          </w:tcPr>
          <w:p w:rsidR="003A1527" w:rsidRDefault="00742A12">
            <w:pPr>
              <w:rPr>
                <w:noProof/>
              </w:rPr>
            </w:pPr>
            <w:r>
              <w:rPr>
                <w:noProof/>
              </w:rPr>
              <w:t xml:space="preserve">SRSS   </w:t>
            </w:r>
          </w:p>
        </w:tc>
        <w:tc>
          <w:tcPr>
            <w:tcW w:w="6337" w:type="dxa"/>
            <w:tcMar>
              <w:top w:w="85" w:type="dxa"/>
              <w:left w:w="57" w:type="dxa"/>
              <w:bottom w:w="85" w:type="dxa"/>
              <w:right w:w="57" w:type="dxa"/>
            </w:tcMar>
          </w:tcPr>
          <w:p w:rsidR="003A1527" w:rsidRDefault="00742A12">
            <w:pPr>
              <w:rPr>
                <w:noProof/>
              </w:rPr>
            </w:pPr>
            <w:r>
              <w:rPr>
                <w:noProof/>
              </w:rPr>
              <w:t>Structural Reform Support Service</w:t>
            </w:r>
          </w:p>
        </w:tc>
      </w:tr>
      <w:tr w:rsidR="003A1527">
        <w:tc>
          <w:tcPr>
            <w:tcW w:w="2560" w:type="dxa"/>
            <w:tcMar>
              <w:top w:w="85" w:type="dxa"/>
              <w:left w:w="57" w:type="dxa"/>
              <w:bottom w:w="85" w:type="dxa"/>
              <w:right w:w="57" w:type="dxa"/>
            </w:tcMar>
          </w:tcPr>
          <w:p w:rsidR="003A1527" w:rsidRDefault="00742A12">
            <w:pPr>
              <w:rPr>
                <w:noProof/>
              </w:rPr>
            </w:pPr>
            <w:r>
              <w:rPr>
                <w:noProof/>
              </w:rPr>
              <w:t xml:space="preserve">TFEU   </w:t>
            </w:r>
          </w:p>
        </w:tc>
        <w:tc>
          <w:tcPr>
            <w:tcW w:w="6337" w:type="dxa"/>
            <w:tcMar>
              <w:top w:w="85" w:type="dxa"/>
              <w:left w:w="57" w:type="dxa"/>
              <w:bottom w:w="85" w:type="dxa"/>
              <w:right w:w="57" w:type="dxa"/>
            </w:tcMar>
          </w:tcPr>
          <w:p w:rsidR="003A1527" w:rsidRDefault="00742A12">
            <w:pPr>
              <w:rPr>
                <w:noProof/>
              </w:rPr>
            </w:pPr>
            <w:r>
              <w:rPr>
                <w:noProof/>
              </w:rPr>
              <w:t>Treaty on the Functioning of the European Union</w:t>
            </w:r>
          </w:p>
        </w:tc>
      </w:tr>
      <w:tr w:rsidR="003A1527">
        <w:tc>
          <w:tcPr>
            <w:tcW w:w="2560" w:type="dxa"/>
            <w:tcMar>
              <w:top w:w="85" w:type="dxa"/>
              <w:left w:w="57" w:type="dxa"/>
              <w:bottom w:w="85" w:type="dxa"/>
              <w:right w:w="57" w:type="dxa"/>
            </w:tcMar>
          </w:tcPr>
          <w:p w:rsidR="003A1527" w:rsidRDefault="00742A12">
            <w:pPr>
              <w:rPr>
                <w:noProof/>
              </w:rPr>
            </w:pPr>
            <w:r>
              <w:rPr>
                <w:noProof/>
              </w:rPr>
              <w:t>UN</w:t>
            </w:r>
            <w:r>
              <w:rPr>
                <w:noProof/>
              </w:rPr>
              <w:tab/>
            </w:r>
          </w:p>
        </w:tc>
        <w:tc>
          <w:tcPr>
            <w:tcW w:w="6337" w:type="dxa"/>
            <w:tcMar>
              <w:top w:w="85" w:type="dxa"/>
              <w:left w:w="57" w:type="dxa"/>
              <w:bottom w:w="85" w:type="dxa"/>
              <w:right w:w="57" w:type="dxa"/>
            </w:tcMar>
          </w:tcPr>
          <w:p w:rsidR="003A1527" w:rsidRDefault="00742A12">
            <w:pPr>
              <w:rPr>
                <w:noProof/>
              </w:rPr>
            </w:pPr>
            <w:r>
              <w:rPr>
                <w:noProof/>
              </w:rPr>
              <w:t>United Nations</w:t>
            </w:r>
          </w:p>
        </w:tc>
      </w:tr>
      <w:tr w:rsidR="003A1527">
        <w:tc>
          <w:tcPr>
            <w:tcW w:w="2560" w:type="dxa"/>
            <w:tcMar>
              <w:top w:w="85" w:type="dxa"/>
              <w:left w:w="57" w:type="dxa"/>
              <w:bottom w:w="85" w:type="dxa"/>
              <w:right w:w="57" w:type="dxa"/>
            </w:tcMar>
          </w:tcPr>
          <w:p w:rsidR="003A1527" w:rsidRDefault="00742A12">
            <w:pPr>
              <w:rPr>
                <w:noProof/>
              </w:rPr>
            </w:pPr>
            <w:r>
              <w:rPr>
                <w:noProof/>
              </w:rPr>
              <w:t xml:space="preserve">WHO  </w:t>
            </w:r>
            <w:r>
              <w:rPr>
                <w:noProof/>
              </w:rPr>
              <w:tab/>
            </w:r>
          </w:p>
        </w:tc>
        <w:tc>
          <w:tcPr>
            <w:tcW w:w="6337" w:type="dxa"/>
            <w:tcMar>
              <w:top w:w="85" w:type="dxa"/>
              <w:left w:w="57" w:type="dxa"/>
              <w:bottom w:w="85" w:type="dxa"/>
              <w:right w:w="57" w:type="dxa"/>
            </w:tcMar>
          </w:tcPr>
          <w:p w:rsidR="003A1527" w:rsidRDefault="00742A12">
            <w:pPr>
              <w:rPr>
                <w:noProof/>
              </w:rPr>
            </w:pPr>
            <w:r>
              <w:rPr>
                <w:noProof/>
              </w:rPr>
              <w:t>World Health Organization</w:t>
            </w:r>
          </w:p>
        </w:tc>
      </w:tr>
      <w:tr w:rsidR="003A1527">
        <w:tc>
          <w:tcPr>
            <w:tcW w:w="2560" w:type="dxa"/>
            <w:tcMar>
              <w:top w:w="85" w:type="dxa"/>
              <w:left w:w="57" w:type="dxa"/>
              <w:bottom w:w="85" w:type="dxa"/>
              <w:right w:w="57" w:type="dxa"/>
            </w:tcMar>
          </w:tcPr>
          <w:p w:rsidR="003A1527" w:rsidRDefault="00742A12">
            <w:pPr>
              <w:rPr>
                <w:noProof/>
              </w:rPr>
            </w:pPr>
            <w:r>
              <w:rPr>
                <w:noProof/>
              </w:rPr>
              <w:t>Budget line</w:t>
            </w:r>
          </w:p>
        </w:tc>
        <w:tc>
          <w:tcPr>
            <w:tcW w:w="6337" w:type="dxa"/>
            <w:tcMar>
              <w:top w:w="85" w:type="dxa"/>
              <w:left w:w="57" w:type="dxa"/>
              <w:bottom w:w="85" w:type="dxa"/>
              <w:right w:w="57" w:type="dxa"/>
            </w:tcMar>
          </w:tcPr>
          <w:p w:rsidR="003A1527" w:rsidRDefault="00742A12">
            <w:pPr>
              <w:jc w:val="both"/>
              <w:rPr>
                <w:noProof/>
              </w:rPr>
            </w:pPr>
            <w:r>
              <w:rPr>
                <w:noProof/>
              </w:rPr>
              <w:t>A Budget line is a graphical representation of all possible combinations of two goods which can be</w:t>
            </w:r>
            <w:r>
              <w:rPr>
                <w:noProof/>
              </w:rPr>
              <w:t xml:space="preserve"> purchased with given income and prices, such that the cost of each of these combinations is equal to the money income of the consumer.</w:t>
            </w:r>
          </w:p>
          <w:p w:rsidR="003A1527" w:rsidRDefault="003A1527">
            <w:pPr>
              <w:jc w:val="both"/>
              <w:rPr>
                <w:noProof/>
              </w:rPr>
            </w:pPr>
          </w:p>
        </w:tc>
      </w:tr>
      <w:tr w:rsidR="003A1527">
        <w:tc>
          <w:tcPr>
            <w:tcW w:w="2560" w:type="dxa"/>
            <w:tcMar>
              <w:top w:w="85" w:type="dxa"/>
              <w:left w:w="57" w:type="dxa"/>
              <w:bottom w:w="85" w:type="dxa"/>
              <w:right w:w="57" w:type="dxa"/>
            </w:tcMar>
          </w:tcPr>
          <w:p w:rsidR="003A1527" w:rsidRDefault="00742A12">
            <w:pPr>
              <w:rPr>
                <w:noProof/>
              </w:rPr>
            </w:pPr>
            <w:r>
              <w:rPr>
                <w:noProof/>
              </w:rPr>
              <w:t>eHealth</w:t>
            </w:r>
          </w:p>
        </w:tc>
        <w:tc>
          <w:tcPr>
            <w:tcW w:w="6337" w:type="dxa"/>
            <w:tcMar>
              <w:top w:w="85" w:type="dxa"/>
              <w:left w:w="57" w:type="dxa"/>
              <w:bottom w:w="85" w:type="dxa"/>
              <w:right w:w="57" w:type="dxa"/>
            </w:tcMar>
          </w:tcPr>
          <w:p w:rsidR="003A1527" w:rsidRDefault="00742A12">
            <w:pPr>
              <w:jc w:val="both"/>
              <w:rPr>
                <w:noProof/>
              </w:rPr>
            </w:pPr>
            <w:r>
              <w:rPr>
                <w:noProof/>
              </w:rPr>
              <w:t>Digital health and care is the collective term used to refer to tools and services that use information and co</w:t>
            </w:r>
            <w:r>
              <w:rPr>
                <w:noProof/>
              </w:rPr>
              <w:t>mmunication technologies (ICTs) that can improve prevention, diagnosis, treatment, monitoring and management of health and lifestyle. Digital health and care has the potential to improve access to care, quality of care, and increase the efficiency of the h</w:t>
            </w:r>
            <w:r>
              <w:rPr>
                <w:noProof/>
              </w:rPr>
              <w:t>ealth sector.</w:t>
            </w:r>
          </w:p>
          <w:p w:rsidR="003A1527" w:rsidRDefault="003A1527">
            <w:pPr>
              <w:jc w:val="both"/>
              <w:rPr>
                <w:noProof/>
              </w:rPr>
            </w:pPr>
          </w:p>
        </w:tc>
      </w:tr>
      <w:tr w:rsidR="003A1527">
        <w:tc>
          <w:tcPr>
            <w:tcW w:w="2560" w:type="dxa"/>
            <w:tcMar>
              <w:top w:w="85" w:type="dxa"/>
              <w:left w:w="57" w:type="dxa"/>
              <w:bottom w:w="85" w:type="dxa"/>
              <w:right w:w="57" w:type="dxa"/>
            </w:tcMar>
          </w:tcPr>
          <w:p w:rsidR="003A1527" w:rsidRDefault="00742A12">
            <w:pPr>
              <w:rPr>
                <w:noProof/>
              </w:rPr>
            </w:pPr>
            <w:r>
              <w:rPr>
                <w:noProof/>
              </w:rPr>
              <w:t>eHealth Network</w:t>
            </w:r>
          </w:p>
        </w:tc>
        <w:tc>
          <w:tcPr>
            <w:tcW w:w="6337" w:type="dxa"/>
            <w:tcMar>
              <w:top w:w="85" w:type="dxa"/>
              <w:left w:w="57" w:type="dxa"/>
              <w:bottom w:w="85" w:type="dxa"/>
              <w:right w:w="57" w:type="dxa"/>
            </w:tcMar>
          </w:tcPr>
          <w:p w:rsidR="003A1527" w:rsidRDefault="00742A12">
            <w:pPr>
              <w:jc w:val="both"/>
              <w:rPr>
                <w:noProof/>
              </w:rPr>
            </w:pPr>
            <w:r>
              <w:rPr>
                <w:noProof/>
              </w:rPr>
              <w:t>The eHealth Network is a voluntary network, set up under article 14 of Directive 2011/24/EU. It provides a platform of Member States' competent authorities dealing with eHealth. The Joint Action supporting the eHealth Networ</w:t>
            </w:r>
            <w:r>
              <w:rPr>
                <w:noProof/>
              </w:rPr>
              <w:t>k (JAseHN) provides scientific and technical support to the Network.</w:t>
            </w:r>
          </w:p>
        </w:tc>
      </w:tr>
      <w:tr w:rsidR="003A1527">
        <w:tc>
          <w:tcPr>
            <w:tcW w:w="2560" w:type="dxa"/>
            <w:tcMar>
              <w:top w:w="85" w:type="dxa"/>
              <w:left w:w="57" w:type="dxa"/>
              <w:bottom w:w="85" w:type="dxa"/>
              <w:right w:w="57" w:type="dxa"/>
            </w:tcMar>
          </w:tcPr>
          <w:p w:rsidR="003A1527" w:rsidRDefault="00742A12">
            <w:pPr>
              <w:rPr>
                <w:noProof/>
              </w:rPr>
            </w:pPr>
            <w:r>
              <w:rPr>
                <w:noProof/>
              </w:rPr>
              <w:t>European Cancer Information System (ECIS)</w:t>
            </w:r>
          </w:p>
        </w:tc>
        <w:tc>
          <w:tcPr>
            <w:tcW w:w="6337" w:type="dxa"/>
            <w:tcMar>
              <w:top w:w="85" w:type="dxa"/>
              <w:left w:w="57" w:type="dxa"/>
              <w:bottom w:w="85" w:type="dxa"/>
              <w:right w:w="57" w:type="dxa"/>
            </w:tcMar>
          </w:tcPr>
          <w:p w:rsidR="003A1527" w:rsidRDefault="00742A12">
            <w:pPr>
              <w:jc w:val="both"/>
              <w:rPr>
                <w:noProof/>
              </w:rPr>
            </w:pPr>
            <w:r>
              <w:rPr>
                <w:noProof/>
              </w:rPr>
              <w:t>ECIS provides the latest information on indicators that quantify cancer-burden across Europe. It permits the exploration of geographical pattern</w:t>
            </w:r>
            <w:r>
              <w:rPr>
                <w:noProof/>
              </w:rPr>
              <w:t xml:space="preserve">s and temporal trends of incidence, mortality and survival data across Europe for the major cancer entities.  The purpose of the web-application is to support research as well as public-health decision-making in the field of cancer and to serve as a point </w:t>
            </w:r>
            <w:r>
              <w:rPr>
                <w:noProof/>
              </w:rPr>
              <w:t>of reference and information for European citizens.</w:t>
            </w:r>
          </w:p>
          <w:p w:rsidR="003A1527" w:rsidRDefault="003A1527">
            <w:pPr>
              <w:jc w:val="both"/>
              <w:rPr>
                <w:noProof/>
              </w:rPr>
            </w:pPr>
          </w:p>
        </w:tc>
      </w:tr>
      <w:tr w:rsidR="003A1527">
        <w:tc>
          <w:tcPr>
            <w:tcW w:w="2560" w:type="dxa"/>
            <w:tcMar>
              <w:top w:w="85" w:type="dxa"/>
              <w:left w:w="57" w:type="dxa"/>
              <w:bottom w:w="85" w:type="dxa"/>
              <w:right w:w="57" w:type="dxa"/>
            </w:tcMar>
          </w:tcPr>
          <w:p w:rsidR="003A1527" w:rsidRDefault="00742A12">
            <w:pPr>
              <w:rPr>
                <w:noProof/>
              </w:rPr>
            </w:pPr>
            <w:r>
              <w:rPr>
                <w:noProof/>
              </w:rPr>
              <w:t>European Innovation Partnership on Active and Healthy Ageing</w:t>
            </w:r>
          </w:p>
        </w:tc>
        <w:tc>
          <w:tcPr>
            <w:tcW w:w="6337" w:type="dxa"/>
            <w:tcMar>
              <w:top w:w="85" w:type="dxa"/>
              <w:left w:w="57" w:type="dxa"/>
              <w:bottom w:w="85" w:type="dxa"/>
              <w:right w:w="57" w:type="dxa"/>
            </w:tcMar>
          </w:tcPr>
          <w:p w:rsidR="003A1527" w:rsidRDefault="00742A12">
            <w:pPr>
              <w:jc w:val="both"/>
              <w:rPr>
                <w:noProof/>
              </w:rPr>
            </w:pPr>
            <w:r>
              <w:rPr>
                <w:noProof/>
              </w:rPr>
              <w:t xml:space="preserve">The European Innovation Partnership in Active and Healthy Ageing (EIP on AHA) is an initiative launched by the European Commission to foster </w:t>
            </w:r>
            <w:r>
              <w:rPr>
                <w:noProof/>
              </w:rPr>
              <w:t>innovation and digital transformation in the field of active and healthy ageing.</w:t>
            </w:r>
          </w:p>
          <w:p w:rsidR="003A1527" w:rsidRDefault="003A1527">
            <w:pPr>
              <w:jc w:val="both"/>
              <w:rPr>
                <w:noProof/>
              </w:rPr>
            </w:pPr>
          </w:p>
        </w:tc>
      </w:tr>
      <w:tr w:rsidR="003A1527">
        <w:tc>
          <w:tcPr>
            <w:tcW w:w="2560" w:type="dxa"/>
            <w:tcMar>
              <w:top w:w="85" w:type="dxa"/>
              <w:left w:w="57" w:type="dxa"/>
              <w:bottom w:w="85" w:type="dxa"/>
              <w:right w:w="57" w:type="dxa"/>
            </w:tcMar>
          </w:tcPr>
          <w:p w:rsidR="003A1527" w:rsidRDefault="00742A12">
            <w:pPr>
              <w:rPr>
                <w:noProof/>
              </w:rPr>
            </w:pPr>
            <w:r>
              <w:rPr>
                <w:noProof/>
              </w:rPr>
              <w:t>European Pharmacopoeia</w:t>
            </w:r>
          </w:p>
        </w:tc>
        <w:tc>
          <w:tcPr>
            <w:tcW w:w="6337" w:type="dxa"/>
            <w:tcMar>
              <w:top w:w="85" w:type="dxa"/>
              <w:left w:w="57" w:type="dxa"/>
              <w:bottom w:w="85" w:type="dxa"/>
              <w:right w:w="57" w:type="dxa"/>
            </w:tcMar>
          </w:tcPr>
          <w:p w:rsidR="003A1527" w:rsidRDefault="00742A12">
            <w:pPr>
              <w:jc w:val="both"/>
              <w:rPr>
                <w:noProof/>
              </w:rPr>
            </w:pPr>
            <w:r>
              <w:rPr>
                <w:noProof/>
              </w:rPr>
              <w:t>The European Pharmacopoeia (Ph. Eur.) is Europe’s legal and scientific benchmark for pharmacopoeial standards which contribute to delivering high qual</w:t>
            </w:r>
            <w:r>
              <w:rPr>
                <w:noProof/>
              </w:rPr>
              <w:t>ity medicines in Europe and beyond. The Ph. Eur. is applicable in 38 European countries and used in over 100 countries worldwide.</w:t>
            </w:r>
          </w:p>
          <w:p w:rsidR="003A1527" w:rsidRDefault="003A1527">
            <w:pPr>
              <w:jc w:val="both"/>
              <w:rPr>
                <w:noProof/>
              </w:rPr>
            </w:pPr>
          </w:p>
        </w:tc>
      </w:tr>
      <w:tr w:rsidR="003A1527">
        <w:tc>
          <w:tcPr>
            <w:tcW w:w="2560" w:type="dxa"/>
            <w:tcMar>
              <w:top w:w="85" w:type="dxa"/>
              <w:left w:w="57" w:type="dxa"/>
              <w:bottom w:w="85" w:type="dxa"/>
              <w:right w:w="57" w:type="dxa"/>
            </w:tcMar>
          </w:tcPr>
          <w:p w:rsidR="003A1527" w:rsidRDefault="00742A12">
            <w:pPr>
              <w:jc w:val="both"/>
              <w:rPr>
                <w:noProof/>
              </w:rPr>
            </w:pPr>
            <w:r>
              <w:rPr>
                <w:noProof/>
              </w:rPr>
              <w:t>European Reference Network for rare disease</w:t>
            </w:r>
          </w:p>
        </w:tc>
        <w:tc>
          <w:tcPr>
            <w:tcW w:w="6337" w:type="dxa"/>
            <w:tcMar>
              <w:top w:w="85" w:type="dxa"/>
              <w:left w:w="57" w:type="dxa"/>
              <w:bottom w:w="85" w:type="dxa"/>
              <w:right w:w="57" w:type="dxa"/>
            </w:tcMar>
          </w:tcPr>
          <w:p w:rsidR="003A1527" w:rsidRDefault="00742A12">
            <w:pPr>
              <w:jc w:val="both"/>
              <w:rPr>
                <w:noProof/>
              </w:rPr>
            </w:pPr>
            <w:r>
              <w:rPr>
                <w:noProof/>
              </w:rPr>
              <w:t>The European Reference Networks (ERNs) are virtual networks involving healthcare providers across Europe. They aim to facilitate discussion on complex or rare diseases and conditions that require highly specialised treatment, and concentrated knowledge and</w:t>
            </w:r>
            <w:r>
              <w:rPr>
                <w:noProof/>
              </w:rPr>
              <w:t xml:space="preserve"> resources. </w:t>
            </w:r>
          </w:p>
        </w:tc>
      </w:tr>
      <w:tr w:rsidR="003A1527">
        <w:tc>
          <w:tcPr>
            <w:tcW w:w="2560" w:type="dxa"/>
            <w:tcMar>
              <w:top w:w="85" w:type="dxa"/>
              <w:left w:w="57" w:type="dxa"/>
              <w:bottom w:w="85" w:type="dxa"/>
              <w:right w:w="57" w:type="dxa"/>
            </w:tcMar>
          </w:tcPr>
          <w:p w:rsidR="003A1527" w:rsidRDefault="00742A12">
            <w:pPr>
              <w:rPr>
                <w:noProof/>
              </w:rPr>
            </w:pPr>
            <w:r>
              <w:rPr>
                <w:noProof/>
              </w:rPr>
              <w:t>Health Technology Assessments</w:t>
            </w:r>
          </w:p>
        </w:tc>
        <w:tc>
          <w:tcPr>
            <w:tcW w:w="6337" w:type="dxa"/>
            <w:tcMar>
              <w:top w:w="85" w:type="dxa"/>
              <w:left w:w="57" w:type="dxa"/>
              <w:bottom w:w="85" w:type="dxa"/>
              <w:right w:w="57" w:type="dxa"/>
            </w:tcMar>
          </w:tcPr>
          <w:p w:rsidR="003A1527" w:rsidRDefault="00742A12">
            <w:pPr>
              <w:jc w:val="both"/>
              <w:rPr>
                <w:noProof/>
              </w:rPr>
            </w:pPr>
            <w:r>
              <w:rPr>
                <w:noProof/>
              </w:rPr>
              <w:t>Health technology assessment (HTA) is a multidisciplinary process that summarises information about the medical, social, economic and ethical issues related to the use of a health technology in a systematic, tran</w:t>
            </w:r>
            <w:r>
              <w:rPr>
                <w:noProof/>
              </w:rPr>
              <w:t>sparent, unbiased, robust manner. Its aim is to inform the formulation of safe, effective, health policies that are patient focused and seek to achieve best value. (EUnetHTA)</w:t>
            </w:r>
          </w:p>
        </w:tc>
      </w:tr>
      <w:tr w:rsidR="003A1527">
        <w:tc>
          <w:tcPr>
            <w:tcW w:w="2560" w:type="dxa"/>
            <w:tcMar>
              <w:top w:w="85" w:type="dxa"/>
              <w:left w:w="57" w:type="dxa"/>
              <w:bottom w:w="85" w:type="dxa"/>
              <w:right w:w="57" w:type="dxa"/>
            </w:tcMar>
          </w:tcPr>
          <w:p w:rsidR="003A1527" w:rsidRDefault="00742A12">
            <w:pPr>
              <w:rPr>
                <w:noProof/>
              </w:rPr>
            </w:pPr>
            <w:r>
              <w:rPr>
                <w:noProof/>
              </w:rPr>
              <w:t>National Focal Points</w:t>
            </w:r>
          </w:p>
        </w:tc>
        <w:tc>
          <w:tcPr>
            <w:tcW w:w="6337" w:type="dxa"/>
            <w:tcMar>
              <w:top w:w="85" w:type="dxa"/>
              <w:left w:w="57" w:type="dxa"/>
              <w:bottom w:w="85" w:type="dxa"/>
              <w:right w:w="57" w:type="dxa"/>
            </w:tcMar>
          </w:tcPr>
          <w:p w:rsidR="003A1527" w:rsidRDefault="00742A12">
            <w:pPr>
              <w:jc w:val="both"/>
              <w:rPr>
                <w:noProof/>
              </w:rPr>
            </w:pPr>
            <w:r>
              <w:rPr>
                <w:noProof/>
              </w:rPr>
              <w:t>The National Focal Points (NFP) are the national experts f</w:t>
            </w:r>
            <w:r>
              <w:rPr>
                <w:noProof/>
              </w:rPr>
              <w:t>or the Health Programme in member states and participating countries. NFP representatives are appointed by their national health ministries. (CHAFEA)</w:t>
            </w:r>
          </w:p>
        </w:tc>
      </w:tr>
      <w:tr w:rsidR="003A1527">
        <w:tc>
          <w:tcPr>
            <w:tcW w:w="2560" w:type="dxa"/>
            <w:tcMar>
              <w:top w:w="85" w:type="dxa"/>
              <w:left w:w="57" w:type="dxa"/>
              <w:bottom w:w="85" w:type="dxa"/>
              <w:right w:w="57" w:type="dxa"/>
            </w:tcMar>
          </w:tcPr>
          <w:p w:rsidR="003A1527" w:rsidRDefault="00742A12">
            <w:pPr>
              <w:rPr>
                <w:noProof/>
              </w:rPr>
            </w:pPr>
            <w:r>
              <w:rPr>
                <w:noProof/>
              </w:rPr>
              <w:t>One Health Approach</w:t>
            </w:r>
          </w:p>
        </w:tc>
        <w:tc>
          <w:tcPr>
            <w:tcW w:w="6337" w:type="dxa"/>
            <w:tcMar>
              <w:top w:w="85" w:type="dxa"/>
              <w:left w:w="57" w:type="dxa"/>
              <w:bottom w:w="85" w:type="dxa"/>
              <w:right w:w="57" w:type="dxa"/>
            </w:tcMar>
          </w:tcPr>
          <w:p w:rsidR="003A1527" w:rsidRDefault="00742A12">
            <w:pPr>
              <w:jc w:val="both"/>
              <w:rPr>
                <w:noProof/>
              </w:rPr>
            </w:pPr>
            <w:r>
              <w:rPr>
                <w:noProof/>
              </w:rPr>
              <w:t>One Health: is a term used to describe a principle which recognises that human and an</w:t>
            </w:r>
            <w:r>
              <w:rPr>
                <w:noProof/>
              </w:rPr>
              <w:t>imal health are interconnected, that diseases are transmitted from humans to animals and vice versa and must therefore be tackled in both. The One Health approach also encompasses the environment, another link between humans and animals and likewise a pote</w:t>
            </w:r>
            <w:r>
              <w:rPr>
                <w:noProof/>
              </w:rPr>
              <w:t>ntial source of new resistant microorganisms. This term is globally recognised, having been widely used in the EU and in the 2016 United Nations Political Declaration on AMR.</w:t>
            </w:r>
          </w:p>
        </w:tc>
      </w:tr>
      <w:tr w:rsidR="003A1527">
        <w:tc>
          <w:tcPr>
            <w:tcW w:w="2560" w:type="dxa"/>
            <w:tcMar>
              <w:top w:w="85" w:type="dxa"/>
              <w:left w:w="57" w:type="dxa"/>
              <w:bottom w:w="85" w:type="dxa"/>
              <w:right w:w="57" w:type="dxa"/>
            </w:tcMar>
          </w:tcPr>
          <w:p w:rsidR="003A1527" w:rsidRDefault="00742A12">
            <w:pPr>
              <w:rPr>
                <w:noProof/>
              </w:rPr>
            </w:pPr>
            <w:r>
              <w:rPr>
                <w:noProof/>
              </w:rPr>
              <w:t>Scientific Committees set up in accordance with Commission Decision 2008/721/EC</w:t>
            </w:r>
          </w:p>
        </w:tc>
        <w:tc>
          <w:tcPr>
            <w:tcW w:w="6337" w:type="dxa"/>
            <w:tcMar>
              <w:top w:w="85" w:type="dxa"/>
              <w:left w:w="57" w:type="dxa"/>
              <w:bottom w:w="85" w:type="dxa"/>
              <w:right w:w="57" w:type="dxa"/>
            </w:tcMar>
          </w:tcPr>
          <w:p w:rsidR="003A1527" w:rsidRDefault="00742A12">
            <w:pPr>
              <w:jc w:val="both"/>
              <w:rPr>
                <w:noProof/>
              </w:rPr>
            </w:pPr>
            <w:r>
              <w:rPr>
                <w:noProof/>
              </w:rPr>
              <w:t xml:space="preserve">2008/721/EC: Commission Decision of 5 August 2008 setting up an advisory structure of Scientific Committees and experts in the field of consumer safety, public health and the environment and repealing Decision 2004/210/EC </w:t>
            </w:r>
          </w:p>
          <w:p w:rsidR="003A1527" w:rsidRDefault="003A1527">
            <w:pPr>
              <w:jc w:val="both"/>
              <w:rPr>
                <w:noProof/>
              </w:rPr>
            </w:pPr>
          </w:p>
        </w:tc>
      </w:tr>
      <w:tr w:rsidR="003A1527">
        <w:tc>
          <w:tcPr>
            <w:tcW w:w="2560" w:type="dxa"/>
            <w:tcMar>
              <w:top w:w="85" w:type="dxa"/>
              <w:left w:w="57" w:type="dxa"/>
              <w:bottom w:w="85" w:type="dxa"/>
              <w:right w:w="57" w:type="dxa"/>
            </w:tcMar>
          </w:tcPr>
          <w:p w:rsidR="003A1527" w:rsidRDefault="00742A12">
            <w:pPr>
              <w:rPr>
                <w:noProof/>
              </w:rPr>
            </w:pPr>
            <w:r>
              <w:rPr>
                <w:noProof/>
              </w:rPr>
              <w:t>(Seven) EU added value criteria</w:t>
            </w:r>
            <w:r>
              <w:rPr>
                <w:noProof/>
              </w:rPr>
              <w:tab/>
            </w:r>
          </w:p>
          <w:p w:rsidR="003A1527" w:rsidRDefault="003A1527">
            <w:pPr>
              <w:rPr>
                <w:noProof/>
              </w:rPr>
            </w:pPr>
          </w:p>
        </w:tc>
        <w:tc>
          <w:tcPr>
            <w:tcW w:w="6337" w:type="dxa"/>
            <w:tcMar>
              <w:top w:w="85" w:type="dxa"/>
              <w:left w:w="57" w:type="dxa"/>
              <w:bottom w:w="85" w:type="dxa"/>
              <w:right w:w="57" w:type="dxa"/>
            </w:tcMar>
          </w:tcPr>
          <w:p w:rsidR="003A1527" w:rsidRDefault="00742A12">
            <w:pPr>
              <w:jc w:val="both"/>
              <w:rPr>
                <w:noProof/>
              </w:rPr>
            </w:pPr>
            <w:r>
              <w:rPr>
                <w:noProof/>
              </w:rPr>
              <w:t>The EU’s supporting competence in public health means that action can only be justified if it adds value above and beyond what the Member States and other actors could achieve on their own.</w:t>
            </w:r>
          </w:p>
          <w:p w:rsidR="003A1527" w:rsidRDefault="00742A12">
            <w:pPr>
              <w:jc w:val="both"/>
              <w:rPr>
                <w:noProof/>
              </w:rPr>
            </w:pPr>
            <w:r>
              <w:rPr>
                <w:noProof/>
              </w:rPr>
              <w:t xml:space="preserve">The seven EU added value criteria are enshrined in the </w:t>
            </w:r>
            <w:r>
              <w:rPr>
                <w:noProof/>
              </w:rPr>
              <w:t>Regulation (EU) 282/2014 establishing the 3rd Health programme (2014-2020)</w:t>
            </w:r>
          </w:p>
        </w:tc>
      </w:tr>
      <w:tr w:rsidR="003A1527">
        <w:tc>
          <w:tcPr>
            <w:tcW w:w="2560" w:type="dxa"/>
            <w:tcMar>
              <w:top w:w="85" w:type="dxa"/>
              <w:left w:w="57" w:type="dxa"/>
              <w:bottom w:w="85" w:type="dxa"/>
              <w:right w:w="57" w:type="dxa"/>
            </w:tcMar>
          </w:tcPr>
          <w:p w:rsidR="003A1527" w:rsidRDefault="00742A12">
            <w:pPr>
              <w:rPr>
                <w:noProof/>
              </w:rPr>
            </w:pPr>
            <w:r>
              <w:rPr>
                <w:noProof/>
              </w:rPr>
              <w:t>State of Health in Europe cycle</w:t>
            </w:r>
          </w:p>
        </w:tc>
        <w:tc>
          <w:tcPr>
            <w:tcW w:w="6337" w:type="dxa"/>
            <w:tcMar>
              <w:top w:w="85" w:type="dxa"/>
              <w:left w:w="57" w:type="dxa"/>
              <w:bottom w:w="85" w:type="dxa"/>
              <w:right w:w="57" w:type="dxa"/>
            </w:tcMar>
          </w:tcPr>
          <w:p w:rsidR="003A1527" w:rsidRDefault="00742A12">
            <w:pPr>
              <w:jc w:val="both"/>
              <w:rPr>
                <w:noProof/>
              </w:rPr>
            </w:pPr>
            <w:r>
              <w:rPr>
                <w:noProof/>
              </w:rPr>
              <w:t>The State of Health in the EU is a two-year initiative undertaken by the European Commission that provides policy makers, interest groups, and healt</w:t>
            </w:r>
            <w:r>
              <w:rPr>
                <w:noProof/>
              </w:rPr>
              <w:t xml:space="preserve">h practitioners with factual, comparative data and insights into health and health systems in EU countries. The cycle is developed in cooperation with the Organisation for Economic Co-operation and Development (OECD) and the European Observatory on Health </w:t>
            </w:r>
            <w:r>
              <w:rPr>
                <w:noProof/>
              </w:rPr>
              <w:t>Systems and Policies.</w:t>
            </w:r>
          </w:p>
          <w:p w:rsidR="003A1527" w:rsidRDefault="003A1527">
            <w:pPr>
              <w:rPr>
                <w:noProof/>
              </w:rPr>
            </w:pPr>
          </w:p>
        </w:tc>
      </w:tr>
      <w:tr w:rsidR="003A1527">
        <w:tc>
          <w:tcPr>
            <w:tcW w:w="2560" w:type="dxa"/>
            <w:tcMar>
              <w:top w:w="85" w:type="dxa"/>
              <w:left w:w="57" w:type="dxa"/>
              <w:bottom w:w="85" w:type="dxa"/>
              <w:right w:w="57" w:type="dxa"/>
            </w:tcMar>
          </w:tcPr>
          <w:p w:rsidR="003A1527" w:rsidRDefault="00742A12">
            <w:pPr>
              <w:jc w:val="both"/>
              <w:rPr>
                <w:noProof/>
              </w:rPr>
            </w:pPr>
            <w:r>
              <w:rPr>
                <w:noProof/>
              </w:rPr>
              <w:t>The 3rd Health programme (2014-2020)</w:t>
            </w:r>
          </w:p>
        </w:tc>
        <w:tc>
          <w:tcPr>
            <w:tcW w:w="6337" w:type="dxa"/>
            <w:tcMar>
              <w:top w:w="85" w:type="dxa"/>
              <w:left w:w="57" w:type="dxa"/>
              <w:bottom w:w="85" w:type="dxa"/>
              <w:right w:w="57" w:type="dxa"/>
            </w:tcMar>
          </w:tcPr>
          <w:p w:rsidR="003A1527" w:rsidRDefault="00742A12">
            <w:pPr>
              <w:jc w:val="both"/>
              <w:rPr>
                <w:noProof/>
              </w:rPr>
            </w:pPr>
            <w:r>
              <w:rPr>
                <w:noProof/>
              </w:rPr>
              <w:t>The Third EU Health Programme (2014-2020) is the main instrument that the Commission uses to implement the EU Health Strategy. Annual work plans of the Programme set out priority areas and the cr</w:t>
            </w:r>
            <w:r>
              <w:rPr>
                <w:noProof/>
              </w:rPr>
              <w:t>iteria for its funding actions.</w:t>
            </w:r>
          </w:p>
          <w:p w:rsidR="003A1527" w:rsidRDefault="003A1527">
            <w:pPr>
              <w:jc w:val="both"/>
              <w:rPr>
                <w:noProof/>
              </w:rPr>
            </w:pPr>
          </w:p>
        </w:tc>
      </w:tr>
    </w:tbl>
    <w:p w:rsidR="003A1527" w:rsidRDefault="003A1527">
      <w:pPr>
        <w:pStyle w:val="Heading1"/>
        <w:keepLines w:val="0"/>
        <w:spacing w:before="240" w:after="240"/>
        <w:jc w:val="both"/>
        <w:rPr>
          <w:noProof/>
        </w:rPr>
      </w:pPr>
      <w:bookmarkStart w:id="112" w:name="_Toc509833015"/>
      <w:bookmarkStart w:id="113" w:name="_Toc509846513"/>
      <w:bookmarkStart w:id="114" w:name="_Toc513214956"/>
    </w:p>
    <w:p w:rsidR="003A1527" w:rsidRDefault="00742A12">
      <w:pPr>
        <w:pStyle w:val="BodyText2"/>
        <w:rPr>
          <w:b/>
        </w:rPr>
      </w:pPr>
      <w:r>
        <w:rPr>
          <w:b/>
        </w:rPr>
        <w:t>1. Introduction: Political and legal context</w:t>
      </w:r>
      <w:bookmarkStart w:id="115" w:name="_Toc382372578"/>
      <w:bookmarkEnd w:id="111"/>
      <w:bookmarkEnd w:id="112"/>
      <w:bookmarkEnd w:id="113"/>
      <w:bookmarkEnd w:id="114"/>
    </w:p>
    <w:p w:rsidR="003A1527" w:rsidRDefault="003A1527">
      <w:pPr>
        <w:pStyle w:val="BodyText2"/>
        <w:rPr>
          <w:b/>
        </w:rPr>
      </w:pPr>
    </w:p>
    <w:p w:rsidR="003A1527" w:rsidRDefault="00742A12">
      <w:pPr>
        <w:pStyle w:val="BodyText2"/>
        <w:rPr>
          <w:b/>
        </w:rPr>
      </w:pPr>
      <w:r>
        <w:rPr>
          <w:b/>
        </w:rPr>
        <w:t>1.1 Scope and context</w:t>
      </w:r>
      <w:bookmarkEnd w:id="115"/>
    </w:p>
    <w:p w:rsidR="003A1527" w:rsidRDefault="00742A12">
      <w:pPr>
        <w:pStyle w:val="Text2"/>
        <w:spacing w:before="120" w:after="0" w:line="240" w:lineRule="auto"/>
        <w:ind w:left="0"/>
        <w:rPr>
          <w:noProof/>
          <w:szCs w:val="24"/>
        </w:rPr>
      </w:pPr>
      <w:r>
        <w:rPr>
          <w:noProof/>
          <w:szCs w:val="24"/>
        </w:rPr>
        <w:t>Health is a strategic component of growth for the Internal Market and an invaluable resource for the society. The Treaty of Lisbon has enhanced the impor</w:t>
      </w:r>
      <w:r>
        <w:rPr>
          <w:noProof/>
          <w:szCs w:val="24"/>
        </w:rPr>
        <w:t>tance of health policy, stipulating that “a high level of human health protection shall be ensured in the definition and implementation of all Community policies and activities” (Article 168 of TFEU). The EU has an important role to play in improving publi</w:t>
      </w:r>
      <w:r>
        <w:rPr>
          <w:noProof/>
          <w:szCs w:val="24"/>
        </w:rPr>
        <w:t>c health, preventing and managing diseases, mitigating sources of danger to human health, including by harmonising legislation on tobacco, medicinal products, medical devices, substances of human origin and patients' rights in cross-border healthcare, area</w:t>
      </w:r>
      <w:r>
        <w:rPr>
          <w:noProof/>
          <w:szCs w:val="24"/>
        </w:rPr>
        <w:t xml:space="preserve">s where health policies are directly linked with the Internal Market (Article 114 of TFEU). </w:t>
      </w:r>
    </w:p>
    <w:p w:rsidR="003A1527" w:rsidRDefault="00742A12">
      <w:pPr>
        <w:pStyle w:val="Text2"/>
        <w:spacing w:before="120" w:after="0" w:line="240" w:lineRule="auto"/>
        <w:ind w:left="0"/>
        <w:rPr>
          <w:noProof/>
          <w:szCs w:val="24"/>
        </w:rPr>
      </w:pPr>
      <w:r>
        <w:rPr>
          <w:noProof/>
          <w:szCs w:val="24"/>
        </w:rPr>
        <w:t>More generally, the Treaty's health objectives are to be achieved through action intended to support Member States' policies and to foster cooperation and integrat</w:t>
      </w:r>
      <w:r>
        <w:rPr>
          <w:noProof/>
          <w:szCs w:val="24"/>
        </w:rPr>
        <w:t xml:space="preserve">ed work, since the primary responsibility for health protection and, in particular, for the operation of the healthcare systems continues to lie with the Member States. </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National authorities acknowledge more and more the need to cooperate, use expertise and mutualise resources to respond to the cross-border and global dimension of health issues and also to fully develop and benefit from opportunities offered by the digital</w:t>
      </w:r>
      <w:r>
        <w:rPr>
          <w:noProof/>
          <w:szCs w:val="24"/>
        </w:rPr>
        <w:t xml:space="preserve"> market, the rapid development of health technologies, the sharing and implementation of evidence-based best practices for achieving a "high level of human health protection", and aim to </w:t>
      </w:r>
      <w:r>
        <w:rPr>
          <w:noProof/>
        </w:rPr>
        <w:t>e</w:t>
      </w:r>
      <w:r>
        <w:rPr>
          <w:noProof/>
          <w:szCs w:val="24"/>
        </w:rPr>
        <w:t xml:space="preserve">nsure healthy lives and promote well-being for all at all ages. </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w:t>
      </w:r>
      <w:r>
        <w:rPr>
          <w:noProof/>
          <w:szCs w:val="24"/>
        </w:rPr>
        <w:t>e EU has successfully implemented a comprehensive health policy, through the 3</w:t>
      </w:r>
      <w:r>
        <w:rPr>
          <w:noProof/>
          <w:szCs w:val="24"/>
          <w:vertAlign w:val="superscript"/>
        </w:rPr>
        <w:t>rd</w:t>
      </w:r>
      <w:r>
        <w:rPr>
          <w:noProof/>
          <w:szCs w:val="24"/>
        </w:rPr>
        <w:t xml:space="preserve"> Health programme (2014-2020) by bringing together relevant stakeholders and Member States authorities to work on prioritised health issues. Through the Health Programme, the E</w:t>
      </w:r>
      <w:r>
        <w:rPr>
          <w:noProof/>
          <w:szCs w:val="24"/>
        </w:rPr>
        <w:t xml:space="preserve">U helps Member States to develop their initiatives at EU level for more cost-effective solutions to common health concerns, </w:t>
      </w:r>
      <w:r>
        <w:rPr>
          <w:i/>
          <w:noProof/>
          <w:szCs w:val="24"/>
        </w:rPr>
        <w:t>e.g.</w:t>
      </w:r>
      <w:r>
        <w:rPr>
          <w:noProof/>
          <w:szCs w:val="24"/>
        </w:rPr>
        <w:t xml:space="preserve"> the establishment of European Reference Networks for rare diseases, the effective response to cross-border health threats as in</w:t>
      </w:r>
      <w:r>
        <w:rPr>
          <w:noProof/>
          <w:szCs w:val="24"/>
        </w:rPr>
        <w:t xml:space="preserve"> the case of Ebola and Zika viruses outbreaks, the cancer screening guidelines, the joint Health Technology Assessments, etc.</w:t>
      </w:r>
    </w:p>
    <w:p w:rsidR="003A1527" w:rsidRDefault="003A1527">
      <w:pPr>
        <w:pStyle w:val="Heading2"/>
        <w:keepLines w:val="0"/>
        <w:tabs>
          <w:tab w:val="num" w:pos="862"/>
        </w:tabs>
        <w:spacing w:before="0"/>
        <w:jc w:val="both"/>
        <w:rPr>
          <w:noProof/>
        </w:rPr>
      </w:pPr>
      <w:bookmarkStart w:id="116" w:name="_Toc382372579"/>
    </w:p>
    <w:p w:rsidR="003A1527" w:rsidRDefault="00742A12">
      <w:pPr>
        <w:pStyle w:val="BodyText2"/>
        <w:rPr>
          <w:b/>
        </w:rPr>
      </w:pPr>
      <w:r>
        <w:rPr>
          <w:b/>
        </w:rPr>
        <w:t>1.2 Lessons learned from previous programmes</w:t>
      </w:r>
      <w:bookmarkEnd w:id="116"/>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The mid-term evaluation of the 3</w:t>
      </w:r>
      <w:r>
        <w:rPr>
          <w:noProof/>
          <w:szCs w:val="24"/>
          <w:vertAlign w:val="superscript"/>
        </w:rPr>
        <w:t>rd</w:t>
      </w:r>
      <w:r>
        <w:rPr>
          <w:noProof/>
          <w:szCs w:val="24"/>
        </w:rPr>
        <w:t xml:space="preserve"> Health Programme</w:t>
      </w:r>
      <w:r>
        <w:rPr>
          <w:noProof/>
          <w:szCs w:val="24"/>
          <w:vertAlign w:val="superscript"/>
        </w:rPr>
        <w:footnoteReference w:id="171"/>
      </w:r>
      <w:r>
        <w:rPr>
          <w:noProof/>
          <w:szCs w:val="24"/>
        </w:rPr>
        <w:t xml:space="preserve"> concluded that the Programme h</w:t>
      </w:r>
      <w:r>
        <w:rPr>
          <w:noProof/>
          <w:szCs w:val="24"/>
        </w:rPr>
        <w:t>as overall valid and appropriate objectives in place leading to actions which are relatively focused and generate EU added value while accommodating existing needs and challenges. The 3</w:t>
      </w:r>
      <w:r>
        <w:rPr>
          <w:noProof/>
          <w:szCs w:val="24"/>
          <w:vertAlign w:val="superscript"/>
        </w:rPr>
        <w:t>rd</w:t>
      </w:r>
      <w:r>
        <w:rPr>
          <w:noProof/>
          <w:szCs w:val="24"/>
        </w:rPr>
        <w:t xml:space="preserve"> Health Programme, currently running will end in 2020.</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Compared with</w:t>
      </w:r>
      <w:r>
        <w:rPr>
          <w:noProof/>
          <w:szCs w:val="24"/>
        </w:rPr>
        <w:t xml:space="preserve"> previous health programmes, the 23 thematic priorities of the 3</w:t>
      </w:r>
      <w:r>
        <w:rPr>
          <w:noProof/>
          <w:szCs w:val="24"/>
          <w:vertAlign w:val="superscript"/>
        </w:rPr>
        <w:t>rd</w:t>
      </w:r>
      <w:r>
        <w:rPr>
          <w:noProof/>
          <w:szCs w:val="24"/>
        </w:rPr>
        <w:t xml:space="preserve"> Health Programme are a positive development and facilitate synergies and coherent action. However, these could still be streamlined and focused even more. The structure in place has support</w:t>
      </w:r>
      <w:r>
        <w:rPr>
          <w:noProof/>
          <w:szCs w:val="24"/>
        </w:rPr>
        <w:t>ed relevant actions, especially in fields where there is legislative clarity and/or a clear cross-border dimension. In non-legislative areas where action can be more open-ended or broadly defined, there is a danger of those actions being less focused.</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The</w:t>
      </w:r>
      <w:r>
        <w:rPr>
          <w:noProof/>
          <w:szCs w:val="24"/>
        </w:rPr>
        <w:t xml:space="preserve"> Annual Work Programmes (AWP) and Multi-Annual Planning (MAP) processes implementing the 3</w:t>
      </w:r>
      <w:r>
        <w:rPr>
          <w:noProof/>
          <w:szCs w:val="24"/>
          <w:vertAlign w:val="superscript"/>
        </w:rPr>
        <w:t>rd</w:t>
      </w:r>
      <w:r>
        <w:rPr>
          <w:noProof/>
          <w:szCs w:val="24"/>
        </w:rPr>
        <w:t xml:space="preserve"> Health Programme work well. The MAP in particular has enabled a more strategic approach to medium-term planning. The AWP process is already clear, well-defined and</w:t>
      </w:r>
      <w:r>
        <w:rPr>
          <w:noProof/>
          <w:szCs w:val="24"/>
        </w:rPr>
        <w:t xml:space="preserve"> impartial but to avoid confusion and ensure greater buy-in, the process needs to be better explained to stakeholders.</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The mid-term evaluation shows that the exceptional utility criteria</w:t>
      </w:r>
      <w:r>
        <w:rPr>
          <w:rStyle w:val="FootnoteReference"/>
          <w:noProof/>
          <w:szCs w:val="24"/>
        </w:rPr>
        <w:footnoteReference w:id="172"/>
      </w:r>
      <w:r>
        <w:rPr>
          <w:noProof/>
          <w:szCs w:val="24"/>
        </w:rPr>
        <w:t xml:space="preserve"> for attracting participation from low gross national income (GNI) c</w:t>
      </w:r>
      <w:r>
        <w:rPr>
          <w:noProof/>
          <w:szCs w:val="24"/>
        </w:rPr>
        <w:t>ountries have not been sufficiently effective so far. However, despite the difficult economic context and the significant barrier of assuring the remaining co-financing, the programme is still attracting a similar level of participation from low GNI countr</w:t>
      </w:r>
      <w:r>
        <w:rPr>
          <w:noProof/>
          <w:szCs w:val="24"/>
        </w:rPr>
        <w:t>ies as in the previous programme. Additional improvements are needed, since securing co-funding is only one part of the explanation for lower participation.</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The 3</w:t>
      </w:r>
      <w:r>
        <w:rPr>
          <w:noProof/>
          <w:szCs w:val="24"/>
          <w:vertAlign w:val="superscript"/>
        </w:rPr>
        <w:t>rd</w:t>
      </w:r>
      <w:r>
        <w:rPr>
          <w:noProof/>
          <w:szCs w:val="24"/>
        </w:rPr>
        <w:t xml:space="preserve"> Health Programme has already delivered significant progress by, for instance, establishing</w:t>
      </w:r>
      <w:r>
        <w:rPr>
          <w:noProof/>
          <w:szCs w:val="24"/>
        </w:rPr>
        <w:t xml:space="preserve"> European Reference Networks, adopting new legislation on Health Technology Assessment, and by supporting capacity building of Member States to respond to outbreaks and continuous updating of skills to take into account emergent issues such as the migrant </w:t>
      </w:r>
      <w:r>
        <w:rPr>
          <w:noProof/>
          <w:szCs w:val="24"/>
        </w:rPr>
        <w:t xml:space="preserve">crisis. </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The allocation of resources in the 3</w:t>
      </w:r>
      <w:r>
        <w:rPr>
          <w:noProof/>
          <w:szCs w:val="24"/>
          <w:vertAlign w:val="superscript"/>
        </w:rPr>
        <w:t>rd</w:t>
      </w:r>
      <w:r>
        <w:rPr>
          <w:noProof/>
          <w:szCs w:val="24"/>
        </w:rPr>
        <w:t xml:space="preserve"> Health Programme has been found to be efficient overall and the programme management has been mostly effective and has improved since the previous 2</w:t>
      </w:r>
      <w:r>
        <w:rPr>
          <w:noProof/>
          <w:szCs w:val="24"/>
          <w:vertAlign w:val="superscript"/>
        </w:rPr>
        <w:t>nd</w:t>
      </w:r>
      <w:r>
        <w:rPr>
          <w:noProof/>
          <w:szCs w:val="24"/>
        </w:rPr>
        <w:t xml:space="preserve"> Health Programme 2008-2013. For instance, new indicators</w:t>
      </w:r>
      <w:r>
        <w:rPr>
          <w:noProof/>
          <w:szCs w:val="24"/>
        </w:rPr>
        <w:t xml:space="preserve"> are in place for monitoring the health programme and its specific actions.</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Nevertheless, there are inefficiencies and inadequacies with the monitoring of implementation data, which holds back the ability of programme managers to keep an up-to-date overvi</w:t>
      </w:r>
      <w:r>
        <w:rPr>
          <w:noProof/>
          <w:szCs w:val="24"/>
        </w:rPr>
        <w:t>ew of the programme's achievements. This will be appropriately addressed. While significant strides have been made to ramp up dissemination, going forward and delivering progress in this area must be prioritised.</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Furthermore the ongoing health programme h</w:t>
      </w:r>
      <w:r>
        <w:rPr>
          <w:noProof/>
          <w:szCs w:val="24"/>
        </w:rPr>
        <w:t>as already been increasing its ability to target important health needs where it can add value (e.g. antimicrobial resistance, e-health, accreditation schemes for breast cancer screening, etc.). The fact that the seven EU added value criteria are written i</w:t>
      </w:r>
      <w:r>
        <w:rPr>
          <w:noProof/>
          <w:szCs w:val="24"/>
        </w:rPr>
        <w:t>nto the regulation and are built into the proposal evaluation process are positive achievements allowing potential beneficiaries to appropriately consider EU added value when preparing their proposals and in turn, for assessment panels to take it into acco</w:t>
      </w:r>
      <w:r>
        <w:rPr>
          <w:noProof/>
          <w:szCs w:val="24"/>
        </w:rPr>
        <w:t>unt as part of the decision to award funding. However, there is scope to streamline the added-value criteria to focus on three key areas: addressing cross-border health threats; improving economies of scale; and fostering the exchange and implementation of</w:t>
      </w:r>
      <w:r>
        <w:rPr>
          <w:noProof/>
          <w:szCs w:val="24"/>
        </w:rPr>
        <w:t xml:space="preserve"> best practices. This will make it easier to provide clear guidance of what the criteria mean and make it easier for them to be addressed more effectively.</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The 3</w:t>
      </w:r>
      <w:r>
        <w:rPr>
          <w:noProof/>
          <w:szCs w:val="24"/>
          <w:vertAlign w:val="superscript"/>
        </w:rPr>
        <w:t>rd</w:t>
      </w:r>
      <w:r>
        <w:rPr>
          <w:noProof/>
          <w:szCs w:val="24"/>
        </w:rPr>
        <w:t xml:space="preserve"> Health Programme has been found by the mid-term evaluation to be internally coherent, in pa</w:t>
      </w:r>
      <w:r>
        <w:rPr>
          <w:noProof/>
          <w:szCs w:val="24"/>
        </w:rPr>
        <w:t>rt due to the revised structure of the programme. However, where the definition of action remains broad and ambitious, results are, harder to achieve. The 3</w:t>
      </w:r>
      <w:r>
        <w:rPr>
          <w:noProof/>
          <w:szCs w:val="24"/>
          <w:vertAlign w:val="superscript"/>
        </w:rPr>
        <w:t>rd</w:t>
      </w:r>
      <w:r>
        <w:rPr>
          <w:noProof/>
          <w:szCs w:val="24"/>
        </w:rPr>
        <w:t xml:space="preserve"> Health Programme is also coherent with the Commission’s policy priorities and has been shown to be an effective tool to respond to evolving needs.</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rPr>
      </w:pPr>
      <w:r>
        <w:rPr>
          <w:noProof/>
          <w:szCs w:val="24"/>
        </w:rPr>
        <w:t>Stakeholders participated in the mid-term evaluation through various consultations</w:t>
      </w:r>
      <w:r>
        <w:rPr>
          <w:rStyle w:val="FootnoteReference"/>
          <w:noProof/>
          <w:szCs w:val="24"/>
        </w:rPr>
        <w:footnoteReference w:id="173"/>
      </w:r>
      <w:r>
        <w:rPr>
          <w:noProof/>
          <w:szCs w:val="24"/>
        </w:rPr>
        <w:t>, including an open publ</w:t>
      </w:r>
      <w:r>
        <w:rPr>
          <w:noProof/>
          <w:szCs w:val="24"/>
        </w:rPr>
        <w:t xml:space="preserve">ic consultation which covered </w:t>
      </w:r>
      <w:r>
        <w:rPr>
          <w:noProof/>
        </w:rPr>
        <w:t xml:space="preserve">aspects relating to the relevance, added value, efficiency, effectiveness, and coherence of the programme. This consultation engaged </w:t>
      </w:r>
      <w:r>
        <w:rPr>
          <w:noProof/>
          <w:szCs w:val="24"/>
        </w:rPr>
        <w:t>institutional stakeholders, notably the Programme Committee members and National Focal Points</w:t>
      </w:r>
      <w:r>
        <w:rPr>
          <w:noProof/>
          <w:szCs w:val="24"/>
        </w:rPr>
        <w:t xml:space="preserve"> and grant beneficiaries. The stakeholders involved in the funded activities, especially non-governmental organisations, public health authorities, academic and research organisations, international organisations, professional associations, private compani</w:t>
      </w:r>
      <w:r>
        <w:rPr>
          <w:noProof/>
          <w:szCs w:val="24"/>
        </w:rPr>
        <w:t>es and individual persons were also consulted through the open public consultation. In addition, targeted on-line consultations with public health experts and e-surveys with National Focal Points and Programme Committee members were conducted as part of th</w:t>
      </w:r>
      <w:r>
        <w:rPr>
          <w:noProof/>
          <w:szCs w:val="24"/>
        </w:rPr>
        <w:t xml:space="preserve">e external evaluation study. These were complemented by targeted interviews of Commission and International Health Organisation officers, and grant recipients (beneficiaries), mainly project leaders and coordinators of actions funded under the Programme. </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noProof/>
          <w:szCs w:val="24"/>
        </w:rPr>
      </w:pPr>
      <w:r>
        <w:rPr>
          <w:noProof/>
          <w:szCs w:val="24"/>
        </w:rPr>
        <w:t xml:space="preserve">In the open public consultation Member States and EU stakeholders have declared an overwhelming support for EU health policies confirming that the cooperation in the area of health is essential and should be maintained (70%). The EU should continue </w:t>
      </w:r>
      <w:r>
        <w:rPr>
          <w:noProof/>
          <w:szCs w:val="24"/>
        </w:rPr>
        <w:t>supporting important health-related challenges facing EU citizens, governments and health systems reflected in the formulation of the Programme’s objectives.</w:t>
      </w:r>
      <w:r>
        <w:rPr>
          <w:rStyle w:val="FootnoteReference"/>
          <w:noProof/>
          <w:szCs w:val="24"/>
        </w:rPr>
        <w:footnoteReference w:id="174"/>
      </w:r>
    </w:p>
    <w:p w:rsidR="003A1527" w:rsidRDefault="003A1527">
      <w:pPr>
        <w:pStyle w:val="Text2"/>
        <w:spacing w:after="0" w:line="240" w:lineRule="auto"/>
        <w:ind w:left="0"/>
        <w:rPr>
          <w:b/>
          <w:noProof/>
        </w:rPr>
      </w:pPr>
    </w:p>
    <w:p w:rsidR="003A1527" w:rsidRDefault="003A1527">
      <w:pPr>
        <w:spacing w:after="0" w:line="240" w:lineRule="auto"/>
        <w:rPr>
          <w:rFonts w:ascii="Times New Roman" w:hAnsi="Times New Roman" w:cs="Times New Roman"/>
          <w:noProof/>
        </w:rPr>
      </w:pPr>
    </w:p>
    <w:p w:rsidR="003A1527" w:rsidRDefault="00742A12">
      <w:pPr>
        <w:pStyle w:val="BodyText2"/>
        <w:rPr>
          <w:b/>
        </w:rPr>
      </w:pPr>
      <w:bookmarkStart w:id="117" w:name="_Toc382372580"/>
      <w:bookmarkStart w:id="118" w:name="_Toc509833016"/>
      <w:bookmarkStart w:id="119" w:name="_Toc509846514"/>
      <w:bookmarkStart w:id="120" w:name="_Toc513214957"/>
      <w:r>
        <w:rPr>
          <w:b/>
        </w:rPr>
        <w:t>2. The objectives</w:t>
      </w:r>
      <w:bookmarkEnd w:id="117"/>
      <w:bookmarkEnd w:id="118"/>
      <w:bookmarkEnd w:id="119"/>
      <w:bookmarkEnd w:id="120"/>
    </w:p>
    <w:p w:rsidR="003A1527" w:rsidRDefault="003A1527">
      <w:pPr>
        <w:pStyle w:val="BodyText2"/>
        <w:rPr>
          <w:b/>
          <w:color w:val="auto"/>
        </w:rPr>
      </w:pPr>
      <w:bookmarkStart w:id="121" w:name="_Toc382372581"/>
    </w:p>
    <w:p w:rsidR="003A1527" w:rsidRDefault="00742A12">
      <w:pPr>
        <w:pStyle w:val="BodyText2"/>
        <w:rPr>
          <w:b/>
          <w:color w:val="auto"/>
        </w:rPr>
      </w:pPr>
      <w:r>
        <w:rPr>
          <w:b/>
          <w:color w:val="auto"/>
        </w:rPr>
        <w:t>2.1 Challenges for the programmes of the next MFF</w:t>
      </w:r>
      <w:bookmarkEnd w:id="121"/>
      <w:r>
        <w:rPr>
          <w:b/>
          <w:color w:val="auto"/>
        </w:rPr>
        <w:t xml:space="preserve"> </w:t>
      </w:r>
    </w:p>
    <w:p w:rsidR="003A1527" w:rsidRDefault="003A1527">
      <w:pPr>
        <w:pStyle w:val="Text2"/>
        <w:spacing w:after="0" w:line="240" w:lineRule="auto"/>
        <w:ind w:left="0"/>
        <w:rPr>
          <w:b/>
          <w:noProof/>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Health Progr</w:t>
      </w:r>
      <w:r>
        <w:rPr>
          <w:rFonts w:ascii="Times New Roman" w:hAnsi="Times New Roman" w:cs="Times New Roman"/>
          <w:noProof/>
          <w:sz w:val="24"/>
          <w:szCs w:val="24"/>
        </w:rPr>
        <w:t>amme (2014-2020) is the third programme of EU action in the field of health, established by Regulation (EU) N° 282/2014</w:t>
      </w:r>
      <w:r>
        <w:rPr>
          <w:rStyle w:val="FootnoteReference"/>
          <w:rFonts w:ascii="Times New Roman" w:hAnsi="Times New Roman" w:cs="Times New Roman"/>
          <w:noProof/>
          <w:sz w:val="24"/>
          <w:szCs w:val="24"/>
        </w:rPr>
        <w:footnoteReference w:id="175"/>
      </w:r>
      <w:r>
        <w:rPr>
          <w:rFonts w:ascii="Times New Roman" w:hAnsi="Times New Roman" w:cs="Times New Roman"/>
          <w:noProof/>
          <w:sz w:val="24"/>
          <w:szCs w:val="24"/>
        </w:rPr>
        <w:t>. With a budget of EUR 449.4 million over seven years, it is the Commission's main financial instrument to underpin and support EU healt</w:t>
      </w:r>
      <w:r>
        <w:rPr>
          <w:rFonts w:ascii="Times New Roman" w:hAnsi="Times New Roman" w:cs="Times New Roman"/>
          <w:noProof/>
          <w:sz w:val="24"/>
          <w:szCs w:val="24"/>
        </w:rPr>
        <w:t>h policy development. Designed to help inter alia Member States in investing in health, the programme contributes to the Europe 2020 objective of smart, sustainable and inclusive growth. The ongoing programme aims to complement, support and add value to th</w:t>
      </w:r>
      <w:r>
        <w:rPr>
          <w:rFonts w:ascii="Times New Roman" w:hAnsi="Times New Roman" w:cs="Times New Roman"/>
          <w:noProof/>
          <w:sz w:val="24"/>
          <w:szCs w:val="24"/>
        </w:rPr>
        <w:t xml:space="preserve">e Member States policies, in terms of improving the health of EU citizens and reducing health inequalities. The specific objectives and their financial envelopes for the period 2014-2016 are the following: </w:t>
      </w:r>
    </w:p>
    <w:p w:rsidR="003A1527" w:rsidRDefault="003A1527">
      <w:pPr>
        <w:spacing w:after="0" w:line="240" w:lineRule="auto"/>
        <w:jc w:val="both"/>
        <w:rPr>
          <w:rFonts w:ascii="Times New Roman" w:hAnsi="Times New Roman" w:cs="Times New Roman"/>
          <w:noProof/>
          <w:sz w:val="24"/>
          <w:szCs w:val="24"/>
        </w:rPr>
      </w:pPr>
    </w:p>
    <w:p w:rsidR="003A1527" w:rsidRDefault="00742A12">
      <w:pPr>
        <w:pStyle w:val="ListParagraph"/>
        <w:numPr>
          <w:ilvl w:val="0"/>
          <w:numId w:val="3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health and healthy living and prevent di</w:t>
      </w:r>
      <w:r>
        <w:rPr>
          <w:rFonts w:ascii="Times New Roman" w:hAnsi="Times New Roman" w:cs="Times New Roman"/>
          <w:noProof/>
          <w:sz w:val="24"/>
          <w:szCs w:val="24"/>
        </w:rPr>
        <w:t xml:space="preserve">seases (€54.1 million; from which (€16.8 million in 2014, €12.7 million in 2015 and €24.6 million 2016); </w:t>
      </w:r>
    </w:p>
    <w:p w:rsidR="003A1527" w:rsidRDefault="00742A12">
      <w:pPr>
        <w:pStyle w:val="ListParagraph"/>
        <w:numPr>
          <w:ilvl w:val="0"/>
          <w:numId w:val="3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protect Europeans from serious cross-border health threats (€11.1 million; from which €5.3 million 2014, €1.4 million in 2015 and €4.4 million 2016); </w:t>
      </w:r>
    </w:p>
    <w:p w:rsidR="003A1527" w:rsidRDefault="00742A12">
      <w:pPr>
        <w:pStyle w:val="ListParagraph"/>
        <w:numPr>
          <w:ilvl w:val="0"/>
          <w:numId w:val="3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contribute to innovative, efficient and sustainable health systems (€52.1 million; from which €17.6 million in 2014, €25.2 million in 2015 and €9.3 million 2016); and </w:t>
      </w:r>
    </w:p>
    <w:p w:rsidR="003A1527" w:rsidRDefault="00742A12">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facilitate access to better and safer healthcare for Europeans (€31.3 million; from whi</w:t>
      </w:r>
      <w:r>
        <w:rPr>
          <w:rFonts w:ascii="Times New Roman" w:hAnsi="Times New Roman"/>
          <w:noProof/>
          <w:sz w:val="24"/>
        </w:rPr>
        <w:t>ch €10.5 million in 2014, €6.2 million in 2015 and €14.6 million 2016); horizontal activities</w:t>
      </w:r>
      <w:r>
        <w:rPr>
          <w:rFonts w:ascii="Times New Roman" w:hAnsi="Times New Roman" w:cs="Times New Roman"/>
          <w:noProof/>
          <w:sz w:val="24"/>
          <w:szCs w:val="24"/>
        </w:rPr>
        <w:t xml:space="preserve"> </w:t>
      </w:r>
      <w:r>
        <w:rPr>
          <w:rFonts w:ascii="Times New Roman" w:hAnsi="Times New Roman"/>
          <w:noProof/>
          <w:sz w:val="24"/>
        </w:rPr>
        <w:t>(€17.3 million; from which €3.7 million in 2014, €10 million in 2015 and €3.6 million 2016).</w:t>
      </w:r>
    </w:p>
    <w:p w:rsidR="003A1527" w:rsidRDefault="00742A12">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total budget of €100 million remains to be spent until the end of t</w:t>
      </w:r>
      <w:r>
        <w:rPr>
          <w:rFonts w:ascii="Times New Roman" w:hAnsi="Times New Roman" w:cs="Times New Roman"/>
          <w:noProof/>
          <w:sz w:val="24"/>
          <w:szCs w:val="24"/>
        </w:rPr>
        <w:t>he current financial EU framework.</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four objectives are currently served by 23 thematic priorities, listed in Annex I to Regulation (EC) N° 282/2014: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Objective 1: Promote health, prevent disease and foster supportive environments for healthy </w:t>
      </w:r>
      <w:r>
        <w:rPr>
          <w:rFonts w:ascii="Times New Roman" w:hAnsi="Times New Roman" w:cs="Times New Roman"/>
          <w:b/>
          <w:noProof/>
          <w:sz w:val="24"/>
          <w:szCs w:val="24"/>
        </w:rPr>
        <w:t>lifestyles</w:t>
      </w:r>
    </w:p>
    <w:p w:rsidR="003A1527" w:rsidRDefault="00742A12">
      <w:pPr>
        <w:pStyle w:val="ListParagraph"/>
        <w:numPr>
          <w:ilvl w:val="0"/>
          <w:numId w:val="42"/>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Risk factors such as use of tobacco and passive smoking, harmful use of alcohol, unhealthy dietary habits and physical inactivity</w:t>
      </w:r>
    </w:p>
    <w:p w:rsidR="003A1527" w:rsidRDefault="00742A12">
      <w:pPr>
        <w:pStyle w:val="ListParagraph"/>
        <w:numPr>
          <w:ilvl w:val="0"/>
          <w:numId w:val="42"/>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Drugs-related health damage, including information and prevention</w:t>
      </w:r>
    </w:p>
    <w:p w:rsidR="003A1527" w:rsidRDefault="00742A12">
      <w:pPr>
        <w:pStyle w:val="ListParagraph"/>
        <w:numPr>
          <w:ilvl w:val="0"/>
          <w:numId w:val="42"/>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HIV / AIDS, tuberculosis and hepatitis </w:t>
      </w:r>
    </w:p>
    <w:p w:rsidR="003A1527" w:rsidRDefault="00742A12">
      <w:pPr>
        <w:pStyle w:val="ListParagraph"/>
        <w:numPr>
          <w:ilvl w:val="0"/>
          <w:numId w:val="42"/>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Chronic diseases including cancer, age-related diseases and neurodegenerative diseases </w:t>
      </w:r>
    </w:p>
    <w:p w:rsidR="003A1527" w:rsidRDefault="00742A12">
      <w:pPr>
        <w:pStyle w:val="ListParagraph"/>
        <w:numPr>
          <w:ilvl w:val="0"/>
          <w:numId w:val="42"/>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Tobacco legislation </w:t>
      </w:r>
    </w:p>
    <w:p w:rsidR="003A1527" w:rsidRDefault="00742A12">
      <w:pPr>
        <w:pStyle w:val="ListParagraph"/>
        <w:numPr>
          <w:ilvl w:val="0"/>
          <w:numId w:val="42"/>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Health information and knowledge system to contribute to evidence-based decision making </w:t>
      </w:r>
    </w:p>
    <w:p w:rsidR="003A1527" w:rsidRDefault="00742A12">
      <w:pPr>
        <w:spacing w:after="0"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br/>
        <w:t>Objective 2: Protect Union citizens from serious cross bo</w:t>
      </w:r>
      <w:r>
        <w:rPr>
          <w:rFonts w:ascii="Times New Roman" w:hAnsi="Times New Roman" w:cs="Times New Roman"/>
          <w:b/>
          <w:noProof/>
          <w:sz w:val="24"/>
          <w:szCs w:val="24"/>
        </w:rPr>
        <w:t>rder health threats</w:t>
      </w:r>
    </w:p>
    <w:p w:rsidR="003A1527" w:rsidRDefault="00742A12">
      <w:pPr>
        <w:pStyle w:val="ListParagraph"/>
        <w:numPr>
          <w:ilvl w:val="0"/>
          <w:numId w:val="43"/>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Risk assessment additional capacities for scientific expertise</w:t>
      </w:r>
    </w:p>
    <w:p w:rsidR="003A1527" w:rsidRDefault="00742A12">
      <w:pPr>
        <w:pStyle w:val="ListParagraph"/>
        <w:numPr>
          <w:ilvl w:val="0"/>
          <w:numId w:val="43"/>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Capacity building against health threats in MS, including, where appropriate, cooperation with neighbouring countries</w:t>
      </w:r>
    </w:p>
    <w:p w:rsidR="003A1527" w:rsidRDefault="00742A12">
      <w:pPr>
        <w:pStyle w:val="ListParagraph"/>
        <w:numPr>
          <w:ilvl w:val="0"/>
          <w:numId w:val="43"/>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Implementation of Union legislation on communicable dis</w:t>
      </w:r>
      <w:r>
        <w:rPr>
          <w:rFonts w:ascii="Times New Roman" w:hAnsi="Times New Roman" w:cs="Times New Roman"/>
          <w:noProof/>
          <w:sz w:val="24"/>
          <w:szCs w:val="24"/>
        </w:rPr>
        <w:t xml:space="preserve">eases and other health threats, including those caused by biological, and chemical incidents, environment and climate change </w:t>
      </w:r>
    </w:p>
    <w:p w:rsidR="003A1527" w:rsidRDefault="00742A12">
      <w:pPr>
        <w:pStyle w:val="ListParagraph"/>
        <w:numPr>
          <w:ilvl w:val="0"/>
          <w:numId w:val="43"/>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Health information and knowledge system to contribute to evidence-based decision-making </w:t>
      </w:r>
    </w:p>
    <w:p w:rsidR="003A1527" w:rsidRDefault="00742A12">
      <w:pPr>
        <w:spacing w:after="0" w:line="240" w:lineRule="auto"/>
        <w:ind w:left="360"/>
        <w:rPr>
          <w:rFonts w:ascii="Times New Roman" w:hAnsi="Times New Roman" w:cs="Times New Roman"/>
          <w:b/>
          <w:noProof/>
          <w:sz w:val="24"/>
          <w:szCs w:val="24"/>
        </w:rPr>
      </w:pPr>
      <w:r>
        <w:rPr>
          <w:rFonts w:ascii="Times New Roman" w:hAnsi="Times New Roman" w:cs="Times New Roman"/>
          <w:b/>
          <w:noProof/>
          <w:sz w:val="24"/>
          <w:szCs w:val="24"/>
        </w:rPr>
        <w:br/>
        <w:t>Objective 3: Contribute to innovative, e</w:t>
      </w:r>
      <w:r>
        <w:rPr>
          <w:rFonts w:ascii="Times New Roman" w:hAnsi="Times New Roman" w:cs="Times New Roman"/>
          <w:b/>
          <w:noProof/>
          <w:sz w:val="24"/>
          <w:szCs w:val="24"/>
        </w:rPr>
        <w:t>fficient and sustainable health systems</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Support voluntary cooperation among MS on HTA </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Innovation and e-health </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Health workforce forecasting and planning</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Setting up a mechanism for pooling expertise at Union level </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European Innovation Partnership on Active</w:t>
      </w:r>
      <w:r>
        <w:rPr>
          <w:rFonts w:ascii="Times New Roman" w:hAnsi="Times New Roman" w:cs="Times New Roman"/>
          <w:noProof/>
          <w:sz w:val="24"/>
          <w:szCs w:val="24"/>
        </w:rPr>
        <w:t xml:space="preserve"> and Healthy Ageing </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Implementation of Union legislation in the field of medical devices, medicinal products and cross-border healthcare </w:t>
      </w:r>
    </w:p>
    <w:p w:rsidR="003A1527" w:rsidRDefault="00742A12">
      <w:pPr>
        <w:pStyle w:val="ListParagraph"/>
        <w:numPr>
          <w:ilvl w:val="0"/>
          <w:numId w:val="44"/>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Health information and knowledge system including support to the Scientific Committees set up in accordance with Commi</w:t>
      </w:r>
      <w:r>
        <w:rPr>
          <w:rFonts w:ascii="Times New Roman" w:hAnsi="Times New Roman" w:cs="Times New Roman"/>
          <w:noProof/>
          <w:sz w:val="24"/>
          <w:szCs w:val="24"/>
        </w:rPr>
        <w:t>ssion Decision 2008/721/EC</w:t>
      </w:r>
    </w:p>
    <w:p w:rsidR="003A1527" w:rsidRDefault="00742A12">
      <w:pPr>
        <w:spacing w:after="0" w:line="240" w:lineRule="auto"/>
        <w:ind w:left="360"/>
        <w:rPr>
          <w:rFonts w:ascii="Times New Roman" w:hAnsi="Times New Roman" w:cs="Times New Roman"/>
          <w:b/>
          <w:noProof/>
          <w:sz w:val="24"/>
          <w:szCs w:val="24"/>
        </w:rPr>
      </w:pPr>
      <w:r>
        <w:rPr>
          <w:rFonts w:ascii="Times New Roman" w:hAnsi="Times New Roman" w:cs="Times New Roman"/>
          <w:b/>
          <w:noProof/>
          <w:sz w:val="24"/>
          <w:szCs w:val="24"/>
        </w:rPr>
        <w:br/>
        <w:t xml:space="preserve">Objective 4: Facilitate access to better and safer healthcare for Union citizens </w:t>
      </w:r>
    </w:p>
    <w:p w:rsidR="003A1527" w:rsidRDefault="00742A12">
      <w:pPr>
        <w:pStyle w:val="ListParagraph"/>
        <w:numPr>
          <w:ilvl w:val="0"/>
          <w:numId w:val="45"/>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Establishment of a system of European reference networks </w:t>
      </w:r>
    </w:p>
    <w:p w:rsidR="003A1527" w:rsidRDefault="00742A12">
      <w:pPr>
        <w:pStyle w:val="ListParagraph"/>
        <w:numPr>
          <w:ilvl w:val="0"/>
          <w:numId w:val="45"/>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Effectively help patients affected by rare diseases </w:t>
      </w:r>
    </w:p>
    <w:p w:rsidR="003A1527" w:rsidRDefault="00742A12">
      <w:pPr>
        <w:pStyle w:val="ListParagraph"/>
        <w:numPr>
          <w:ilvl w:val="0"/>
          <w:numId w:val="45"/>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Strengthen collaboration on patient</w:t>
      </w:r>
      <w:r>
        <w:rPr>
          <w:rFonts w:ascii="Times New Roman" w:hAnsi="Times New Roman" w:cs="Times New Roman"/>
          <w:noProof/>
          <w:sz w:val="24"/>
          <w:szCs w:val="24"/>
        </w:rPr>
        <w:t xml:space="preserve"> safety and quality of healthcare</w:t>
      </w:r>
    </w:p>
    <w:p w:rsidR="003A1527" w:rsidRDefault="00742A12">
      <w:pPr>
        <w:pStyle w:val="ListParagraph"/>
        <w:numPr>
          <w:ilvl w:val="0"/>
          <w:numId w:val="45"/>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Measures to prevent Antimicrobial resistance and control healthcare-associated infections </w:t>
      </w:r>
    </w:p>
    <w:p w:rsidR="003A1527" w:rsidRDefault="00742A12">
      <w:pPr>
        <w:pStyle w:val="ListParagraph"/>
        <w:numPr>
          <w:ilvl w:val="0"/>
          <w:numId w:val="45"/>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Implementation of Union legislation in field of tissues and cells, blood, organs, </w:t>
      </w:r>
    </w:p>
    <w:p w:rsidR="003A1527" w:rsidRDefault="00742A12">
      <w:pPr>
        <w:pStyle w:val="ListParagraph"/>
        <w:numPr>
          <w:ilvl w:val="0"/>
          <w:numId w:val="45"/>
        </w:numPr>
        <w:spacing w:after="0" w:line="240" w:lineRule="auto"/>
        <w:ind w:left="1080"/>
        <w:contextualSpacing w:val="0"/>
        <w:rPr>
          <w:rFonts w:ascii="Times New Roman" w:hAnsi="Times New Roman" w:cs="Times New Roman"/>
          <w:noProof/>
          <w:sz w:val="24"/>
          <w:szCs w:val="24"/>
        </w:rPr>
      </w:pPr>
      <w:r>
        <w:rPr>
          <w:rFonts w:ascii="Times New Roman" w:hAnsi="Times New Roman" w:cs="Times New Roman"/>
          <w:noProof/>
          <w:sz w:val="24"/>
          <w:szCs w:val="24"/>
        </w:rPr>
        <w:t>Health information and knowledge system to contr</w:t>
      </w:r>
      <w:r>
        <w:rPr>
          <w:rFonts w:ascii="Times New Roman" w:hAnsi="Times New Roman" w:cs="Times New Roman"/>
          <w:noProof/>
          <w:sz w:val="24"/>
          <w:szCs w:val="24"/>
        </w:rPr>
        <w:t xml:space="preserve">ibute to evidence-based decision making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challenges to be addressed by the future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Health Programme [2021-2027] stem from the mid-term evaluation and from the need identified therein to better direct funding towards actions that show the great</w:t>
      </w:r>
      <w:r>
        <w:rPr>
          <w:rFonts w:ascii="Times New Roman" w:hAnsi="Times New Roman" w:cs="Times New Roman"/>
          <w:noProof/>
          <w:sz w:val="24"/>
          <w:szCs w:val="24"/>
        </w:rPr>
        <w:t xml:space="preserve">est potential to generate visible impacts and produce concrete results in </w:t>
      </w:r>
      <w:r>
        <w:rPr>
          <w:rFonts w:ascii="Times New Roman" w:hAnsi="Times New Roman" w:cs="Times New Roman"/>
          <w:b/>
          <w:noProof/>
          <w:sz w:val="24"/>
          <w:szCs w:val="24"/>
        </w:rPr>
        <w:t>addressing cross-border health threats, improving economies of scale, and fostering the exchange and implementation of best practices</w:t>
      </w:r>
      <w:r>
        <w:rPr>
          <w:rFonts w:ascii="Times New Roman" w:hAnsi="Times New Roman" w:cs="Times New Roman"/>
          <w:noProof/>
          <w:sz w:val="24"/>
          <w:szCs w:val="24"/>
        </w:rPr>
        <w:t xml:space="preserv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actions that have proven to deliver high</w:t>
      </w:r>
      <w:r>
        <w:rPr>
          <w:rFonts w:ascii="Times New Roman" w:hAnsi="Times New Roman" w:cs="Times New Roman"/>
          <w:noProof/>
          <w:sz w:val="24"/>
          <w:szCs w:val="24"/>
        </w:rPr>
        <w:t>est added value and on which the next health programme should concentrate its resources are supporting activities such as:</w:t>
      </w:r>
    </w:p>
    <w:p w:rsidR="003A1527" w:rsidRDefault="00742A12">
      <w:pPr>
        <w:pStyle w:val="ListParagraph"/>
        <w:numPr>
          <w:ilvl w:val="0"/>
          <w:numId w:val="4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and operation of European Reference Networks (ERNs), </w:t>
      </w:r>
    </w:p>
    <w:p w:rsidR="003A1527" w:rsidRDefault="00742A12">
      <w:pPr>
        <w:pStyle w:val="ListParagraph"/>
        <w:numPr>
          <w:ilvl w:val="0"/>
          <w:numId w:val="4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"State of Health in Europe" cycle, </w:t>
      </w:r>
    </w:p>
    <w:p w:rsidR="003A1527" w:rsidRDefault="00742A12">
      <w:pPr>
        <w:pStyle w:val="ListParagraph"/>
        <w:numPr>
          <w:ilvl w:val="0"/>
          <w:numId w:val="4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work on EU cancer inf</w:t>
      </w:r>
      <w:r>
        <w:rPr>
          <w:rFonts w:ascii="Times New Roman" w:hAnsi="Times New Roman" w:cs="Times New Roman"/>
          <w:noProof/>
          <w:sz w:val="24"/>
          <w:szCs w:val="24"/>
        </w:rPr>
        <w:t xml:space="preserve">ormation system including the cancer registries (which provide information on treatments and outcomes), and more generally data and information collection, use of big data and real world data, to inform EU and Member States' health related policy action, </w:t>
      </w:r>
    </w:p>
    <w:p w:rsidR="003A1527" w:rsidRDefault="00742A12">
      <w:pPr>
        <w:pStyle w:val="ListParagraph"/>
        <w:numPr>
          <w:ilvl w:val="0"/>
          <w:numId w:val="4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technical assistance to Member States aimed at enabling health systems reforms in key areas such as Health Technology Assessment (HTA) and eHealth,   </w:t>
      </w:r>
    </w:p>
    <w:p w:rsidR="003A1527" w:rsidRDefault="00742A12">
      <w:pPr>
        <w:pStyle w:val="ListParagraph"/>
        <w:numPr>
          <w:ilvl w:val="0"/>
          <w:numId w:val="4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development of common methodologies and tools for integrated work (e.g. for the new HTA framework)) a</w:t>
      </w:r>
      <w:r>
        <w:rPr>
          <w:rFonts w:ascii="Times New Roman" w:hAnsi="Times New Roman" w:cs="Times New Roman"/>
          <w:noProof/>
          <w:sz w:val="24"/>
          <w:szCs w:val="24"/>
        </w:rPr>
        <w:t xml:space="preserve">nd the deployment of capacity building actions (e.g. the development of HTA capacity in Member States lacking this at the moment). </w:t>
      </w:r>
    </w:p>
    <w:p w:rsidR="003A1527" w:rsidRDefault="00742A12">
      <w:pPr>
        <w:pStyle w:val="ListParagraph"/>
        <w:numPr>
          <w:ilvl w:val="0"/>
          <w:numId w:val="4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AMR </w:t>
      </w:r>
      <w:r>
        <w:rPr>
          <w:rFonts w:ascii="Times New Roman" w:hAnsi="Times New Roman"/>
          <w:noProof/>
          <w:sz w:val="24"/>
        </w:rPr>
        <w:t xml:space="preserve">Action Plan promotes collaboration with different national authorities in order to reach the outlined objectives from a </w:t>
      </w:r>
      <w:r>
        <w:rPr>
          <w:rFonts w:ascii="Times New Roman" w:hAnsi="Times New Roman"/>
          <w:noProof/>
          <w:sz w:val="24"/>
        </w:rPr>
        <w:t>one health perspective and in support of Member States' national action plans.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upcoming regulation on health technology assessment will imply additional funding requirements</w:t>
      </w:r>
      <w:r>
        <w:rPr>
          <w:rStyle w:val="FootnoteReference"/>
          <w:rFonts w:ascii="Times New Roman" w:hAnsi="Times New Roman" w:cs="Times New Roman"/>
          <w:noProof/>
          <w:sz w:val="24"/>
          <w:szCs w:val="24"/>
        </w:rPr>
        <w:footnoteReference w:id="176"/>
      </w:r>
      <w:r>
        <w:rPr>
          <w:rFonts w:ascii="Times New Roman" w:hAnsi="Times New Roman" w:cs="Times New Roman"/>
          <w:noProof/>
          <w:sz w:val="24"/>
          <w:szCs w:val="24"/>
        </w:rPr>
        <w:t xml:space="preserve">.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basis of the above considerations a review of the existing needs in</w:t>
      </w:r>
      <w:r>
        <w:rPr>
          <w:rFonts w:ascii="Times New Roman" w:hAnsi="Times New Roman" w:cs="Times New Roman"/>
          <w:noProof/>
          <w:sz w:val="24"/>
          <w:szCs w:val="24"/>
        </w:rPr>
        <w:t xml:space="preserve"> the health area, conducted with the support of an external contractor and based on the mid-term evaluation results, has identified the necessity to focus EU action on the following problems:</w:t>
      </w:r>
    </w:p>
    <w:p w:rsidR="003A1527" w:rsidRDefault="00742A12">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cross border health threats that are not stopped at the EU exter</w:t>
      </w:r>
      <w:r>
        <w:rPr>
          <w:rFonts w:ascii="Times New Roman" w:hAnsi="Times New Roman" w:cs="Times New Roman"/>
          <w:noProof/>
          <w:sz w:val="24"/>
          <w:szCs w:val="24"/>
        </w:rPr>
        <w:t xml:space="preserve">nal frontiers and could be easily spread across borders and require coherent collective response without blocking the free movement of persons and goods in the EU; </w:t>
      </w:r>
    </w:p>
    <w:p w:rsidR="003A1527" w:rsidRDefault="00742A12">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decision-makers need robust, comparable and timely health data, information, and expertise,</w:t>
      </w:r>
      <w:r>
        <w:rPr>
          <w:rFonts w:ascii="Times New Roman" w:hAnsi="Times New Roman" w:cs="Times New Roman"/>
          <w:noProof/>
          <w:sz w:val="24"/>
          <w:szCs w:val="24"/>
        </w:rPr>
        <w:t xml:space="preserve"> to effectively tackle health policy challenges, to conduct structural reforms and improve accessibility, effectiveness and resilience of health systems  while making strategic, long-term investments into them; </w:t>
      </w:r>
    </w:p>
    <w:p w:rsidR="003A1527" w:rsidRDefault="00742A12">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rule making and enforcement action</w:t>
      </w:r>
      <w:r>
        <w:rPr>
          <w:rFonts w:ascii="Times New Roman" w:hAnsi="Times New Roman" w:cs="Times New Roman"/>
          <w:noProof/>
          <w:sz w:val="24"/>
          <w:szCs w:val="24"/>
        </w:rPr>
        <w:t xml:space="preserve"> are needed to secure high standards of quality safety and efficacy for specific products improving or impacting health; this includes the need to support integrated work on Health Technology Assessment;    </w:t>
      </w:r>
    </w:p>
    <w:p w:rsidR="003A1527" w:rsidRDefault="00742A12">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specificity of rare diseases requires cooper</w:t>
      </w:r>
      <w:r>
        <w:rPr>
          <w:rFonts w:ascii="Times New Roman" w:hAnsi="Times New Roman" w:cs="Times New Roman"/>
          <w:noProof/>
          <w:sz w:val="24"/>
          <w:szCs w:val="24"/>
        </w:rPr>
        <w:t>ation across Member States to pool knowledge and expertise, increase access of patients to specialised centres and provide increased opportunities to R&amp;D; the model of ERNs could be expanded to cover also other non-communicable diseases.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above needs </w:t>
      </w:r>
      <w:r>
        <w:rPr>
          <w:rFonts w:ascii="Times New Roman" w:hAnsi="Times New Roman" w:cs="Times New Roman"/>
          <w:noProof/>
          <w:sz w:val="24"/>
          <w:szCs w:val="24"/>
        </w:rPr>
        <w:t>were translated in a refined intervention logic for the new Health Programme with a better definition of problems and objectives, conducive to a reduced and streamlined number of thematic areas of action (to replace the current 23 thematic priorities of th</w:t>
      </w:r>
      <w:r>
        <w:rPr>
          <w:rFonts w:ascii="Times New Roman" w:hAnsi="Times New Roman" w:cs="Times New Roman"/>
          <w:noProof/>
          <w:sz w:val="24"/>
          <w:szCs w:val="24"/>
        </w:rPr>
        <w:t>e on-going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w:t>
      </w:r>
      <w:r>
        <w:rPr>
          <w:rStyle w:val="FootnoteReference"/>
          <w:rFonts w:ascii="Times New Roman" w:hAnsi="Times New Roman" w:cs="Times New Roman"/>
          <w:noProof/>
          <w:sz w:val="24"/>
          <w:szCs w:val="24"/>
        </w:rPr>
        <w:footnoteReference w:id="177"/>
      </w:r>
      <w:r>
        <w:rPr>
          <w:rFonts w:ascii="Times New Roman" w:hAnsi="Times New Roman" w:cs="Times New Roman"/>
          <w:noProof/>
          <w:sz w:val="24"/>
          <w:szCs w:val="24"/>
        </w:rPr>
        <w:t xml:space="preserv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revised intervention logic addresses a number of further challenges identified by the mid-term programme evaluation, including the need to improve the monitoring arrangements through the establishment of relevant in</w:t>
      </w:r>
      <w:r>
        <w:rPr>
          <w:rFonts w:ascii="Times New Roman" w:hAnsi="Times New Roman" w:cs="Times New Roman"/>
          <w:noProof/>
          <w:sz w:val="24"/>
          <w:szCs w:val="24"/>
        </w:rPr>
        <w:t xml:space="preserve">dicators and to clearly communicate on its expected EU added value.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cross-cutting objectives of the post-2020 multi-annual financial framework – flexibility, performance, coherence and synergies, and simplification – will also be addressed, as approp</w:t>
      </w:r>
      <w:r>
        <w:rPr>
          <w:rFonts w:ascii="Times New Roman" w:hAnsi="Times New Roman" w:cs="Times New Roman"/>
          <w:noProof/>
          <w:sz w:val="24"/>
          <w:szCs w:val="24"/>
        </w:rPr>
        <w:t xml:space="preserve">riate.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Flexibility is particularly important in relation to the management of cross-border health threats, as past experience with the Zika and Ebola crises has demonstrated. In practical terms, more flexibility is necessary in particular to define the c</w:t>
      </w:r>
      <w:r>
        <w:rPr>
          <w:rFonts w:ascii="Times New Roman" w:hAnsi="Times New Roman" w:cs="Times New Roman"/>
          <w:noProof/>
          <w:sz w:val="24"/>
          <w:szCs w:val="24"/>
        </w:rPr>
        <w:t>ategory of costs eligible for EU funding (e.g. the purchase of goods such as vaccines or protective equipment); the geographical scope shall be expanded to allow countering severe crises that occur outside the EU and threaten the lives of EU citizens. Such</w:t>
      </w:r>
      <w:r>
        <w:rPr>
          <w:rFonts w:ascii="Times New Roman" w:hAnsi="Times New Roman" w:cs="Times New Roman"/>
          <w:noProof/>
          <w:sz w:val="24"/>
          <w:szCs w:val="24"/>
        </w:rPr>
        <w:t xml:space="preserve"> flexibility would allow to undertake interventions (contingency measures) in all countries where such intervention is considered in the interest of the EU (e.g. South American and African countries in the case of the Zika and Ebola outbreaks mentioned abo</w:t>
      </w:r>
      <w:r>
        <w:rPr>
          <w:rFonts w:ascii="Times New Roman" w:hAnsi="Times New Roman" w:cs="Times New Roman"/>
          <w:noProof/>
          <w:sz w:val="24"/>
          <w:szCs w:val="24"/>
        </w:rPr>
        <w:t>ve).</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Past experience has demonstrated that the budget for crisis preparedness and management may be insufficient in case of severe threats (e.g. in 2009, responding to the influenza crisis required the provision of an additional €4 million, made available</w:t>
      </w:r>
      <w:r>
        <w:rPr>
          <w:rFonts w:ascii="Times New Roman" w:hAnsi="Times New Roman" w:cs="Times New Roman"/>
          <w:noProof/>
          <w:sz w:val="24"/>
          <w:szCs w:val="24"/>
        </w:rPr>
        <w:t xml:space="preserve"> by the European Parliament through a Preparatory Action on an EU Rapid Response Capability, and in 2015-2016 funds had to be redeployed from other actions of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 to contribute to the EU response to health related risks of the migrants</w:t>
      </w:r>
      <w:r>
        <w:rPr>
          <w:rFonts w:ascii="Times New Roman" w:hAnsi="Times New Roman" w:cs="Times New Roman"/>
          <w:noProof/>
          <w:sz w:val="24"/>
          <w:szCs w:val="24"/>
        </w:rPr>
        <w:t xml:space="preserve">' crisis). For this reason and in addition to what will be already covered by the Health Programme, access to the Emergency Reserve Fund is necessary to allow the programme to effectively respond to potential serious health crisis in future.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 acces</w:t>
      </w:r>
      <w:r>
        <w:rPr>
          <w:rFonts w:ascii="Times New Roman" w:hAnsi="Times New Roman" w:cs="Times New Roman"/>
          <w:noProof/>
          <w:sz w:val="24"/>
          <w:szCs w:val="24"/>
        </w:rPr>
        <w:t xml:space="preserve">s to the Emergency Reserve Fund is required e.g. to purchase medical counter measures and allow the deployment of emergency support in case of unpredictable major epidemics or other crisis with a potential cross border impact on public health. </w:t>
      </w:r>
    </w:p>
    <w:p w:rsidR="003A1527" w:rsidRDefault="003A1527">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754"/>
        <w:gridCol w:w="1755"/>
        <w:gridCol w:w="1829"/>
        <w:gridCol w:w="1749"/>
        <w:gridCol w:w="1747"/>
      </w:tblGrid>
      <w:tr w:rsidR="003A1527">
        <w:tc>
          <w:tcPr>
            <w:tcW w:w="1754" w:type="dxa"/>
            <w:tcBorders>
              <w:tl2br w:val="single" w:sz="4" w:space="0" w:color="auto"/>
            </w:tcBorders>
          </w:tcPr>
          <w:p w:rsidR="003A1527" w:rsidRDefault="00742A12">
            <w:pPr>
              <w:spacing w:after="0" w:line="240" w:lineRule="auto"/>
              <w:jc w:val="right"/>
              <w:rPr>
                <w:b/>
                <w:noProof/>
                <w:sz w:val="16"/>
                <w:szCs w:val="16"/>
              </w:rPr>
            </w:pPr>
            <w:r>
              <w:rPr>
                <w:b/>
                <w:noProof/>
                <w:sz w:val="16"/>
                <w:szCs w:val="16"/>
              </w:rPr>
              <w:t>Challenges</w:t>
            </w:r>
          </w:p>
          <w:p w:rsidR="003A1527" w:rsidRDefault="003A1527">
            <w:pPr>
              <w:spacing w:after="0" w:line="240" w:lineRule="auto"/>
              <w:rPr>
                <w:b/>
                <w:noProof/>
                <w:sz w:val="16"/>
                <w:szCs w:val="16"/>
              </w:rPr>
            </w:pPr>
          </w:p>
          <w:p w:rsidR="003A1527" w:rsidRDefault="003A1527">
            <w:pPr>
              <w:spacing w:after="0" w:line="240" w:lineRule="auto"/>
              <w:rPr>
                <w:b/>
                <w:noProof/>
                <w:sz w:val="16"/>
                <w:szCs w:val="16"/>
              </w:rPr>
            </w:pPr>
          </w:p>
          <w:p w:rsidR="003A1527" w:rsidRDefault="00742A12">
            <w:pPr>
              <w:spacing w:after="0" w:line="240" w:lineRule="auto"/>
              <w:rPr>
                <w:b/>
                <w:noProof/>
                <w:sz w:val="16"/>
                <w:szCs w:val="16"/>
              </w:rPr>
            </w:pPr>
            <w:r>
              <w:rPr>
                <w:b/>
                <w:noProof/>
                <w:sz w:val="16"/>
                <w:szCs w:val="16"/>
              </w:rPr>
              <w:t>Programme/line</w:t>
            </w:r>
          </w:p>
        </w:tc>
        <w:tc>
          <w:tcPr>
            <w:tcW w:w="1755" w:type="dxa"/>
          </w:tcPr>
          <w:p w:rsidR="003A1527" w:rsidRDefault="00742A12">
            <w:pPr>
              <w:spacing w:after="0" w:line="240" w:lineRule="auto"/>
              <w:rPr>
                <w:b/>
                <w:noProof/>
                <w:sz w:val="16"/>
                <w:szCs w:val="16"/>
              </w:rPr>
            </w:pPr>
            <w:r>
              <w:rPr>
                <w:b/>
                <w:noProof/>
                <w:sz w:val="16"/>
                <w:szCs w:val="16"/>
              </w:rPr>
              <w:t>Empowerment of citizens, consumers and businesses</w:t>
            </w:r>
          </w:p>
        </w:tc>
        <w:tc>
          <w:tcPr>
            <w:tcW w:w="1829" w:type="dxa"/>
          </w:tcPr>
          <w:p w:rsidR="003A1527" w:rsidRDefault="00742A12">
            <w:pPr>
              <w:spacing w:after="0" w:line="240" w:lineRule="auto"/>
              <w:rPr>
                <w:b/>
                <w:noProof/>
                <w:sz w:val="16"/>
                <w:szCs w:val="16"/>
              </w:rPr>
            </w:pPr>
            <w:r>
              <w:rPr>
                <w:b/>
                <w:noProof/>
                <w:sz w:val="16"/>
                <w:szCs w:val="16"/>
              </w:rPr>
              <w:t>Administrative cooperation and integration among Member States</w:t>
            </w:r>
          </w:p>
        </w:tc>
        <w:tc>
          <w:tcPr>
            <w:tcW w:w="1749" w:type="dxa"/>
          </w:tcPr>
          <w:p w:rsidR="003A1527" w:rsidRDefault="00742A12">
            <w:pPr>
              <w:spacing w:after="0" w:line="240" w:lineRule="auto"/>
              <w:rPr>
                <w:b/>
                <w:noProof/>
                <w:sz w:val="16"/>
                <w:szCs w:val="16"/>
              </w:rPr>
            </w:pPr>
            <w:r>
              <w:rPr>
                <w:b/>
                <w:noProof/>
                <w:sz w:val="16"/>
                <w:szCs w:val="16"/>
              </w:rPr>
              <w:t>Rule-making, standard setting and enforcement at EU institutions level</w:t>
            </w:r>
          </w:p>
        </w:tc>
        <w:tc>
          <w:tcPr>
            <w:tcW w:w="1747" w:type="dxa"/>
          </w:tcPr>
          <w:p w:rsidR="003A1527" w:rsidRDefault="00742A12">
            <w:pPr>
              <w:spacing w:after="0" w:line="240" w:lineRule="auto"/>
              <w:rPr>
                <w:b/>
                <w:noProof/>
                <w:sz w:val="16"/>
                <w:szCs w:val="16"/>
              </w:rPr>
            </w:pPr>
            <w:r>
              <w:rPr>
                <w:b/>
                <w:noProof/>
                <w:sz w:val="16"/>
                <w:szCs w:val="16"/>
              </w:rPr>
              <w:t>Health as a resources for the society  and the interna</w:t>
            </w:r>
            <w:r>
              <w:rPr>
                <w:b/>
                <w:noProof/>
                <w:sz w:val="16"/>
                <w:szCs w:val="16"/>
              </w:rPr>
              <w:t>l market</w:t>
            </w:r>
          </w:p>
        </w:tc>
      </w:tr>
      <w:tr w:rsidR="003A1527">
        <w:trPr>
          <w:trHeight w:val="2713"/>
        </w:trPr>
        <w:tc>
          <w:tcPr>
            <w:tcW w:w="1754" w:type="dxa"/>
          </w:tcPr>
          <w:p w:rsidR="003A1527" w:rsidRDefault="00742A12">
            <w:pPr>
              <w:spacing w:after="0" w:line="240" w:lineRule="auto"/>
              <w:rPr>
                <w:b/>
                <w:noProof/>
                <w:sz w:val="16"/>
                <w:szCs w:val="16"/>
              </w:rPr>
            </w:pPr>
            <w:r>
              <w:rPr>
                <w:b/>
                <w:noProof/>
                <w:sz w:val="16"/>
                <w:szCs w:val="16"/>
              </w:rPr>
              <w:t>Health Programme</w:t>
            </w:r>
          </w:p>
        </w:tc>
        <w:tc>
          <w:tcPr>
            <w:tcW w:w="1755" w:type="dxa"/>
          </w:tcPr>
          <w:p w:rsidR="003A1527" w:rsidRDefault="00742A12">
            <w:pPr>
              <w:spacing w:after="0" w:line="240" w:lineRule="auto"/>
              <w:rPr>
                <w:b/>
                <w:noProof/>
                <w:sz w:val="16"/>
                <w:szCs w:val="16"/>
              </w:rPr>
            </w:pPr>
            <w:r>
              <w:rPr>
                <w:noProof/>
                <w:sz w:val="16"/>
                <w:szCs w:val="16"/>
              </w:rPr>
              <w:t>the specificity of rare diseases requires cooperation across Member States to pool knowledge and expertise, increase access of patients to specialised centres and provide increased opportunities to R&amp;D; the model of ERNs could be</w:t>
            </w:r>
            <w:r>
              <w:rPr>
                <w:noProof/>
                <w:sz w:val="16"/>
                <w:szCs w:val="16"/>
              </w:rPr>
              <w:t xml:space="preserve"> expanded to cover also other non-communicable diseases</w:t>
            </w:r>
          </w:p>
        </w:tc>
        <w:tc>
          <w:tcPr>
            <w:tcW w:w="1829" w:type="dxa"/>
          </w:tcPr>
          <w:p w:rsidR="003A1527" w:rsidRDefault="00742A12">
            <w:pPr>
              <w:spacing w:after="0" w:line="240" w:lineRule="auto"/>
              <w:rPr>
                <w:noProof/>
                <w:sz w:val="16"/>
                <w:szCs w:val="16"/>
              </w:rPr>
            </w:pPr>
            <w:r>
              <w:rPr>
                <w:noProof/>
                <w:sz w:val="16"/>
                <w:szCs w:val="16"/>
              </w:rPr>
              <w:t xml:space="preserve">decision-makers need robust, comparable and timely health data, information, and expertise, to effectively tackle health policy challenges to conduct structural reforms to improve accessibility, </w:t>
            </w:r>
            <w:r>
              <w:rPr>
                <w:noProof/>
                <w:sz w:val="16"/>
                <w:szCs w:val="16"/>
              </w:rPr>
              <w:t>effectiveness and resilience and to make strategic, long-term investments in the health systems</w:t>
            </w:r>
          </w:p>
          <w:p w:rsidR="003A1527" w:rsidRDefault="003A1527">
            <w:pPr>
              <w:spacing w:after="0" w:line="240" w:lineRule="auto"/>
              <w:rPr>
                <w:b/>
                <w:noProof/>
                <w:sz w:val="16"/>
                <w:szCs w:val="16"/>
              </w:rPr>
            </w:pPr>
          </w:p>
        </w:tc>
        <w:tc>
          <w:tcPr>
            <w:tcW w:w="1749" w:type="dxa"/>
          </w:tcPr>
          <w:p w:rsidR="003A1527" w:rsidRDefault="00742A12">
            <w:pPr>
              <w:spacing w:after="0" w:line="240" w:lineRule="auto"/>
              <w:rPr>
                <w:noProof/>
                <w:sz w:val="16"/>
                <w:szCs w:val="16"/>
              </w:rPr>
            </w:pPr>
            <w:r>
              <w:rPr>
                <w:noProof/>
                <w:sz w:val="16"/>
                <w:szCs w:val="16"/>
              </w:rPr>
              <w:t>ensure effective rule making, enforcement and high standards of quality safety and efficacy for specific products improving or impacting health</w:t>
            </w:r>
          </w:p>
        </w:tc>
        <w:tc>
          <w:tcPr>
            <w:tcW w:w="1747" w:type="dxa"/>
          </w:tcPr>
          <w:p w:rsidR="003A1527" w:rsidRDefault="00742A12">
            <w:pPr>
              <w:spacing w:after="0" w:line="240" w:lineRule="auto"/>
              <w:rPr>
                <w:noProof/>
                <w:sz w:val="16"/>
                <w:szCs w:val="16"/>
              </w:rPr>
            </w:pPr>
            <w:r>
              <w:rPr>
                <w:noProof/>
                <w:sz w:val="16"/>
                <w:szCs w:val="16"/>
              </w:rPr>
              <w:t>new health thre</w:t>
            </w:r>
            <w:r>
              <w:rPr>
                <w:noProof/>
                <w:sz w:val="16"/>
                <w:szCs w:val="16"/>
              </w:rPr>
              <w:t>ats that easily spread across borders &amp; require collective and coherent response</w:t>
            </w:r>
          </w:p>
          <w:p w:rsidR="003A1527" w:rsidRDefault="003A1527">
            <w:pPr>
              <w:spacing w:after="0" w:line="240" w:lineRule="auto"/>
              <w:rPr>
                <w:b/>
                <w:noProof/>
                <w:sz w:val="16"/>
                <w:szCs w:val="16"/>
              </w:rPr>
            </w:pPr>
          </w:p>
        </w:tc>
      </w:tr>
    </w:tbl>
    <w:p w:rsidR="003A1527" w:rsidRDefault="003A1527">
      <w:pPr>
        <w:pStyle w:val="Heading2"/>
        <w:keepLines w:val="0"/>
        <w:tabs>
          <w:tab w:val="num" w:pos="862"/>
        </w:tabs>
        <w:spacing w:before="0"/>
        <w:jc w:val="both"/>
        <w:rPr>
          <w:noProof/>
        </w:rPr>
      </w:pPr>
      <w:bookmarkStart w:id="122" w:name="_Toc382372582"/>
    </w:p>
    <w:p w:rsidR="003A1527" w:rsidRDefault="00742A12">
      <w:pPr>
        <w:pStyle w:val="BodyText2"/>
        <w:rPr>
          <w:b/>
        </w:rPr>
      </w:pPr>
      <w:r>
        <w:rPr>
          <w:b/>
        </w:rPr>
        <w:t>2.2 Objectives of the programmes of the next MFF</w:t>
      </w:r>
      <w:bookmarkEnd w:id="122"/>
    </w:p>
    <w:p w:rsidR="003A1527" w:rsidRDefault="003A1527">
      <w:pPr>
        <w:pStyle w:val="Text2"/>
        <w:spacing w:after="0" w:line="240" w:lineRule="auto"/>
        <w:ind w:left="0"/>
        <w:rPr>
          <w:b/>
          <w:noProof/>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general objective of the future Health Programme is to complement support and add value to Member States policies to improve EU citizens' health; to implement and enforce legislation governing the placing on the market and use of health products in the</w:t>
      </w:r>
      <w:r>
        <w:rPr>
          <w:rFonts w:ascii="Times New Roman" w:hAnsi="Times New Roman" w:cs="Times New Roman"/>
          <w:noProof/>
          <w:sz w:val="24"/>
          <w:szCs w:val="24"/>
        </w:rPr>
        <w:t xml:space="preserve"> EU, and patients' rights to cross-border healthcare.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response to the mid-term evaluation</w:t>
      </w:r>
      <w:r>
        <w:rPr>
          <w:rStyle w:val="FootnoteReference"/>
          <w:rFonts w:ascii="Times New Roman" w:hAnsi="Times New Roman" w:cs="Times New Roman"/>
          <w:noProof/>
          <w:sz w:val="24"/>
          <w:szCs w:val="24"/>
        </w:rPr>
        <w:footnoteReference w:id="178"/>
      </w:r>
      <w:r>
        <w:rPr>
          <w:rFonts w:ascii="Times New Roman" w:hAnsi="Times New Roman" w:cs="Times New Roman"/>
          <w:noProof/>
          <w:sz w:val="24"/>
          <w:szCs w:val="24"/>
        </w:rPr>
        <w:t xml:space="preserve"> of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 and to an ongoing study</w:t>
      </w:r>
      <w:r>
        <w:rPr>
          <w:rStyle w:val="FootnoteReference"/>
          <w:rFonts w:ascii="Times New Roman" w:hAnsi="Times New Roman" w:cs="Times New Roman"/>
          <w:noProof/>
          <w:sz w:val="24"/>
          <w:szCs w:val="24"/>
        </w:rPr>
        <w:footnoteReference w:id="179"/>
      </w:r>
      <w:r>
        <w:rPr>
          <w:rFonts w:ascii="Times New Roman" w:hAnsi="Times New Roman" w:cs="Times New Roman"/>
          <w:noProof/>
          <w:sz w:val="24"/>
          <w:szCs w:val="24"/>
        </w:rPr>
        <w:t xml:space="preserve"> findings, the challenges and needs identified will be addressed by the following updated specific objective</w:t>
      </w:r>
      <w:r>
        <w:rPr>
          <w:rFonts w:ascii="Times New Roman" w:hAnsi="Times New Roman" w:cs="Times New Roman"/>
          <w:noProof/>
          <w:sz w:val="24"/>
          <w:szCs w:val="24"/>
        </w:rPr>
        <w:t xml:space="preserve">s: </w:t>
      </w:r>
    </w:p>
    <w:p w:rsidR="003A1527" w:rsidRDefault="003A1527">
      <w:pPr>
        <w:spacing w:after="0" w:line="240" w:lineRule="auto"/>
        <w:jc w:val="both"/>
        <w:rPr>
          <w:rFonts w:ascii="Times New Roman" w:hAnsi="Times New Roman" w:cs="Times New Roman"/>
          <w:noProof/>
          <w:sz w:val="24"/>
          <w:szCs w:val="24"/>
        </w:rPr>
      </w:pPr>
    </w:p>
    <w:p w:rsidR="003A1527" w:rsidRDefault="00742A12">
      <w:pPr>
        <w:numPr>
          <w:ilvl w:val="0"/>
          <w:numId w:val="40"/>
        </w:numPr>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Prepare for and counter health</w:t>
      </w:r>
      <w:r>
        <w:rPr>
          <w:rStyle w:val="FootnoteReference"/>
          <w:rFonts w:ascii="Times New Roman" w:hAnsi="Times New Roman" w:cs="Times New Roman"/>
          <w:b/>
          <w:noProof/>
          <w:sz w:val="24"/>
          <w:szCs w:val="24"/>
          <w:lang w:val="en-US"/>
        </w:rPr>
        <w:footnoteReference w:id="180"/>
      </w:r>
      <w:r>
        <w:rPr>
          <w:rFonts w:ascii="Times New Roman" w:hAnsi="Times New Roman" w:cs="Times New Roman"/>
          <w:b/>
          <w:noProof/>
          <w:sz w:val="24"/>
          <w:szCs w:val="24"/>
          <w:lang w:val="en-US"/>
        </w:rPr>
        <w:t xml:space="preserve"> crises – </w:t>
      </w:r>
      <w:r>
        <w:rPr>
          <w:rFonts w:ascii="Times New Roman" w:hAnsi="Times New Roman" w:cs="Times New Roman"/>
          <w:noProof/>
          <w:sz w:val="24"/>
          <w:szCs w:val="24"/>
          <w:lang w:val="en-US"/>
        </w:rPr>
        <w:t>strengthen crisis-preparedness, management and response to protect citizens in the EU against cross-border health threats.</w:t>
      </w:r>
    </w:p>
    <w:p w:rsidR="003A1527" w:rsidRDefault="00742A12">
      <w:pPr>
        <w:numPr>
          <w:ilvl w:val="0"/>
          <w:numId w:val="40"/>
        </w:numPr>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Empower health systems with emphasis on their digital transformation – </w:t>
      </w:r>
      <w:r>
        <w:rPr>
          <w:rFonts w:ascii="Times New Roman" w:hAnsi="Times New Roman" w:cs="Times New Roman"/>
          <w:noProof/>
          <w:sz w:val="24"/>
          <w:szCs w:val="24"/>
          <w:lang w:val="en-US"/>
        </w:rPr>
        <w:t>empower Member States with data, information and knowledge for better decision-making providing tailored support, including technical assistance, to design and implement reforms for improving accessibility effectiveness and resilience of the health systems</w:t>
      </w:r>
      <w:r>
        <w:rPr>
          <w:rFonts w:ascii="Times New Roman" w:hAnsi="Times New Roman" w:cs="Times New Roman"/>
          <w:noProof/>
          <w:sz w:val="24"/>
          <w:szCs w:val="24"/>
          <w:lang w:val="en-US"/>
        </w:rPr>
        <w:t xml:space="preserve">, and to support the digital single market. </w:t>
      </w:r>
    </w:p>
    <w:p w:rsidR="003A1527" w:rsidRDefault="00742A12">
      <w:pPr>
        <w:numPr>
          <w:ilvl w:val="0"/>
          <w:numId w:val="40"/>
        </w:numPr>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Support EU health legislation – </w:t>
      </w:r>
      <w:r>
        <w:rPr>
          <w:rFonts w:ascii="Times New Roman" w:hAnsi="Times New Roman" w:cs="Times New Roman"/>
          <w:noProof/>
          <w:sz w:val="24"/>
          <w:szCs w:val="24"/>
          <w:lang w:val="en-US"/>
        </w:rPr>
        <w:t>support the free circulation of products by developing, implementing and monitoring health legislation, while upholding citizens' rights to access cross-border healthcare.</w:t>
      </w:r>
    </w:p>
    <w:p w:rsidR="003A1527" w:rsidRDefault="00742A12">
      <w:pPr>
        <w:numPr>
          <w:ilvl w:val="0"/>
          <w:numId w:val="40"/>
        </w:numPr>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Support</w:t>
      </w:r>
      <w:r>
        <w:rPr>
          <w:rFonts w:ascii="Times New Roman" w:hAnsi="Times New Roman" w:cs="Times New Roman"/>
          <w:b/>
          <w:noProof/>
          <w:sz w:val="24"/>
          <w:szCs w:val="24"/>
          <w:lang w:val="en-US"/>
        </w:rPr>
        <w:t xml:space="preserve"> integrated work – </w:t>
      </w:r>
      <w:r>
        <w:rPr>
          <w:rFonts w:ascii="Times New Roman" w:hAnsi="Times New Roman" w:cs="Times New Roman"/>
          <w:noProof/>
          <w:sz w:val="24"/>
          <w:szCs w:val="24"/>
          <w:lang w:val="en-US"/>
        </w:rPr>
        <w:t>support Member States' efforts, pooling resources and fostering joint cooperation and implementation of best practices, e.g. through the ERNs.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reduced number of 15 thematic areas of action with higher EU-added value will be proposed t</w:t>
      </w:r>
      <w:r>
        <w:rPr>
          <w:rFonts w:ascii="Times New Roman" w:hAnsi="Times New Roman" w:cs="Times New Roman"/>
          <w:noProof/>
          <w:sz w:val="24"/>
          <w:szCs w:val="24"/>
        </w:rPr>
        <w:t>o reach the above-listed objectives while reinforcing some areas of action e.g. by increasing their outputs and further consolidating the critical mass of projects, as necessary. Monitoring arrangements including a monitoring plan and indicators will be es</w:t>
      </w:r>
      <w:r>
        <w:rPr>
          <w:rFonts w:ascii="Times New Roman" w:hAnsi="Times New Roman" w:cs="Times New Roman"/>
          <w:noProof/>
          <w:sz w:val="24"/>
          <w:szCs w:val="24"/>
        </w:rPr>
        <w:t>tablished for overall objectives and for each area, respectively. Delivery of the programme's objectives will be assessed using the following evaluation criteria: (i) the continued relevance of all specific objectives and thematic areas of action, namely t</w:t>
      </w:r>
      <w:r>
        <w:rPr>
          <w:rFonts w:ascii="Times New Roman" w:hAnsi="Times New Roman" w:cs="Times New Roman"/>
          <w:noProof/>
          <w:sz w:val="24"/>
          <w:szCs w:val="24"/>
        </w:rPr>
        <w:t xml:space="preserve">he direct relationship between the actions and the necessity to solve the problems and meet the needs while reaching the general objective; (ii) the effectiveness of the implemented health measures in achieving the general and specific objectives, also in </w:t>
      </w:r>
      <w:r>
        <w:rPr>
          <w:rFonts w:ascii="Times New Roman" w:hAnsi="Times New Roman" w:cs="Times New Roman"/>
          <w:noProof/>
          <w:sz w:val="24"/>
          <w:szCs w:val="24"/>
        </w:rPr>
        <w:t>light of the progress measured through the improved monitoring system to be put in place; (iii) the efficiency in the use of the financial resources spent under the health budget and their consistency with the results achieved; (iv) the coherence of the me</w:t>
      </w:r>
      <w:r>
        <w:rPr>
          <w:rFonts w:ascii="Times New Roman" w:hAnsi="Times New Roman" w:cs="Times New Roman"/>
          <w:noProof/>
          <w:sz w:val="24"/>
          <w:szCs w:val="24"/>
        </w:rPr>
        <w:t>asures implemented within the Health Programme, both internally and with other EU interventions; (v) the EU added value created through measures receiving technical and financial support under this programme.</w:t>
      </w:r>
    </w:p>
    <w:p w:rsidR="003A1527" w:rsidRDefault="003A1527">
      <w:pPr>
        <w:spacing w:after="0" w:line="240" w:lineRule="auto"/>
        <w:jc w:val="both"/>
        <w:rPr>
          <w:rFonts w:ascii="Times New Roman" w:hAnsi="Times New Roman" w:cs="Times New Roman"/>
          <w:noProof/>
          <w:sz w:val="24"/>
          <w:szCs w:val="24"/>
        </w:rPr>
      </w:pPr>
    </w:p>
    <w:p w:rsidR="003A1527" w:rsidRDefault="00742A12">
      <w:pPr>
        <w:pStyle w:val="BodyText2"/>
        <w:rPr>
          <w:b/>
        </w:rPr>
      </w:pPr>
      <w:bookmarkStart w:id="123" w:name="_Toc382372583"/>
      <w:bookmarkStart w:id="124" w:name="_Toc509833017"/>
      <w:bookmarkStart w:id="125" w:name="_Toc509846515"/>
      <w:bookmarkStart w:id="126" w:name="_Toc513214958"/>
      <w:r>
        <w:rPr>
          <w:b/>
        </w:rPr>
        <w:t>3. Programme structure and priorities</w:t>
      </w:r>
      <w:bookmarkEnd w:id="123"/>
      <w:bookmarkEnd w:id="124"/>
      <w:bookmarkEnd w:id="125"/>
      <w:bookmarkEnd w:id="126"/>
    </w:p>
    <w:p w:rsidR="003A1527" w:rsidRDefault="003A1527">
      <w:pPr>
        <w:pStyle w:val="Text2"/>
        <w:spacing w:after="0" w:line="240" w:lineRule="auto"/>
        <w:ind w:left="0"/>
        <w:rPr>
          <w:i/>
          <w:noProof/>
          <w:u w:val="single"/>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resp</w:t>
      </w:r>
      <w:r>
        <w:rPr>
          <w:rFonts w:ascii="Times New Roman" w:hAnsi="Times New Roman" w:cs="Times New Roman"/>
          <w:noProof/>
          <w:sz w:val="24"/>
          <w:szCs w:val="24"/>
        </w:rPr>
        <w:t xml:space="preserve">ect of achieving the programme objectives, 15 areas of action with higher EU-added value were identified, streamlined and ranked from high to medium priority as follows: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 xml:space="preserve"> </w:t>
      </w:r>
      <w:r>
        <w:rPr>
          <w:rFonts w:ascii="Times New Roman" w:hAnsi="Times New Roman" w:cs="Times New Roman"/>
          <w:b/>
          <w:noProof/>
          <w:sz w:val="24"/>
          <w:szCs w:val="24"/>
        </w:rPr>
        <w:t>Strengthen crisis-preparedness, management and response in the EU to protect citi</w:t>
      </w:r>
      <w:r>
        <w:rPr>
          <w:rFonts w:ascii="Times New Roman" w:hAnsi="Times New Roman" w:cs="Times New Roman"/>
          <w:b/>
          <w:noProof/>
          <w:sz w:val="24"/>
          <w:szCs w:val="24"/>
        </w:rPr>
        <w:t>zens against cross-border health threats.</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1.1. Capacity-building measures for crisis preparedness, management and response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1.2. Respond to cross-border health threats during crisis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1.3. Support laboratory capacity </w:t>
      </w:r>
      <w:r>
        <w:rPr>
          <w:rFonts w:ascii="Times New Roman" w:hAnsi="Times New Roman" w:cs="Times New Roman"/>
          <w:b/>
          <w:noProof/>
          <w:sz w:val="24"/>
          <w:szCs w:val="24"/>
        </w:rPr>
        <w:t>(high)</w:t>
      </w:r>
    </w:p>
    <w:p w:rsidR="003A1527" w:rsidRDefault="003A1527">
      <w:pPr>
        <w:spacing w:after="0" w:line="240" w:lineRule="auto"/>
        <w:ind w:left="720"/>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Empower health sy</w:t>
      </w:r>
      <w:r>
        <w:rPr>
          <w:rFonts w:ascii="Times New Roman" w:hAnsi="Times New Roman" w:cs="Times New Roman"/>
          <w:b/>
          <w:noProof/>
          <w:sz w:val="24"/>
          <w:szCs w:val="24"/>
        </w:rPr>
        <w:t xml:space="preserve">stems with emphasis on their digital transformation </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2.1. Support the digital transformation of health and care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2.2. Support the development of a sustainable EU health information system </w:t>
      </w:r>
      <w:r>
        <w:rPr>
          <w:rFonts w:ascii="Times New Roman" w:hAnsi="Times New Roman" w:cs="Times New Roman"/>
          <w:b/>
          <w:noProof/>
          <w:sz w:val="24"/>
          <w:szCs w:val="24"/>
        </w:rPr>
        <w:t>(medium)</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2.3 Support the national reform processes for more effective, accessible and resilient health systems </w:t>
      </w:r>
      <w:r>
        <w:rPr>
          <w:rFonts w:ascii="Times New Roman" w:hAnsi="Times New Roman" w:cs="Times New Roman"/>
          <w:b/>
          <w:noProof/>
          <w:sz w:val="24"/>
          <w:szCs w:val="24"/>
        </w:rPr>
        <w:t>(medium)</w:t>
      </w:r>
    </w:p>
    <w:p w:rsidR="003A1527" w:rsidRDefault="003A1527">
      <w:pPr>
        <w:spacing w:after="0" w:line="240" w:lineRule="auto"/>
        <w:ind w:left="720"/>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Support EU health legislation</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3.1. Manage, maintain and implement the legislation on medical devices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3.2. Support the implementation </w:t>
      </w:r>
      <w:r>
        <w:rPr>
          <w:rFonts w:ascii="Times New Roman" w:hAnsi="Times New Roman" w:cs="Times New Roman"/>
          <w:noProof/>
          <w:sz w:val="24"/>
          <w:szCs w:val="24"/>
        </w:rPr>
        <w:t>of Union legislation on medicinal products and on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Health Technology Assessment (HTA) </w:t>
      </w:r>
      <w:r>
        <w:rPr>
          <w:rFonts w:ascii="Times New Roman" w:hAnsi="Times New Roman" w:cs="Times New Roman"/>
          <w:b/>
          <w:noProof/>
          <w:sz w:val="24"/>
          <w:szCs w:val="24"/>
        </w:rPr>
        <w:t xml:space="preserve">(high) </w:t>
      </w:r>
    </w:p>
    <w:p w:rsidR="003A1527" w:rsidRDefault="00742A12">
      <w:pPr>
        <w:spacing w:after="0" w:line="240" w:lineRule="auto"/>
        <w:ind w:left="720"/>
        <w:jc w:val="both"/>
        <w:rPr>
          <w:rFonts w:ascii="Times New Roman" w:hAnsi="Times New Roman" w:cs="Times New Roman"/>
          <w:b/>
          <w:noProof/>
          <w:sz w:val="24"/>
          <w:szCs w:val="24"/>
        </w:rPr>
      </w:pPr>
      <w:r>
        <w:rPr>
          <w:rFonts w:ascii="Times New Roman" w:hAnsi="Times New Roman" w:cs="Times New Roman"/>
          <w:noProof/>
          <w:sz w:val="24"/>
          <w:szCs w:val="24"/>
        </w:rPr>
        <w:t xml:space="preserve">3.3. Monitor and support Member States in their implementation of legislation in the area of substances of human origin (SoHO)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3.4. Support the implementati</w:t>
      </w:r>
      <w:r>
        <w:rPr>
          <w:rFonts w:ascii="Times New Roman" w:hAnsi="Times New Roman" w:cs="Times New Roman"/>
          <w:noProof/>
          <w:sz w:val="24"/>
          <w:szCs w:val="24"/>
        </w:rPr>
        <w:t xml:space="preserve">on of tobacco legislation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b/>
          <w:noProof/>
          <w:sz w:val="24"/>
          <w:szCs w:val="24"/>
        </w:rPr>
      </w:pPr>
      <w:r>
        <w:rPr>
          <w:rFonts w:ascii="Times New Roman" w:hAnsi="Times New Roman" w:cs="Times New Roman"/>
          <w:noProof/>
          <w:sz w:val="24"/>
          <w:szCs w:val="24"/>
        </w:rPr>
        <w:t xml:space="preserve">3.5. Support the implementation of Union legislation in the area of cross-border healthcare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3.6. Support to the Commission' scientific committees on "Consumer Safety" and on "Health, Environmental and Emerging Risks"</w:t>
      </w:r>
      <w:r>
        <w:rPr>
          <w:rFonts w:ascii="Times New Roman" w:hAnsi="Times New Roman" w:cs="Times New Roman"/>
          <w:noProof/>
          <w:sz w:val="24"/>
          <w:szCs w:val="24"/>
        </w:rPr>
        <w:t xml:space="preserve"> </w:t>
      </w:r>
      <w:r>
        <w:rPr>
          <w:rFonts w:ascii="Times New Roman" w:hAnsi="Times New Roman" w:cs="Times New Roman"/>
          <w:b/>
          <w:noProof/>
          <w:sz w:val="24"/>
          <w:szCs w:val="24"/>
        </w:rPr>
        <w:t>(high)</w:t>
      </w:r>
    </w:p>
    <w:p w:rsidR="003A1527" w:rsidRDefault="003A1527">
      <w:pPr>
        <w:spacing w:after="0" w:line="240" w:lineRule="auto"/>
        <w:ind w:left="720"/>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rPr>
        <w:tab/>
        <w:t>Support integrated work (e.g. ERNs, HTA and implementation of best practices)</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4.1. Continue support for the European Reference Networks (ERNs) </w:t>
      </w:r>
      <w:r>
        <w:rPr>
          <w:rFonts w:ascii="Times New Roman" w:hAnsi="Times New Roman" w:cs="Times New Roman"/>
          <w:b/>
          <w:noProof/>
          <w:sz w:val="24"/>
          <w:szCs w:val="24"/>
        </w:rPr>
        <w:t>(high)</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4.2. Support the development of cooperation on Health Technology Assessment (HTA) in preparati</w:t>
      </w:r>
      <w:r>
        <w:rPr>
          <w:rFonts w:ascii="Times New Roman" w:hAnsi="Times New Roman" w:cs="Times New Roman"/>
          <w:noProof/>
          <w:sz w:val="24"/>
          <w:szCs w:val="24"/>
        </w:rPr>
        <w:t xml:space="preserve">on of new harmonised rules </w:t>
      </w:r>
      <w:r>
        <w:rPr>
          <w:rFonts w:ascii="Times New Roman" w:hAnsi="Times New Roman" w:cs="Times New Roman"/>
          <w:b/>
          <w:noProof/>
          <w:sz w:val="24"/>
          <w:szCs w:val="24"/>
        </w:rPr>
        <w:t>(medium)</w:t>
      </w:r>
    </w:p>
    <w:p w:rsidR="003A1527" w:rsidRDefault="00742A12">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4.3. Support the implementation of best practices to support structural innovation </w:t>
      </w:r>
      <w:r>
        <w:rPr>
          <w:rFonts w:ascii="Times New Roman" w:hAnsi="Times New Roman" w:cs="Times New Roman"/>
          <w:b/>
          <w:noProof/>
          <w:sz w:val="24"/>
          <w:szCs w:val="24"/>
        </w:rPr>
        <w:t>(medium)</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Among the above mentioned areas of action some result from legal obligations and from the necessity to ensure that health legis</w:t>
      </w:r>
      <w:r>
        <w:rPr>
          <w:rFonts w:ascii="Times New Roman" w:hAnsi="Times New Roman" w:cs="Times New Roman"/>
          <w:noProof/>
          <w:sz w:val="24"/>
          <w:szCs w:val="24"/>
        </w:rPr>
        <w:t>lation is properly implemented and enforced and remains fit for purpose (see objective 3). Actions under objective 1 cover crisis preparedness and management; their necessity is undisputed and their implementation critical for ensuring the good functioning</w:t>
      </w:r>
      <w:r>
        <w:rPr>
          <w:rFonts w:ascii="Times New Roman" w:hAnsi="Times New Roman" w:cs="Times New Roman"/>
          <w:noProof/>
          <w:sz w:val="24"/>
          <w:szCs w:val="24"/>
        </w:rPr>
        <w:t xml:space="preserve"> of the Internal Market; in case of severe outbreaks and crises the necessary measures must be taken and resources made immediately available by the programme or through access to the [Emergency Reserve Fund].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areas of action under objectives 2 and 4</w:t>
      </w:r>
      <w:r>
        <w:rPr>
          <w:rFonts w:ascii="Times New Roman" w:hAnsi="Times New Roman" w:cs="Times New Roman"/>
          <w:noProof/>
          <w:sz w:val="24"/>
          <w:szCs w:val="24"/>
        </w:rPr>
        <w:t xml:space="preserve">, have been assessed as delivering promising outcomes in the ongoing Health Programme (e.g. the European Cancer Information System; the European Reference Networks) and should be pursued and will be expanded in the future Programme absorbing all available </w:t>
      </w:r>
      <w:r>
        <w:rPr>
          <w:rFonts w:ascii="Times New Roman" w:hAnsi="Times New Roman" w:cs="Times New Roman"/>
          <w:noProof/>
          <w:sz w:val="24"/>
          <w:szCs w:val="24"/>
        </w:rPr>
        <w:t xml:space="preserve">budget, allowing long term benefits to be fully deployed, and rolled out to other areas. Some such areas of action are also linked to important Commission initiatives such as the digitalisation of health and care, or the support for structural reforms and </w:t>
      </w:r>
      <w:r>
        <w:rPr>
          <w:rFonts w:ascii="Times New Roman" w:hAnsi="Times New Roman" w:cs="Times New Roman"/>
          <w:noProof/>
          <w:sz w:val="24"/>
          <w:szCs w:val="24"/>
        </w:rPr>
        <w:t>innovation discussed at the level of the EU semester. Integrated work on Health Technology Assessment (HTA) – as "piloted" through a series of Joint Actions in past and current programming periods, and provided in the recent HTA proposal adopted by the Com</w:t>
      </w:r>
      <w:r>
        <w:rPr>
          <w:rFonts w:ascii="Times New Roman" w:hAnsi="Times New Roman" w:cs="Times New Roman"/>
          <w:noProof/>
          <w:sz w:val="24"/>
          <w:szCs w:val="24"/>
        </w:rPr>
        <w:t>mission</w:t>
      </w:r>
      <w:r>
        <w:rPr>
          <w:rStyle w:val="FootnoteReference"/>
          <w:rFonts w:ascii="Times New Roman" w:hAnsi="Times New Roman" w:cs="Times New Roman"/>
          <w:noProof/>
          <w:sz w:val="24"/>
          <w:szCs w:val="24"/>
        </w:rPr>
        <w:footnoteReference w:id="181"/>
      </w:r>
      <w:r>
        <w:rPr>
          <w:rFonts w:ascii="Times New Roman" w:hAnsi="Times New Roman" w:cs="Times New Roman"/>
          <w:noProof/>
          <w:sz w:val="24"/>
          <w:szCs w:val="24"/>
        </w:rPr>
        <w:t xml:space="preserve"> – and on implementation of best practices (selected from the vast repository built through previous programmes</w:t>
      </w:r>
      <w:r>
        <w:rPr>
          <w:rStyle w:val="FootnoteReference"/>
          <w:rFonts w:ascii="Times New Roman" w:hAnsi="Times New Roman" w:cs="Times New Roman"/>
          <w:noProof/>
          <w:sz w:val="24"/>
          <w:szCs w:val="24"/>
        </w:rPr>
        <w:footnoteReference w:id="182"/>
      </w:r>
      <w:r>
        <w:rPr>
          <w:rFonts w:ascii="Times New Roman" w:hAnsi="Times New Roman" w:cs="Times New Roman"/>
          <w:noProof/>
          <w:sz w:val="24"/>
          <w:szCs w:val="24"/>
        </w:rPr>
        <w:t xml:space="preserve">) are also expected to deliver significant benefits in terms of EU added valued.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Instrumental to the pursuit of the objectives above i</w:t>
      </w:r>
      <w:r>
        <w:rPr>
          <w:rFonts w:ascii="Times New Roman" w:hAnsi="Times New Roman" w:cs="Times New Roman"/>
          <w:noProof/>
          <w:sz w:val="24"/>
          <w:szCs w:val="24"/>
        </w:rPr>
        <w:t>s the work of a number of expert groups such as the Expert Panel on Health and other fora, which brings health stakeholders together ensure close links to support the EU health policy making the Member States, fast access to country-specific knowledge, two</w:t>
      </w:r>
      <w:r>
        <w:rPr>
          <w:rFonts w:ascii="Times New Roman" w:hAnsi="Times New Roman" w:cs="Times New Roman"/>
          <w:noProof/>
          <w:sz w:val="24"/>
          <w:szCs w:val="24"/>
        </w:rPr>
        <w:t>-way sharing of relevant information and, most importantly, faster pathways for implementation  as well as the independent opinions of the Scientific Committees on consumer safety, on health and environmental risks and on emerging and newly identified heal</w:t>
      </w:r>
      <w:r>
        <w:rPr>
          <w:rFonts w:ascii="Times New Roman" w:hAnsi="Times New Roman" w:cs="Times New Roman"/>
          <w:noProof/>
          <w:sz w:val="24"/>
          <w:szCs w:val="24"/>
        </w:rPr>
        <w:t xml:space="preserve">th risks.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critical mass of funded projects for each area of action to ensure that the programme will work effectively [and efficiently] for crisis preparedness and management, health systems' improvement and digitalisation, respect of health l</w:t>
      </w:r>
      <w:r>
        <w:rPr>
          <w:rFonts w:ascii="Times New Roman" w:hAnsi="Times New Roman" w:cs="Times New Roman"/>
          <w:noProof/>
          <w:sz w:val="24"/>
          <w:szCs w:val="24"/>
        </w:rPr>
        <w:t>egal obligations, and further integrated work with the Member States. The 15 thematic areas of action are prioritised based on their EU-added value building on and consolidating the outcomes of the previous health programmes, mainly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w:t>
      </w:r>
      <w:r>
        <w:rPr>
          <w:rFonts w:ascii="Times New Roman" w:hAnsi="Times New Roman" w:cs="Times New Roman"/>
          <w:noProof/>
          <w:sz w:val="24"/>
          <w:szCs w:val="24"/>
        </w:rPr>
        <w:t>e.</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subsidiarity and proportionality, the mid-term review of the current programme concluded that most actions deliver useful outcomes with high EU-added value. This conclusion will be a fortiori applicable to the new programme, whose more focus</w:t>
      </w:r>
      <w:r>
        <w:rPr>
          <w:rFonts w:ascii="Times New Roman" w:hAnsi="Times New Roman" w:cs="Times New Roman"/>
          <w:noProof/>
          <w:sz w:val="24"/>
          <w:szCs w:val="24"/>
        </w:rPr>
        <w:t>ed and EU added value oriented intervention logic will allow to concentrate action in areas where Member States acting in isolation cannot achieve the results of action funded at EU level.</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the cooperation at EU level and coordination of </w:t>
      </w:r>
      <w:r>
        <w:rPr>
          <w:rFonts w:ascii="Times New Roman" w:hAnsi="Times New Roman" w:cs="Times New Roman"/>
          <w:noProof/>
          <w:sz w:val="24"/>
          <w:szCs w:val="24"/>
        </w:rPr>
        <w:t xml:space="preserve">preparedness plans and responses to health threats is one of the strongest and best-known aspects of the programme’s EU-added value. Activities to support capacity building against health threats have helped to improve Member States preparedness plans and </w:t>
      </w:r>
      <w:r>
        <w:rPr>
          <w:rFonts w:ascii="Times New Roman" w:hAnsi="Times New Roman" w:cs="Times New Roman"/>
          <w:noProof/>
          <w:sz w:val="24"/>
          <w:szCs w:val="24"/>
        </w:rPr>
        <w:t>provided for sharing knowledge and expertise and develop coherent approaches to tackle appropriately cross-border health threats, enabling the EU to speak with one voice to the wider international community.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 also helped Member Stat</w:t>
      </w:r>
      <w:r>
        <w:rPr>
          <w:rFonts w:ascii="Times New Roman" w:hAnsi="Times New Roman" w:cs="Times New Roman"/>
          <w:noProof/>
          <w:sz w:val="24"/>
          <w:szCs w:val="24"/>
        </w:rPr>
        <w:t>es to increase their capacities in various areas, pooling knowledge, expertise and resources across the EU to increase citizens' access to high quality healthcare and to contribute to the reduction of health inequalities both within and between EU Member S</w:t>
      </w:r>
      <w:r>
        <w:rPr>
          <w:rFonts w:ascii="Times New Roman" w:hAnsi="Times New Roman" w:cs="Times New Roman"/>
          <w:noProof/>
          <w:sz w:val="24"/>
          <w:szCs w:val="24"/>
        </w:rPr>
        <w:t>tates.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24 European Reference Networks on rare diseases, the collaboration between EU Health Technology Assessment bodies, the support given to the eHealth Network are all illustrations of how targeted EU funding can efficiently mobilise important reso</w:t>
      </w:r>
      <w:r>
        <w:rPr>
          <w:rFonts w:ascii="Times New Roman" w:hAnsi="Times New Roman" w:cs="Times New Roman"/>
          <w:noProof/>
          <w:sz w:val="24"/>
          <w:szCs w:val="24"/>
        </w:rPr>
        <w:t>urces at Member States level in those areas, and lead to lasting added value, beyond the specific activity. Cooperating, using and sharing knowledge is another thematic area were action has high EU-added value because the collection and analysis of compara</w:t>
      </w:r>
      <w:r>
        <w:rPr>
          <w:rFonts w:ascii="Times New Roman" w:hAnsi="Times New Roman" w:cs="Times New Roman"/>
          <w:noProof/>
          <w:sz w:val="24"/>
          <w:szCs w:val="24"/>
        </w:rPr>
        <w:t>ble data depicting the situation of health in each of the EU-28 Member States (country-profiles) contribute to an enhanced political dialogue and informed decision making for health policies.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Last but not least, the exchange and implementation of best pra</w:t>
      </w:r>
      <w:r>
        <w:rPr>
          <w:rFonts w:ascii="Times New Roman" w:hAnsi="Times New Roman" w:cs="Times New Roman"/>
          <w:noProof/>
          <w:sz w:val="24"/>
          <w:szCs w:val="24"/>
        </w:rPr>
        <w:t xml:space="preserve">ctice for promoting health and preventing diseases have also a high EU-added value, as they can help Member States in making their health systems more resilient to challenges resulting from demographic changes and the new burdens they create. </w:t>
      </w:r>
    </w:p>
    <w:p w:rsidR="003A1527" w:rsidRDefault="003A1527">
      <w:pPr>
        <w:pStyle w:val="Text2"/>
        <w:spacing w:after="0" w:line="240" w:lineRule="auto"/>
        <w:ind w:left="0"/>
        <w:rPr>
          <w:noProof/>
          <w:szCs w:val="24"/>
        </w:rPr>
      </w:pPr>
    </w:p>
    <w:p w:rsidR="003A1527" w:rsidRDefault="00742A12">
      <w:pPr>
        <w:pStyle w:val="Text2"/>
        <w:spacing w:after="0" w:line="240" w:lineRule="auto"/>
        <w:ind w:left="0"/>
        <w:rPr>
          <w:b/>
          <w:noProof/>
          <w:szCs w:val="24"/>
        </w:rPr>
      </w:pPr>
      <w:r>
        <w:rPr>
          <w:noProof/>
          <w:szCs w:val="24"/>
        </w:rPr>
        <w:t xml:space="preserve">The Treaty </w:t>
      </w:r>
      <w:r>
        <w:rPr>
          <w:noProof/>
          <w:szCs w:val="24"/>
        </w:rPr>
        <w:t>of Lisbon has enhanced the importance of health policy, stipulating that "a high level of human health protection shall be ensured in the definition and implementation of all Community policies and activities" (Article 168 of TFEU). The EU has an important</w:t>
      </w:r>
      <w:r>
        <w:rPr>
          <w:noProof/>
          <w:szCs w:val="24"/>
        </w:rPr>
        <w:t xml:space="preserve"> role to play in improving public health, preventing and managing diseases, mitigating sources of danger to human health, including by harmonising legislation on tobacco, medicinal products, medical devices, patients' rights in cross-border healthcare, are</w:t>
      </w:r>
      <w:r>
        <w:rPr>
          <w:noProof/>
          <w:szCs w:val="24"/>
        </w:rPr>
        <w:t>as where health regulations are directly linked with the Internal Market (Article 114 of TFEU).</w:t>
      </w:r>
    </w:p>
    <w:p w:rsidR="003A1527" w:rsidRDefault="003A1527">
      <w:pPr>
        <w:spacing w:after="0" w:line="240" w:lineRule="auto"/>
        <w:rPr>
          <w:rFonts w:ascii="Times New Roman" w:hAnsi="Times New Roman" w:cs="Times New Roman"/>
          <w:noProof/>
        </w:rPr>
      </w:pPr>
    </w:p>
    <w:p w:rsidR="003A1527" w:rsidRDefault="00742A12">
      <w:pPr>
        <w:pStyle w:val="BodyText2"/>
        <w:rPr>
          <w:b/>
        </w:rPr>
      </w:pPr>
      <w:bookmarkStart w:id="127" w:name="_Toc382372584"/>
      <w:bookmarkStart w:id="128" w:name="_Toc509833018"/>
      <w:bookmarkStart w:id="129" w:name="_Toc509846516"/>
      <w:bookmarkStart w:id="130" w:name="_Toc513214959"/>
      <w:r>
        <w:rPr>
          <w:b/>
        </w:rPr>
        <w:t>4. Delivery mechanisms of the intended funding</w:t>
      </w:r>
      <w:bookmarkEnd w:id="127"/>
      <w:bookmarkEnd w:id="128"/>
      <w:bookmarkEnd w:id="129"/>
      <w:bookmarkEnd w:id="130"/>
    </w:p>
    <w:p w:rsidR="003A1527" w:rsidRDefault="003A1527">
      <w:pPr>
        <w:pStyle w:val="Text2"/>
        <w:spacing w:after="0" w:line="240" w:lineRule="auto"/>
        <w:ind w:left="0"/>
        <w:rPr>
          <w:b/>
          <w:noProof/>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for the current health programme, the future one will be implemented in direct management mode with an impor</w:t>
      </w:r>
      <w:r>
        <w:rPr>
          <w:rFonts w:ascii="Times New Roman" w:hAnsi="Times New Roman" w:cs="Times New Roman"/>
          <w:noProof/>
          <w:sz w:val="24"/>
          <w:szCs w:val="24"/>
        </w:rPr>
        <w:t>tant part of its implementation entrusted to the Consumers, Health, Agriculture and Food Executive Agency (CHAFEA); the remaining part will be carried out by Commission services. The programme will provide funding (e.g. grants, public procurement, prizes),</w:t>
      </w:r>
      <w:r>
        <w:rPr>
          <w:rFonts w:ascii="Times New Roman" w:hAnsi="Times New Roman" w:cs="Times New Roman"/>
          <w:noProof/>
          <w:sz w:val="24"/>
          <w:szCs w:val="24"/>
        </w:rPr>
        <w:t xml:space="preserve"> and be complemented, where appropriate, by new mechanisms (e.g. lump sums, unit costs, flat rates) aiming to achieve programme specific objectives, in particular simplification and reduced cost of controls.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programme will be open to the [participati</w:t>
      </w:r>
      <w:r>
        <w:rPr>
          <w:rFonts w:ascii="Times New Roman" w:hAnsi="Times New Roman" w:cs="Times New Roman"/>
          <w:noProof/>
          <w:sz w:val="24"/>
          <w:szCs w:val="24"/>
        </w:rPr>
        <w:t>on][involvement] of third countries when this is necessary to counter cross-border health threats and prevent their spread within the EU.</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of previous Health Programmes has shown that in some circumstances (e.g. below certain levels of EU</w:t>
      </w:r>
      <w:r>
        <w:rPr>
          <w:rFonts w:ascii="Times New Roman" w:hAnsi="Times New Roman" w:cs="Times New Roman"/>
          <w:noProof/>
          <w:sz w:val="24"/>
          <w:szCs w:val="24"/>
        </w:rPr>
        <w:t xml:space="preserve"> co-funding or co-funding per beneficiary) the management of grants may entail inadequately high administrative costs for the Commission services and for the beneficiary entities. Moreover, depending on the type (and accounting practices) of the beneficiar</w:t>
      </w:r>
      <w:r>
        <w:rPr>
          <w:rFonts w:ascii="Times New Roman" w:hAnsi="Times New Roman" w:cs="Times New Roman"/>
          <w:noProof/>
          <w:sz w:val="24"/>
          <w:szCs w:val="24"/>
        </w:rPr>
        <w:t>ies, the complex grant management rules and procedures may increase the risk of irregularities from the side of these beneficiaries and consequently the errors for the programme. To streamline the administrative procedures and reduce the risk of errors and</w:t>
      </w:r>
      <w:r>
        <w:rPr>
          <w:rFonts w:ascii="Times New Roman" w:hAnsi="Times New Roman" w:cs="Times New Roman"/>
          <w:noProof/>
          <w:sz w:val="24"/>
          <w:szCs w:val="24"/>
        </w:rPr>
        <w:t xml:space="preserve"> irregularities, simplified forms of grants, such as lump sums, unit costs and flat rates will be used (e.g. for operating grants to non-governmental organisations and ERNs).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w:t>
      </w:r>
      <w:r>
        <w:rPr>
          <w:rFonts w:ascii="Times New Roman" w:hAnsi="Times New Roman" w:cs="Times New Roman"/>
          <w:b/>
          <w:noProof/>
          <w:sz w:val="24"/>
          <w:szCs w:val="24"/>
        </w:rPr>
        <w:t xml:space="preserve"> </w:t>
      </w:r>
      <w:r>
        <w:rPr>
          <w:rFonts w:ascii="Times New Roman" w:hAnsi="Times New Roman" w:cs="Times New Roman"/>
          <w:noProof/>
          <w:sz w:val="24"/>
          <w:szCs w:val="24"/>
        </w:rPr>
        <w:t>procurement procedures are used for the acquisition of services, tools, s</w:t>
      </w:r>
      <w:r>
        <w:rPr>
          <w:rFonts w:ascii="Times New Roman" w:hAnsi="Times New Roman" w:cs="Times New Roman"/>
          <w:noProof/>
          <w:sz w:val="24"/>
          <w:szCs w:val="24"/>
        </w:rPr>
        <w:t>tudies to support the implementation of legislation. Where appropriate, they may also be launched to purchase goods such as medical counter measures and equipment in case of health crisis in order to complement Member States capacities in crisis management</w:t>
      </w:r>
      <w:r>
        <w:rPr>
          <w:rFonts w:ascii="Times New Roman" w:hAnsi="Times New Roman" w:cs="Times New Roman"/>
          <w:noProof/>
          <w:sz w:val="24"/>
          <w:szCs w:val="24"/>
        </w:rPr>
        <w:t xml:space="preserve"> and response, as well as joint financing of rare diseases therapies in support of the ERNs.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 previous programmes, other instruments</w:t>
      </w:r>
      <w:r>
        <w:rPr>
          <w:rFonts w:ascii="Times New Roman" w:hAnsi="Times New Roman" w:cs="Times New Roman"/>
          <w:b/>
          <w:noProof/>
          <w:sz w:val="24"/>
          <w:szCs w:val="24"/>
        </w:rPr>
        <w:t xml:space="preserve"> </w:t>
      </w:r>
      <w:r>
        <w:rPr>
          <w:rFonts w:ascii="Times New Roman" w:hAnsi="Times New Roman" w:cs="Times New Roman"/>
          <w:noProof/>
          <w:sz w:val="24"/>
          <w:szCs w:val="24"/>
        </w:rPr>
        <w:t>easy to manage in terms of administrative costs, will also be used: prizes (e.g. EU Health Award), membership fees, r</w:t>
      </w:r>
      <w:r>
        <w:rPr>
          <w:rFonts w:ascii="Times New Roman" w:hAnsi="Times New Roman" w:cs="Times New Roman"/>
          <w:noProof/>
          <w:sz w:val="24"/>
          <w:szCs w:val="24"/>
        </w:rPr>
        <w:t xml:space="preserve">eimbursement of expert or auditor mission costs, administrative agreements (e.g. with the Joint Research Centre) and cross sub-delegation (e.g. to EUROSTAT for data collection on health-related topics).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toolkit of delivery mechanisms is flexible enou</w:t>
      </w:r>
      <w:r>
        <w:rPr>
          <w:rFonts w:ascii="Times New Roman" w:hAnsi="Times New Roman" w:cs="Times New Roman"/>
          <w:noProof/>
          <w:sz w:val="24"/>
          <w:szCs w:val="24"/>
        </w:rPr>
        <w:t>gh to allow funding in a proportionate manner and adjusted to the objectives being pursued. It also offers important potential for economies of scope and economies of scale, which enhance the overall effectiveness and efficiency of EU funding. For example,</w:t>
      </w:r>
      <w:r>
        <w:rPr>
          <w:rFonts w:ascii="Times New Roman" w:hAnsi="Times New Roman" w:cs="Times New Roman"/>
          <w:noProof/>
          <w:sz w:val="24"/>
          <w:szCs w:val="24"/>
        </w:rPr>
        <w:t xml:space="preserve"> the grants for joint actions can be used in case of pan-European collaboration at a technical and political level when the political momentum is sufficient for results to be applied in practice. They help address health issues when critical mass is needed</w:t>
      </w:r>
      <w:r>
        <w:rPr>
          <w:rFonts w:ascii="Times New Roman" w:hAnsi="Times New Roman" w:cs="Times New Roman"/>
          <w:noProof/>
          <w:sz w:val="24"/>
          <w:szCs w:val="24"/>
        </w:rPr>
        <w:t xml:space="preserve"> with the potential for identifying best practices. As such, they do not go beyond what is needed and they complement the Member States policies through, for example, the up-take of identified best practices. Likewise, the </w:t>
      </w:r>
      <w:r>
        <w:rPr>
          <w:rFonts w:ascii="Times New Roman" w:hAnsi="Times New Roman" w:cs="Times New Roman"/>
          <w:i/>
          <w:noProof/>
          <w:sz w:val="24"/>
          <w:szCs w:val="24"/>
        </w:rPr>
        <w:t>grants for projects</w:t>
      </w:r>
      <w:r>
        <w:rPr>
          <w:rFonts w:ascii="Times New Roman" w:hAnsi="Times New Roman" w:cs="Times New Roman"/>
          <w:noProof/>
          <w:sz w:val="24"/>
          <w:szCs w:val="24"/>
        </w:rPr>
        <w:t xml:space="preserve"> involve diffe</w:t>
      </w:r>
      <w:r>
        <w:rPr>
          <w:rFonts w:ascii="Times New Roman" w:hAnsi="Times New Roman" w:cs="Times New Roman"/>
          <w:noProof/>
          <w:sz w:val="24"/>
          <w:szCs w:val="24"/>
        </w:rPr>
        <w:t>rent organisations in several Member States, joining forces to perform tasks on a common set of challenges with a trans-national dimension which cannot be effectively addressed in other organisational/institutional settings.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Grants agreements show from pa</w:t>
      </w:r>
      <w:r>
        <w:rPr>
          <w:rFonts w:ascii="Times New Roman" w:hAnsi="Times New Roman" w:cs="Times New Roman"/>
          <w:noProof/>
          <w:sz w:val="24"/>
          <w:szCs w:val="24"/>
        </w:rPr>
        <w:t>st experience that the risks of errors and irregularities can be further reduced through information sessions for applicants where these mitigation measures will contain management rules, audits and on-the-spot checks.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of past programmes al</w:t>
      </w:r>
      <w:r>
        <w:rPr>
          <w:rFonts w:ascii="Times New Roman" w:hAnsi="Times New Roman" w:cs="Times New Roman"/>
          <w:noProof/>
          <w:sz w:val="24"/>
          <w:szCs w:val="24"/>
        </w:rPr>
        <w:t>so showed insufficient participation of beneficiaries from low per-inhabitant GNI countries (below 90% of the EU average per-inhabitant GNI). To facilitate participation of these beneficiaries, "</w:t>
      </w:r>
      <w:r>
        <w:rPr>
          <w:rFonts w:ascii="Times New Roman" w:hAnsi="Times New Roman" w:cs="Times New Roman"/>
          <w:i/>
          <w:noProof/>
          <w:sz w:val="24"/>
          <w:szCs w:val="24"/>
        </w:rPr>
        <w:t>an exceptional utility</w:t>
      </w:r>
      <w:r>
        <w:rPr>
          <w:rFonts w:ascii="Times New Roman" w:hAnsi="Times New Roman" w:cs="Times New Roman"/>
          <w:noProof/>
          <w:sz w:val="24"/>
          <w:szCs w:val="24"/>
        </w:rPr>
        <w:t>" criterion has been implemented and wi</w:t>
      </w:r>
      <w:r>
        <w:rPr>
          <w:rFonts w:ascii="Times New Roman" w:hAnsi="Times New Roman" w:cs="Times New Roman"/>
          <w:noProof/>
          <w:sz w:val="24"/>
          <w:szCs w:val="24"/>
        </w:rPr>
        <w:t>ll continue to be used enabling the increase of maximum EU co-funding rates from 60% to 80% of eligible costs for beneficiaries established in low per-inhabitant GNI countries</w:t>
      </w:r>
      <w:r>
        <w:rPr>
          <w:rStyle w:val="FootnoteReference"/>
          <w:rFonts w:ascii="Times New Roman" w:hAnsi="Times New Roman" w:cs="Times New Roman"/>
          <w:noProof/>
          <w:sz w:val="24"/>
          <w:szCs w:val="24"/>
        </w:rPr>
        <w:footnoteReference w:id="183"/>
      </w:r>
      <w:r>
        <w:rPr>
          <w:rFonts w:ascii="Times New Roman" w:hAnsi="Times New Roman" w:cs="Times New Roman"/>
          <w:noProof/>
          <w:sz w:val="24"/>
          <w:szCs w:val="24"/>
        </w:rPr>
        <w:t>.</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concerning the </w:t>
      </w:r>
      <w:r>
        <w:rPr>
          <w:rFonts w:ascii="Times New Roman" w:hAnsi="Times New Roman" w:cs="Times New Roman"/>
          <w:i/>
          <w:noProof/>
          <w:sz w:val="24"/>
          <w:szCs w:val="24"/>
        </w:rPr>
        <w:t>direct grants</w:t>
      </w:r>
      <w:r>
        <w:rPr>
          <w:rFonts w:ascii="Times New Roman" w:hAnsi="Times New Roman" w:cs="Times New Roman"/>
          <w:noProof/>
          <w:sz w:val="24"/>
          <w:szCs w:val="24"/>
        </w:rPr>
        <w:t>, this funding mechanism enables to tap into the unique knowhow of other intergovernmental organisations, such as the OECD, the WHO or the Council of Europe work on European Pharmacopeia, for the purposes of serving the health programmes objectives. One ex</w:t>
      </w:r>
      <w:r>
        <w:rPr>
          <w:rFonts w:ascii="Times New Roman" w:hAnsi="Times New Roman" w:cs="Times New Roman"/>
          <w:noProof/>
          <w:sz w:val="24"/>
          <w:szCs w:val="24"/>
        </w:rPr>
        <w:t>ample is the case of the development of a common health information system (including the EU, OECD and the WHO) with data and indicators validated and collected routinely across Member States while seeking to ensure systematically the visibility of EU part</w:t>
      </w:r>
      <w:r>
        <w:rPr>
          <w:rFonts w:ascii="Times New Roman" w:hAnsi="Times New Roman" w:cs="Times New Roman"/>
          <w:noProof/>
          <w:sz w:val="24"/>
          <w:szCs w:val="24"/>
        </w:rPr>
        <w:t xml:space="preserve">icipation and co-funding.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effective and EU swift reaction to unforeseen developments, notably in case of severe outbreaks and health crises, the necessary measures for crisis management and emergency response will be funded through an access to the E</w:t>
      </w:r>
      <w:r>
        <w:rPr>
          <w:rFonts w:ascii="Times New Roman" w:hAnsi="Times New Roman" w:cs="Times New Roman"/>
          <w:noProof/>
          <w:sz w:val="24"/>
          <w:szCs w:val="24"/>
        </w:rPr>
        <w:t>mergency Reserve Fund of the Multiannual Financial Framework.</w:t>
      </w:r>
    </w:p>
    <w:p w:rsidR="003A1527" w:rsidRDefault="003A1527">
      <w:pPr>
        <w:pStyle w:val="Heading1"/>
        <w:keepLines w:val="0"/>
        <w:spacing w:before="0"/>
        <w:jc w:val="both"/>
        <w:rPr>
          <w:noProof/>
        </w:rPr>
      </w:pPr>
      <w:bookmarkStart w:id="131" w:name="_Toc382372585"/>
      <w:bookmarkStart w:id="132" w:name="_Toc509833019"/>
      <w:bookmarkStart w:id="133" w:name="_Toc509846517"/>
      <w:bookmarkStart w:id="134" w:name="_Toc513214960"/>
    </w:p>
    <w:p w:rsidR="003A1527" w:rsidRDefault="00742A12">
      <w:pPr>
        <w:pStyle w:val="BodyText2"/>
        <w:rPr>
          <w:b/>
        </w:rPr>
      </w:pPr>
      <w:r>
        <w:rPr>
          <w:b/>
        </w:rPr>
        <w:t>5. How will performance be monitored and evaluated?</w:t>
      </w:r>
      <w:bookmarkEnd w:id="131"/>
      <w:bookmarkEnd w:id="132"/>
      <w:bookmarkEnd w:id="133"/>
      <w:bookmarkEnd w:id="134"/>
    </w:p>
    <w:p w:rsidR="003A1527" w:rsidRDefault="003A1527">
      <w:pPr>
        <w:pStyle w:val="Text2"/>
        <w:spacing w:after="0" w:line="240" w:lineRule="auto"/>
        <w:ind w:left="0"/>
        <w:rPr>
          <w:b/>
          <w:noProof/>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Building on existing processes and tools developed in the 3</w:t>
      </w:r>
      <w:r>
        <w:rPr>
          <w:rFonts w:ascii="Times New Roman" w:eastAsia="Times New Roman" w:hAnsi="Times New Roman" w:cs="Times New Roman"/>
          <w:noProof/>
          <w:sz w:val="24"/>
          <w:vertAlign w:val="superscript"/>
        </w:rPr>
        <w:t>rd</w:t>
      </w:r>
      <w:r>
        <w:rPr>
          <w:rFonts w:ascii="Times New Roman" w:eastAsia="Times New Roman" w:hAnsi="Times New Roman" w:cs="Times New Roman"/>
          <w:noProof/>
          <w:sz w:val="24"/>
        </w:rPr>
        <w:t xml:space="preserve"> Health Programme, the Commission is developing a monitoring approach and will put in place all arrangements to follow Programme implementation and performance in delivering the results of actions in respect to their corresponding objectives. To that end, </w:t>
      </w:r>
      <w:r>
        <w:rPr>
          <w:rFonts w:ascii="Times New Roman" w:eastAsia="Times New Roman" w:hAnsi="Times New Roman" w:cs="Times New Roman"/>
          <w:noProof/>
          <w:sz w:val="24"/>
        </w:rPr>
        <w:t>proportionate reporting requirements will be requested from recipients of EU funds and from the Programme's National Focal Points, supplemented by additional data collected in an efficient and timely manner from other sources (e.g. Eurostat, other relevant</w:t>
      </w:r>
      <w:r>
        <w:rPr>
          <w:rFonts w:ascii="Times New Roman" w:eastAsia="Times New Roman" w:hAnsi="Times New Roman" w:cs="Times New Roman"/>
          <w:noProof/>
          <w:sz w:val="24"/>
        </w:rPr>
        <w:t xml:space="preserve"> Commission services, Member States authorities, targeted surveys). This will enable to collect the required data and information at different points in time using a set of indicators as input to the evaluation of the Programme performance.</w:t>
      </w:r>
    </w:p>
    <w:p w:rsidR="003A1527" w:rsidRDefault="003A1527">
      <w:pPr>
        <w:spacing w:after="0" w:line="240" w:lineRule="auto"/>
        <w:rPr>
          <w:rFonts w:ascii="Times New Roman" w:eastAsia="Times New Roman" w:hAnsi="Times New Roman" w:cs="Times New Roman"/>
          <w:i/>
          <w:noProof/>
          <w:sz w:val="24"/>
          <w:u w:val="single"/>
        </w:rPr>
      </w:pPr>
    </w:p>
    <w:p w:rsidR="003A1527" w:rsidRDefault="00742A12">
      <w:pPr>
        <w:spacing w:after="0" w:line="240" w:lineRule="auto"/>
        <w:rPr>
          <w:rFonts w:ascii="Times New Roman" w:eastAsia="Times New Roman" w:hAnsi="Times New Roman" w:cs="Times New Roman"/>
          <w:i/>
          <w:noProof/>
          <w:sz w:val="24"/>
          <w:u w:val="single"/>
        </w:rPr>
      </w:pPr>
      <w:r>
        <w:rPr>
          <w:rFonts w:ascii="Times New Roman" w:eastAsia="Times New Roman" w:hAnsi="Times New Roman" w:cs="Times New Roman"/>
          <w:i/>
          <w:noProof/>
          <w:sz w:val="24"/>
          <w:u w:val="single"/>
        </w:rPr>
        <w:t>Performance mo</w:t>
      </w:r>
      <w:r>
        <w:rPr>
          <w:rFonts w:ascii="Times New Roman" w:eastAsia="Times New Roman" w:hAnsi="Times New Roman" w:cs="Times New Roman"/>
          <w:i/>
          <w:noProof/>
          <w:sz w:val="24"/>
          <w:u w:val="single"/>
        </w:rPr>
        <w:t>nitoring</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Programme supports and complements Member States action in health and healthcare and its success depends on complementarity to and compatibility with Member States' health national plans and strategies. Impacts on the health of population cann</w:t>
      </w:r>
      <w:r>
        <w:rPr>
          <w:rFonts w:ascii="Times New Roman" w:eastAsia="Times New Roman" w:hAnsi="Times New Roman" w:cs="Times New Roman"/>
          <w:noProof/>
          <w:sz w:val="24"/>
        </w:rPr>
        <w:t>ot be directly attributable to the only Health Programme for the reason mentioned above, moreover long years are necessary in the scale of a human life and this is not suitable for a seven years Programme. However the Programme creates leverage effects and</w:t>
      </w:r>
      <w:r>
        <w:rPr>
          <w:rFonts w:ascii="Times New Roman" w:eastAsia="Times New Roman" w:hAnsi="Times New Roman" w:cs="Times New Roman"/>
          <w:noProof/>
          <w:sz w:val="24"/>
        </w:rPr>
        <w:t xml:space="preserve"> is decisive for changes and improvements in the national health policies.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w:t>
      </w:r>
      <w:r>
        <w:rPr>
          <w:rFonts w:ascii="Times New Roman" w:eastAsia="Times New Roman" w:hAnsi="Times New Roman" w:cs="Times New Roman"/>
          <w:i/>
          <w:noProof/>
          <w:sz w:val="24"/>
        </w:rPr>
        <w:t>State of Health in the EU</w:t>
      </w:r>
      <w:r>
        <w:rPr>
          <w:rFonts w:ascii="Times New Roman" w:eastAsia="Times New Roman" w:hAnsi="Times New Roman" w:cs="Times New Roman"/>
          <w:i/>
          <w:noProof/>
          <w:sz w:val="24"/>
          <w:vertAlign w:val="superscript"/>
        </w:rPr>
        <w:footnoteReference w:id="184"/>
      </w:r>
      <w:r>
        <w:rPr>
          <w:rFonts w:ascii="Times New Roman" w:eastAsia="Times New Roman" w:hAnsi="Times New Roman" w:cs="Times New Roman"/>
          <w:noProof/>
          <w:sz w:val="24"/>
        </w:rPr>
        <w:t>, a bi-annual cycle of collection and analysis of data describing the health country profiles and identifying the specific needs of Member States, wi</w:t>
      </w:r>
      <w:r>
        <w:rPr>
          <w:rFonts w:ascii="Times New Roman" w:eastAsia="Times New Roman" w:hAnsi="Times New Roman" w:cs="Times New Roman"/>
          <w:noProof/>
          <w:sz w:val="24"/>
        </w:rPr>
        <w:t xml:space="preserve">ll be used as basis for evaluating how they are participating in the Health Programme and how they are making use of the financial support for their concrete needs to improve their public health capacity and reform their health systems.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A first step into</w:t>
      </w:r>
      <w:r>
        <w:rPr>
          <w:rFonts w:ascii="Times New Roman" w:eastAsia="Times New Roman" w:hAnsi="Times New Roman" w:cs="Times New Roman"/>
          <w:noProof/>
          <w:sz w:val="24"/>
        </w:rPr>
        <w:t xml:space="preserve"> measuring performance is to clearly communicate the targets of each Programme objective ideally already in the legal basis and inform Member States and potential applicants. Only actions contributing to those targets should be retained in the adoption of </w:t>
      </w:r>
      <w:r>
        <w:rPr>
          <w:rFonts w:ascii="Times New Roman" w:eastAsia="Times New Roman" w:hAnsi="Times New Roman" w:cs="Times New Roman"/>
          <w:noProof/>
          <w:sz w:val="24"/>
        </w:rPr>
        <w:t>the Annual Work Programmes, and the applicants should be able to justify how their proposals add value to these targets and on which basis their we can consider that their actions has succeeded or failed. This is important for avoiding past experiences whe</w:t>
      </w:r>
      <w:r>
        <w:rPr>
          <w:rFonts w:ascii="Times New Roman" w:eastAsia="Times New Roman" w:hAnsi="Times New Roman" w:cs="Times New Roman"/>
          <w:noProof/>
          <w:sz w:val="24"/>
        </w:rPr>
        <w:t xml:space="preserve">re Programme evaluations have demonstrated that the Programme has had financed a series of individual successful actions but it was not possible to conclude if the Programme has achieved its own objectives.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Objective 1: Prepare for and counter health cri</w:t>
      </w:r>
      <w:r>
        <w:rPr>
          <w:rFonts w:ascii="Times New Roman" w:eastAsia="Times New Roman" w:hAnsi="Times New Roman" w:cs="Times New Roman"/>
          <w:noProof/>
          <w:sz w:val="24"/>
        </w:rPr>
        <w:t>ses</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target here is: </w:t>
      </w:r>
    </w:p>
    <w:p w:rsidR="003A1527" w:rsidRDefault="00742A12">
      <w:pPr>
        <w:numPr>
          <w:ilvl w:val="0"/>
          <w:numId w:val="46"/>
        </w:numPr>
        <w:spacing w:after="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effective deployment resources ( more than 90% of resources deployed), in the event of severe health crises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Objective 2: Empower health systems with emphasis on their digital transformation</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target is: </w:t>
      </w:r>
    </w:p>
    <w:p w:rsidR="003A1527" w:rsidRDefault="00742A12">
      <w:pPr>
        <w:numPr>
          <w:ilvl w:val="0"/>
          <w:numId w:val="46"/>
        </w:numPr>
        <w:spacing w:after="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successful synergies wi</w:t>
      </w:r>
      <w:r>
        <w:rPr>
          <w:rFonts w:ascii="Times New Roman" w:eastAsia="Times New Roman" w:hAnsi="Times New Roman" w:cs="Times New Roman"/>
          <w:noProof/>
          <w:sz w:val="24"/>
        </w:rPr>
        <w:t xml:space="preserve">th other EU funds and programmes enabling to reach sustainable transformations and reforms, while health systems continue to deliver high quality of health services and health outcomes. </w:t>
      </w:r>
    </w:p>
    <w:p w:rsidR="003A1527" w:rsidRDefault="003A1527">
      <w:pPr>
        <w:spacing w:after="0" w:line="240" w:lineRule="auto"/>
        <w:ind w:left="1494"/>
        <w:contextualSpacing/>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Objective 3: Support EU health legislation</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target is: </w:t>
      </w:r>
    </w:p>
    <w:p w:rsidR="003A1527" w:rsidRDefault="00742A12">
      <w:pPr>
        <w:numPr>
          <w:ilvl w:val="0"/>
          <w:numId w:val="46"/>
        </w:numPr>
        <w:spacing w:after="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a high </w:t>
      </w:r>
      <w:r>
        <w:rPr>
          <w:rFonts w:ascii="Times New Roman" w:eastAsia="Times New Roman" w:hAnsi="Times New Roman" w:cs="Times New Roman"/>
          <w:noProof/>
          <w:sz w:val="24"/>
        </w:rPr>
        <w:t>degree of transposition and implementation of EU health legislation into the national legal systems measured by regular evaluations</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Objective 4: Support integrated work</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target is: </w:t>
      </w:r>
    </w:p>
    <w:p w:rsidR="003A1527" w:rsidRDefault="00742A12">
      <w:pPr>
        <w:numPr>
          <w:ilvl w:val="0"/>
          <w:numId w:val="46"/>
        </w:numPr>
        <w:spacing w:after="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an increased engagement of Member States in integrated work measured w</w:t>
      </w:r>
      <w:r>
        <w:rPr>
          <w:rFonts w:ascii="Times New Roman" w:eastAsia="Times New Roman" w:hAnsi="Times New Roman" w:cs="Times New Roman"/>
          <w:noProof/>
          <w:sz w:val="24"/>
        </w:rPr>
        <w:t>ith an indicator resulting from the aggregation of indicators at thematic area of action level.</w:t>
      </w:r>
    </w:p>
    <w:p w:rsidR="003A1527" w:rsidRDefault="003A1527">
      <w:pPr>
        <w:spacing w:after="0" w:line="240" w:lineRule="auto"/>
        <w:ind w:left="1494"/>
        <w:contextualSpacing/>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the case of HTA, this will be translated by the fact that all Member States can make their citizens benefit from medicines and therapies by accessing/ using</w:t>
      </w:r>
      <w:r>
        <w:rPr>
          <w:rFonts w:ascii="Times New Roman" w:eastAsia="Times New Roman" w:hAnsi="Times New Roman" w:cs="Times New Roman"/>
          <w:noProof/>
          <w:sz w:val="24"/>
        </w:rPr>
        <w:t xml:space="preserve"> qualitative Technology Assessments jointly prepared at EU level with minimum cost (economies of scale);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the case of ERNs, this will be translated by the fact that rare diseases patients independently of where they are living in the EU can have access</w:t>
      </w:r>
      <w:r>
        <w:rPr>
          <w:rFonts w:ascii="Times New Roman" w:eastAsia="Times New Roman" w:hAnsi="Times New Roman" w:cs="Times New Roman"/>
          <w:noProof/>
          <w:sz w:val="24"/>
        </w:rPr>
        <w:t xml:space="preserve"> to rapid diagnosis and treatment;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In the case of implementation of best practices, citizens can benefit from improved national health programmes that have integrated the best available scientific evidence. This will result in the long term to economies </w:t>
      </w:r>
      <w:r>
        <w:rPr>
          <w:rFonts w:ascii="Times New Roman" w:eastAsia="Times New Roman" w:hAnsi="Times New Roman" w:cs="Times New Roman"/>
          <w:noProof/>
          <w:sz w:val="24"/>
        </w:rPr>
        <w:t xml:space="preserve">for the health systems and in longevity and healthier life years for the individuals.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Currently, the Commission is working with the help of external contractors to find the most appropriate (quantifiable if possible) indicators at the level of operationa</w:t>
      </w:r>
      <w:r>
        <w:rPr>
          <w:rFonts w:ascii="Times New Roman" w:eastAsia="Times New Roman" w:hAnsi="Times New Roman" w:cs="Times New Roman"/>
          <w:noProof/>
          <w:sz w:val="24"/>
        </w:rPr>
        <w:t>l thematic areas for an improved monitoring system (see table below). This system, managed by the Consumers, Health, Agriculture and Food Executive Agency (CHAFEA), will ensure the follow up of the implementation of the co-funded actions and support the mo</w:t>
      </w:r>
      <w:r>
        <w:rPr>
          <w:rFonts w:ascii="Times New Roman" w:eastAsia="Times New Roman" w:hAnsi="Times New Roman" w:cs="Times New Roman"/>
          <w:noProof/>
          <w:sz w:val="24"/>
        </w:rPr>
        <w:t>nitoring of the Programme as a whole. A measure of success of the entire programme could be represented by the capability to create synergies with other EU programmes; appropriate indicators will be developed.</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An overall indicator "Integrated work engagem</w:t>
      </w:r>
      <w:r>
        <w:rPr>
          <w:rFonts w:ascii="Times New Roman" w:eastAsia="Times New Roman" w:hAnsi="Times New Roman" w:cs="Times New Roman"/>
          <w:noProof/>
          <w:sz w:val="24"/>
        </w:rPr>
        <w:t>ent strength" based on the aggregation of the indicators measuring the thematic areas of action under the specific objective "Support integrated work" is suggested for measuring the health dimension of the Single Market Programme.</w:t>
      </w:r>
    </w:p>
    <w:p w:rsidR="003A1527" w:rsidRDefault="003A1527">
      <w:pPr>
        <w:spacing w:after="0" w:line="240" w:lineRule="auto"/>
        <w:rPr>
          <w:rFonts w:ascii="Times New Roman" w:eastAsia="Times New Roman" w:hAnsi="Times New Roman" w:cs="Times New Roman"/>
          <w:i/>
          <w:noProof/>
          <w:sz w:val="24"/>
          <w:u w:val="single"/>
        </w:rPr>
      </w:pPr>
    </w:p>
    <w:p w:rsidR="003A1527" w:rsidRDefault="00742A12">
      <w:pPr>
        <w:spacing w:after="0" w:line="240" w:lineRule="auto"/>
        <w:rPr>
          <w:rFonts w:ascii="Times New Roman" w:eastAsia="Times New Roman" w:hAnsi="Times New Roman" w:cs="Times New Roman"/>
          <w:i/>
          <w:noProof/>
          <w:sz w:val="24"/>
          <w:u w:val="single"/>
        </w:rPr>
      </w:pPr>
      <w:r>
        <w:rPr>
          <w:rFonts w:ascii="Times New Roman" w:eastAsia="Times New Roman" w:hAnsi="Times New Roman" w:cs="Times New Roman"/>
          <w:i/>
          <w:noProof/>
          <w:sz w:val="24"/>
          <w:u w:val="single"/>
        </w:rPr>
        <w:t>Monitoring arrangements</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Consumers, Health, Agriculture and Food Executive Agency (CHAFEA) will ensure continuous monitoring of the Programme. </w:t>
      </w:r>
    </w:p>
    <w:p w:rsidR="003A1527" w:rsidRDefault="003A1527">
      <w:pPr>
        <w:spacing w:after="0" w:line="240" w:lineRule="auto"/>
        <w:jc w:val="both"/>
        <w:rPr>
          <w:rFonts w:ascii="Times New Roman" w:hAnsi="Times New Roman" w:cs="Times New Roman"/>
          <w:noProof/>
          <w:sz w:val="24"/>
        </w:rPr>
      </w:pPr>
    </w:p>
    <w:p w:rsidR="003A1527" w:rsidRDefault="00742A12">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The </w:t>
      </w:r>
      <w:r>
        <w:rPr>
          <w:rFonts w:ascii="Times New Roman" w:hAnsi="Times New Roman" w:cs="Times New Roman"/>
          <w:i/>
          <w:noProof/>
          <w:sz w:val="24"/>
        </w:rPr>
        <w:t>CORDA system</w:t>
      </w:r>
      <w:r>
        <w:rPr>
          <w:rFonts w:ascii="Times New Roman" w:hAnsi="Times New Roman" w:cs="Times New Roman"/>
          <w:noProof/>
          <w:sz w:val="24"/>
        </w:rPr>
        <w:t xml:space="preserve"> implemented by the Common Support Centre will centralise the results collected for all actions monitored through the use of the Horizon 2020 IT tools. It will be the key source of information for the evaluations of the future Programme and for the provisi</w:t>
      </w:r>
      <w:r>
        <w:rPr>
          <w:rFonts w:ascii="Times New Roman" w:hAnsi="Times New Roman" w:cs="Times New Roman"/>
          <w:noProof/>
          <w:sz w:val="24"/>
        </w:rPr>
        <w:t>on of policy feedback on the attainment of the Programme objectives and priorities, the types of actions and types of organisations co-funded. Additional data, for actions still remaining outside the Horizon 2020, including through forthcoming eProcurement</w:t>
      </w:r>
      <w:r>
        <w:rPr>
          <w:rFonts w:ascii="Times New Roman" w:hAnsi="Times New Roman" w:cs="Times New Roman"/>
          <w:noProof/>
          <w:sz w:val="24"/>
        </w:rPr>
        <w:t xml:space="preserve"> IT tools will be incorporated in a single dashboard, enabling close to real-time monitoring and reporting.</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This comprehensive Programme monitoring will ensure early detection of risks and possible deviations from target and timely adjustments, mitigation</w:t>
      </w:r>
      <w:r>
        <w:rPr>
          <w:rFonts w:ascii="Times New Roman" w:eastAsia="Times New Roman" w:hAnsi="Times New Roman" w:cs="Times New Roman"/>
          <w:noProof/>
          <w:sz w:val="24"/>
        </w:rPr>
        <w:t xml:space="preserve"> and corrective actions.</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Further information will be gathered through data collected (e.g. statistics, surveys, specific studies/reports) at less frequent rate from other sources among which, Eurostat, the Joint Research Centre (JRC), other Commission Serv</w:t>
      </w:r>
      <w:r>
        <w:rPr>
          <w:rFonts w:ascii="Times New Roman" w:eastAsia="Times New Roman" w:hAnsi="Times New Roman" w:cs="Times New Roman"/>
          <w:noProof/>
          <w:sz w:val="24"/>
        </w:rPr>
        <w:t>ices, Member States authorities, Committees of Member States’ Representatives, the National Contact Points (NCPs).</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noProof/>
        </w:rPr>
      </w:pPr>
      <w:r>
        <w:rPr>
          <w:rFonts w:ascii="Times New Roman" w:eastAsia="Times New Roman" w:hAnsi="Times New Roman" w:cs="Times New Roman"/>
          <w:noProof/>
          <w:sz w:val="24"/>
        </w:rPr>
        <w:t>Concerning the preparation and countering of health crises and the support to EU legislation objectives, the main outcomes and impacts (prep</w:t>
      </w:r>
      <w:r>
        <w:rPr>
          <w:rFonts w:ascii="Times New Roman" w:eastAsia="Times New Roman" w:hAnsi="Times New Roman" w:cs="Times New Roman"/>
          <w:noProof/>
          <w:sz w:val="24"/>
        </w:rPr>
        <w:t>aredness plans, deployment of resources in case of health crises including availability of countermeasures, degree of national transposition of EU legislation) will be compiled by the responsible Commission services, on the basis of information received fr</w:t>
      </w:r>
      <w:r>
        <w:rPr>
          <w:rFonts w:ascii="Times New Roman" w:eastAsia="Times New Roman" w:hAnsi="Times New Roman" w:cs="Times New Roman"/>
          <w:noProof/>
          <w:sz w:val="24"/>
        </w:rPr>
        <w:t>om Member States’ authorities or from Members States’ Representatives in relevant Committees.</w:t>
      </w:r>
      <w:r>
        <w:rPr>
          <w:noProof/>
        </w:rPr>
        <w:t xml:space="preserve">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WHO monitoring process involves the assessment of implementation of International Health Regulations (IHR) core capacities (e.g., legislation and policy, co</w:t>
      </w:r>
      <w:r>
        <w:rPr>
          <w:rFonts w:ascii="Times New Roman" w:eastAsia="Times New Roman" w:hAnsi="Times New Roman" w:cs="Times New Roman"/>
          <w:noProof/>
          <w:sz w:val="24"/>
        </w:rPr>
        <w:t xml:space="preserve">ordination, surveillance, response, preparedness, risk and crisis communication, human resources, laboratory, events at points of entry), through a checklist of indicators using a composite measure based on capability indicators.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Programme evaluation and</w:t>
      </w:r>
      <w:r>
        <w:rPr>
          <w:rFonts w:ascii="Times New Roman" w:eastAsia="Times New Roman" w:hAnsi="Times New Roman" w:cs="Times New Roman"/>
          <w:noProof/>
          <w:sz w:val="24"/>
        </w:rPr>
        <w:t xml:space="preserve"> other reporting obligations</w:t>
      </w:r>
    </w:p>
    <w:p w:rsidR="003A1527" w:rsidRDefault="00742A12">
      <w:pPr>
        <w:spacing w:after="0" w:line="240" w:lineRule="auto"/>
        <w:jc w:val="both"/>
        <w:rPr>
          <w:rFonts w:ascii="Times New Roman" w:eastAsia="Times New Roman" w:hAnsi="Times New Roman" w:cs="Times New Roman"/>
          <w:noProof/>
          <w:sz w:val="24"/>
        </w:rPr>
      </w:pPr>
      <w:r>
        <w:rPr>
          <w:rFonts w:ascii="Times New Roman" w:hAnsi="Times New Roman" w:cs="Times New Roman"/>
          <w:noProof/>
          <w:sz w:val="24"/>
        </w:rPr>
        <w:t>Every year, an analysis of progress on key dimensions of the Programme management and implementation will be published by the Commission services in the form of an annual implementation report which will be communicated</w:t>
      </w:r>
      <w:r>
        <w:rPr>
          <w:rFonts w:ascii="Times New Roman" w:hAnsi="Times New Roman" w:cs="Times New Roman"/>
          <w:b/>
          <w:noProof/>
          <w:sz w:val="24"/>
        </w:rPr>
        <w:t xml:space="preserve"> </w:t>
      </w:r>
      <w:r>
        <w:rPr>
          <w:rFonts w:ascii="Times New Roman" w:hAnsi="Times New Roman" w:cs="Times New Roman"/>
          <w:noProof/>
          <w:sz w:val="24"/>
        </w:rPr>
        <w:t xml:space="preserve">to the </w:t>
      </w:r>
      <w:r>
        <w:rPr>
          <w:rFonts w:ascii="Times New Roman" w:hAnsi="Times New Roman" w:cs="Times New Roman"/>
          <w:noProof/>
          <w:sz w:val="24"/>
        </w:rPr>
        <w:t xml:space="preserve">European Parliament and the Council. </w:t>
      </w:r>
    </w:p>
    <w:p w:rsidR="003A1527" w:rsidRDefault="003A1527">
      <w:pPr>
        <w:spacing w:after="0" w:line="240" w:lineRule="auto"/>
        <w:jc w:val="both"/>
        <w:rPr>
          <w:rFonts w:ascii="Times New Roman" w:eastAsia="Times New Roman" w:hAnsi="Times New Roman" w:cs="Times New Roman"/>
          <w:noProof/>
          <w:sz w:val="24"/>
        </w:rPr>
      </w:pP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Programme performance will be assessed through a mid-term review evaluation (4 years after the start of the Programme implementation) carried out by external and independent contractors with a focus on the impleme</w:t>
      </w:r>
      <w:r>
        <w:rPr>
          <w:rFonts w:ascii="Times New Roman" w:eastAsia="Times New Roman" w:hAnsi="Times New Roman" w:cs="Times New Roman"/>
          <w:noProof/>
          <w:sz w:val="24"/>
        </w:rPr>
        <w:t>ntation that far and actions' outputs or immediate results, progress towards the objectives of the Programme and recommendations for possible adjustments and improvements.</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period of four years is the minimum duration necessary before communicating on t</w:t>
      </w:r>
      <w:r>
        <w:rPr>
          <w:rFonts w:ascii="Times New Roman" w:eastAsia="Times New Roman" w:hAnsi="Times New Roman" w:cs="Times New Roman"/>
          <w:noProof/>
          <w:sz w:val="24"/>
        </w:rPr>
        <w:t xml:space="preserve">he mid-term review, as the majority of the funded actions have a three years period life and at least 10 months are necessary for an external evaluation study to assess the first actions funded by the Programme. </w:t>
      </w:r>
    </w:p>
    <w:p w:rsidR="003A1527" w:rsidRDefault="00742A12">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A final, ex-post evaluation will be conduct</w:t>
      </w:r>
      <w:r>
        <w:rPr>
          <w:rFonts w:ascii="Times New Roman" w:eastAsia="Times New Roman" w:hAnsi="Times New Roman" w:cs="Times New Roman"/>
          <w:noProof/>
          <w:sz w:val="24"/>
        </w:rPr>
        <w:t xml:space="preserve">ed by independent external contractors, at the end of the Programme to review its performance and final results as well as to assess its outcomes and longer-term impact. </w:t>
      </w:r>
    </w:p>
    <w:p w:rsidR="003A1527" w:rsidRDefault="003A1527">
      <w:pPr>
        <w:spacing w:after="0" w:line="240" w:lineRule="auto"/>
        <w:jc w:val="both"/>
        <w:rPr>
          <w:rFonts w:ascii="Times New Roman" w:eastAsia="Times New Roman" w:hAnsi="Times New Roman" w:cs="Times New Roman"/>
          <w:noProof/>
          <w:sz w:val="24"/>
        </w:rPr>
      </w:pPr>
    </w:p>
    <w:p w:rsidR="003A1527" w:rsidRDefault="003A1527">
      <w:pPr>
        <w:spacing w:after="0" w:line="240" w:lineRule="auto"/>
        <w:jc w:val="both"/>
        <w:rPr>
          <w:rFonts w:ascii="Times New Roman" w:eastAsia="Times New Roman" w:hAnsi="Times New Roman" w:cs="Times New Roman"/>
          <w:noProof/>
          <w:sz w:val="24"/>
        </w:rPr>
      </w:pPr>
    </w:p>
    <w:p w:rsidR="003A1527" w:rsidRDefault="003A1527">
      <w:pPr>
        <w:spacing w:after="0" w:line="240" w:lineRule="auto"/>
        <w:jc w:val="both"/>
        <w:rPr>
          <w:rFonts w:ascii="Times New Roman" w:eastAsia="Times New Roman" w:hAnsi="Times New Roman" w:cs="Times New Roman"/>
          <w:noProof/>
          <w:sz w:val="24"/>
        </w:rPr>
      </w:pPr>
    </w:p>
    <w:p w:rsidR="003A1527" w:rsidRDefault="003A1527">
      <w:pPr>
        <w:spacing w:after="0" w:line="240" w:lineRule="auto"/>
        <w:jc w:val="both"/>
        <w:rPr>
          <w:rFonts w:ascii="Times New Roman" w:eastAsia="Times New Roman" w:hAnsi="Times New Roman" w:cs="Times New Roman"/>
          <w:noProof/>
          <w:sz w:val="24"/>
        </w:rPr>
      </w:pPr>
    </w:p>
    <w:p w:rsidR="003A1527" w:rsidRDefault="003A1527">
      <w:pPr>
        <w:spacing w:after="0" w:line="240" w:lineRule="auto"/>
        <w:jc w:val="both"/>
        <w:rPr>
          <w:rFonts w:ascii="Times New Roman" w:eastAsia="Times New Roman" w:hAnsi="Times New Roman" w:cs="Times New Roman"/>
          <w:noProof/>
          <w:sz w:val="24"/>
        </w:rPr>
        <w:sectPr w:rsidR="003A1527">
          <w:headerReference w:type="even" r:id="rId55"/>
          <w:headerReference w:type="default" r:id="rId56"/>
          <w:footerReference w:type="even" r:id="rId57"/>
          <w:footerReference w:type="default" r:id="rId58"/>
          <w:headerReference w:type="first" r:id="rId59"/>
          <w:footerReference w:type="first" r:id="rId60"/>
          <w:pgSz w:w="11906" w:h="16838"/>
          <w:pgMar w:top="1020" w:right="1701" w:bottom="1020" w:left="1587" w:header="601" w:footer="1077" w:gutter="0"/>
          <w:cols w:space="720"/>
          <w:titlePg/>
        </w:sectPr>
      </w:pPr>
    </w:p>
    <w:tbl>
      <w:tblPr>
        <w:tblStyle w:val="Simpletable1"/>
        <w:tblW w:w="13609" w:type="dxa"/>
        <w:tblInd w:w="-34" w:type="dxa"/>
        <w:tblLayout w:type="fixed"/>
        <w:tblLook w:val="04A0" w:firstRow="1" w:lastRow="0" w:firstColumn="1" w:lastColumn="0" w:noHBand="0" w:noVBand="1"/>
      </w:tblPr>
      <w:tblGrid>
        <w:gridCol w:w="1527"/>
        <w:gridCol w:w="2437"/>
        <w:gridCol w:w="2838"/>
        <w:gridCol w:w="850"/>
        <w:gridCol w:w="992"/>
        <w:gridCol w:w="993"/>
        <w:gridCol w:w="7"/>
        <w:gridCol w:w="1130"/>
        <w:gridCol w:w="2835"/>
      </w:tblGrid>
      <w:tr w:rsidR="003A1527">
        <w:tc>
          <w:tcPr>
            <w:tcW w:w="13609" w:type="dxa"/>
            <w:gridSpan w:val="9"/>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jc w:val="center"/>
              <w:rPr>
                <w:b/>
                <w:noProof/>
                <w:sz w:val="16"/>
                <w:szCs w:val="16"/>
              </w:rPr>
            </w:pPr>
            <w:r>
              <w:rPr>
                <w:b/>
                <w:noProof/>
                <w:sz w:val="16"/>
                <w:szCs w:val="16"/>
              </w:rPr>
              <w:t>Health Programme</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jc w:val="center"/>
              <w:rPr>
                <w:b/>
                <w:noProof/>
                <w:sz w:val="16"/>
                <w:szCs w:val="16"/>
              </w:rPr>
            </w:pPr>
            <w:r>
              <w:rPr>
                <w:rFonts w:cstheme="minorHAnsi"/>
                <w:b/>
                <w:noProof/>
                <w:sz w:val="16"/>
                <w:szCs w:val="16"/>
              </w:rPr>
              <w:t>Specific Objective &amp; Actions</w:t>
            </w:r>
          </w:p>
        </w:tc>
        <w:tc>
          <w:tcPr>
            <w:tcW w:w="2437"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rPr>
                <w:noProof/>
                <w:sz w:val="16"/>
                <w:szCs w:val="16"/>
              </w:rPr>
            </w:pPr>
            <w:r>
              <w:rPr>
                <w:rFonts w:cstheme="minorHAnsi"/>
                <w:b/>
                <w:noProof/>
                <w:sz w:val="16"/>
                <w:szCs w:val="16"/>
              </w:rPr>
              <w:t>Indicator</w:t>
            </w:r>
          </w:p>
        </w:tc>
        <w:tc>
          <w:tcPr>
            <w:tcW w:w="2838"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rPr>
                <w:noProof/>
                <w:sz w:val="16"/>
                <w:szCs w:val="16"/>
              </w:rPr>
            </w:pPr>
            <w:r>
              <w:rPr>
                <w:rFonts w:cstheme="minorHAnsi"/>
                <w:b/>
                <w:noProof/>
                <w:sz w:val="16"/>
                <w:szCs w:val="16"/>
              </w:rPr>
              <w:t>Definition</w:t>
            </w:r>
          </w:p>
        </w:tc>
        <w:tc>
          <w:tcPr>
            <w:tcW w:w="850"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rPr>
                <w:noProof/>
                <w:sz w:val="16"/>
                <w:szCs w:val="16"/>
              </w:rPr>
            </w:pPr>
            <w:r>
              <w:rPr>
                <w:rFonts w:cstheme="minorHAnsi"/>
                <w:b/>
                <w:noProof/>
                <w:sz w:val="16"/>
                <w:szCs w:val="16"/>
              </w:rPr>
              <w:t>Type of the  indicator (quantitative or qualitative</w:t>
            </w:r>
          </w:p>
        </w:tc>
        <w:tc>
          <w:tcPr>
            <w:tcW w:w="992"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rPr>
                <w:noProof/>
                <w:sz w:val="16"/>
                <w:szCs w:val="16"/>
              </w:rPr>
            </w:pPr>
            <w:r>
              <w:rPr>
                <w:rFonts w:cstheme="minorHAnsi"/>
                <w:b/>
                <w:noProof/>
                <w:sz w:val="16"/>
                <w:szCs w:val="16"/>
              </w:rPr>
              <w:t>Source of data</w:t>
            </w:r>
          </w:p>
        </w:tc>
        <w:tc>
          <w:tcPr>
            <w:tcW w:w="993"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rPr>
                <w:noProof/>
                <w:sz w:val="16"/>
                <w:szCs w:val="16"/>
              </w:rPr>
            </w:pPr>
            <w:r>
              <w:rPr>
                <w:rFonts w:cstheme="minorHAnsi"/>
                <w:b/>
                <w:noProof/>
                <w:sz w:val="16"/>
                <w:szCs w:val="16"/>
              </w:rPr>
              <w:t>Frequency of measurement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rPr>
                <w:noProof/>
                <w:sz w:val="16"/>
                <w:szCs w:val="16"/>
              </w:rPr>
            </w:pPr>
            <w:r>
              <w:rPr>
                <w:rFonts w:cstheme="minorHAnsi"/>
                <w:b/>
                <w:noProof/>
                <w:sz w:val="16"/>
                <w:szCs w:val="16"/>
              </w:rPr>
              <w:t>Baseline</w:t>
            </w:r>
          </w:p>
        </w:tc>
        <w:tc>
          <w:tcPr>
            <w:tcW w:w="2835" w:type="dxa"/>
            <w:tcBorders>
              <w:top w:val="single" w:sz="4" w:space="0" w:color="auto"/>
              <w:left w:val="single" w:sz="4" w:space="0" w:color="auto"/>
              <w:bottom w:val="single" w:sz="4" w:space="0" w:color="auto"/>
              <w:right w:val="single" w:sz="4" w:space="0" w:color="auto"/>
            </w:tcBorders>
            <w:shd w:val="clear" w:color="auto" w:fill="C9C4C6" w:themeFill="background1" w:themeFillShade="D9"/>
          </w:tcPr>
          <w:p w:rsidR="003A1527" w:rsidRDefault="00742A12">
            <w:pPr>
              <w:jc w:val="center"/>
              <w:rPr>
                <w:rFonts w:cstheme="minorHAnsi"/>
                <w:b/>
                <w:noProof/>
                <w:sz w:val="16"/>
                <w:szCs w:val="16"/>
              </w:rPr>
            </w:pPr>
            <w:r>
              <w:rPr>
                <w:rFonts w:cstheme="minorHAnsi"/>
                <w:b/>
                <w:noProof/>
                <w:sz w:val="16"/>
                <w:szCs w:val="16"/>
              </w:rPr>
              <w:t>Target</w:t>
            </w:r>
          </w:p>
          <w:p w:rsidR="003A1527" w:rsidRDefault="00742A12">
            <w:pPr>
              <w:rPr>
                <w:noProof/>
                <w:sz w:val="16"/>
                <w:szCs w:val="16"/>
              </w:rPr>
            </w:pPr>
            <w:r>
              <w:rPr>
                <w:rFonts w:cstheme="minorHAnsi"/>
                <w:i/>
                <w:noProof/>
                <w:sz w:val="16"/>
                <w:szCs w:val="16"/>
              </w:rPr>
              <w:t>(by end of the Programme)</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b/>
                <w:noProof/>
                <w:sz w:val="16"/>
                <w:szCs w:val="16"/>
              </w:rPr>
            </w:pPr>
            <w:r>
              <w:rPr>
                <w:b/>
                <w:noProof/>
                <w:sz w:val="16"/>
                <w:szCs w:val="16"/>
              </w:rPr>
              <w:t xml:space="preserve">1. Prepare for and counter </w:t>
            </w:r>
            <w:r>
              <w:rPr>
                <w:b/>
                <w:noProof/>
                <w:sz w:val="16"/>
                <w:szCs w:val="16"/>
              </w:rPr>
              <w:t>health  crises</w:t>
            </w:r>
            <w:r>
              <w:rPr>
                <w:b/>
                <w:noProof/>
                <w:sz w:val="16"/>
                <w:szCs w:val="16"/>
                <w:vertAlign w:val="superscript"/>
              </w:rPr>
              <w:footnoteReference w:id="185"/>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Quality of EU response to future health crises -improvement</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Assessment of the quality of EU response to future health crises, and in particular, in terms of observed improvement in comparison with previous crises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Qualitative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Evaluation/asse</w:t>
            </w:r>
            <w:r>
              <w:rPr>
                <w:noProof/>
                <w:sz w:val="16"/>
                <w:szCs w:val="16"/>
              </w:rPr>
              <w:t>ssment reports prepared by the Commission and by EU other institutions or by relevant International Organisations, drawing lessons from previous crises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Depends on occurrence of severe health crises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Situation during the Ebola crisis: EU responsemechanisms d</w:t>
            </w:r>
            <w:r>
              <w:rPr>
                <w:noProof/>
                <w:sz w:val="16"/>
                <w:szCs w:val="16"/>
              </w:rPr>
              <w:t>emonstrated added value, but lessons learnt from experience and capacity gaps were also highlighted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Improvement in the management of future cross-border health crises in comparison with previous occurrences</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 xml:space="preserve">1.1 Capacity-building measures for crisis </w:t>
            </w:r>
            <w:r>
              <w:rPr>
                <w:noProof/>
                <w:sz w:val="16"/>
                <w:szCs w:val="16"/>
              </w:rPr>
              <w:t>preparedness, management and response</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 Quality &amp; completeness of national preparedness plans</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 xml:space="preserve">Availability, quality and completeness of preparedness plans and extent to which Member States have put them in place to counter future health threats, as shown </w:t>
            </w:r>
            <w:r>
              <w:rPr>
                <w:noProof/>
                <w:sz w:val="16"/>
                <w:szCs w:val="16"/>
              </w:rPr>
              <w:t>by the transmission of these plans to the Health Security Committee and their subsequent analysis by the Commission</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Quantitative/qualitative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Commission/DG SANTE/Health Security Committee (HSC)</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year 2020, as regard quality and completene</w:t>
            </w:r>
            <w:r>
              <w:rPr>
                <w:rFonts w:cstheme="minorHAnsi"/>
                <w:noProof/>
                <w:sz w:val="16"/>
                <w:szCs w:val="16"/>
              </w:rPr>
              <w:t>ss of national preparedness plans</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90% of Member States reporting full compliance with the International Health Regulations, through annual reporting to WHO</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3A1527">
            <w:pPr>
              <w:rPr>
                <w:noProof/>
                <w:sz w:val="16"/>
                <w:szCs w:val="16"/>
              </w:rPr>
            </w:pP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b. Level of uptake of tools by professionals/practitioners</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Adoption and implementation by </w:t>
            </w:r>
            <w:r>
              <w:rPr>
                <w:rFonts w:cstheme="minorHAnsi"/>
                <w:noProof/>
                <w:sz w:val="16"/>
                <w:szCs w:val="16"/>
              </w:rPr>
              <w:t>professionals and practitioners in Member States of tools developed during capacity building and other knowledge sharing exercises (e.g. percentage of messages of those supposed to be transmitted through the Early Warning and Response System – EWRS)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Quanti</w:t>
            </w:r>
            <w:r>
              <w:rPr>
                <w:rFonts w:cstheme="minorHAnsi"/>
                <w:noProof/>
                <w:sz w:val="16"/>
                <w:szCs w:val="16"/>
              </w:rPr>
              <w:t>tative/qualitative / level</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Assessment by Commission/DG SANTE/HSC</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Annual/permanent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year 2020</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Good to very good level by all MS</w:t>
            </w:r>
          </w:p>
          <w:p w:rsidR="003A1527" w:rsidRDefault="00742A12">
            <w:pPr>
              <w:rPr>
                <w:rFonts w:cstheme="minorHAnsi"/>
                <w:noProof/>
                <w:sz w:val="16"/>
                <w:szCs w:val="16"/>
              </w:rPr>
            </w:pPr>
            <w:r>
              <w:rPr>
                <w:rFonts w:cstheme="minorHAnsi"/>
                <w:noProof/>
                <w:sz w:val="16"/>
                <w:szCs w:val="16"/>
              </w:rPr>
              <w:t>Specific target will depend upon the severity of case/issue/outbreak addressed (e.g. Ebola, Infuenza)</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1.2 Response t</w:t>
            </w:r>
            <w:r>
              <w:rPr>
                <w:rFonts w:cstheme="minorHAnsi"/>
                <w:noProof/>
                <w:sz w:val="16"/>
                <w:szCs w:val="16"/>
              </w:rPr>
              <w:t>o cross-border health threats during crisis</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 Availability of vaccines and countermeasures during crises</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Level of availability in terms of quantity and quality of vaccines and other medical countermeasures to be used during disease outbreaks and crises wi</w:t>
            </w:r>
            <w:r>
              <w:rPr>
                <w:rFonts w:cstheme="minorHAnsi"/>
                <w:noProof/>
                <w:sz w:val="16"/>
                <w:szCs w:val="16"/>
              </w:rPr>
              <w:t xml:space="preserve">th health dimension obtained through joint procurement or any other mechanism supported by the Health Programme </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number</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Commission/DG SANTE</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Annual/permanent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2020: number of available medical countermeasures</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Availability across EU of 3 </w:t>
            </w:r>
            <w:r>
              <w:rPr>
                <w:rFonts w:cstheme="minorHAnsi"/>
                <w:noProof/>
                <w:sz w:val="16"/>
                <w:szCs w:val="16"/>
              </w:rPr>
              <w:t>additional vaccines/countermeasures at end of the Programme</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1.3. Support laboratory capacity</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 xml:space="preserve">a. EULabCap index </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 xml:space="preserve">EULabCap index is an aggregated index resulting from the annual survey carried out by the European Centre for Disease Prevention and Control – </w:t>
            </w:r>
            <w:r>
              <w:rPr>
                <w:noProof/>
                <w:sz w:val="16"/>
                <w:szCs w:val="16"/>
              </w:rPr>
              <w:t>ECDC. The aggregated index provides a robust EU-wide assessment of collective laboratory capacity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Number – on a scale of 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The EULabCap survey methodology developed by the European Centre for Disease Prevention and Control - ECDC – Annual EULabCap Repor</w:t>
            </w:r>
            <w:r>
              <w:rPr>
                <w:noProof/>
                <w:sz w:val="16"/>
                <w:szCs w:val="16"/>
              </w:rPr>
              <w:t>t released by ECDC</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In 2015, the EULabCap aggregate index for EU/EEA was 7.5 on a scale of 0-10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Regular increase of the aggregated EULabCap index</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auto"/>
          </w:tcPr>
          <w:p w:rsidR="003A1527" w:rsidRDefault="003A1527">
            <w:pPr>
              <w:rPr>
                <w:rFonts w:cstheme="minorHAnsi"/>
                <w:noProof/>
                <w:sz w:val="16"/>
                <w:szCs w:val="16"/>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b. Number of laboratories participating in Joint Actions</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Number of laboratories participating in Joint</w:t>
            </w:r>
            <w:r>
              <w:rPr>
                <w:noProof/>
                <w:sz w:val="16"/>
                <w:szCs w:val="16"/>
              </w:rPr>
              <w:t xml:space="preserve"> Actions launched by the Programme with the  aim to su</w:t>
            </w:r>
            <w:r>
              <w:rPr>
                <w:rFonts w:cstheme="minorHAnsi"/>
                <w:noProof/>
                <w:sz w:val="16"/>
                <w:szCs w:val="16"/>
              </w:rPr>
              <w:t>pport laboratory capacity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Quantitative (number)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Beneficiaries</w:t>
            </w:r>
            <w:r>
              <w:rPr>
                <w:rFonts w:cstheme="minorHAnsi"/>
                <w:noProof/>
                <w:sz w:val="16"/>
                <w:szCs w:val="16"/>
              </w:rPr>
              <w:t xml:space="preserve"> of the grant agreements concluded in the context of the Joint Actions to support laboratory capacity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37 associated / collaborating pa</w:t>
            </w:r>
            <w:r>
              <w:rPr>
                <w:noProof/>
                <w:sz w:val="16"/>
                <w:szCs w:val="16"/>
              </w:rPr>
              <w:t>rtners from 25 European countries are participating in EMERGE Joint Action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expanding the involvement of relevant laboratories across the EU – 10 new members by 2028 covering most Member States + relevant partner countries</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b/>
                <w:noProof/>
                <w:sz w:val="16"/>
                <w:szCs w:val="16"/>
              </w:rPr>
            </w:pPr>
            <w:r>
              <w:rPr>
                <w:b/>
                <w:noProof/>
                <w:sz w:val="16"/>
                <w:szCs w:val="16"/>
              </w:rPr>
              <w:t>2. Empower health systems with em</w:t>
            </w:r>
            <w:r>
              <w:rPr>
                <w:b/>
                <w:noProof/>
                <w:sz w:val="16"/>
                <w:szCs w:val="16"/>
              </w:rPr>
              <w:t>phasis on their digital transformation</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Decrease in the costs related to management of information, resulting from increased digital transformation of health systems</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 xml:space="preserve">EU-wide assessment of the decrease of the costs of management of information, linked with </w:t>
            </w:r>
            <w:r>
              <w:rPr>
                <w:rFonts w:cstheme="minorHAnsi"/>
                <w:noProof/>
                <w:sz w:val="16"/>
                <w:szCs w:val="16"/>
              </w:rPr>
              <w:t>increased digital transformation of health systems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number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 xml:space="preserve">Comprehensive study to be carried out by Joint Research Centre – JRC, with a view to assessing, among others, the reduction of costs of management of the information, resulting from increased </w:t>
            </w:r>
            <w:r>
              <w:rPr>
                <w:rFonts w:cstheme="minorHAnsi"/>
                <w:noProof/>
                <w:sz w:val="16"/>
                <w:szCs w:val="16"/>
              </w:rPr>
              <w:t>digitisation of health systems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multiannual</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Situation in 2020: estimate of costs of information management by health systems, derived from the planned Study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Reduction, at the end of the Programme, by 20% of information management costs as compared to baseli</w:t>
            </w:r>
            <w:r>
              <w:rPr>
                <w:rFonts w:cstheme="minorHAnsi"/>
                <w:noProof/>
                <w:sz w:val="16"/>
                <w:szCs w:val="16"/>
              </w:rPr>
              <w:t>ne</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2.1</w:t>
            </w:r>
            <w:r>
              <w:rPr>
                <w:noProof/>
                <w:sz w:val="16"/>
                <w:szCs w:val="16"/>
              </w:rPr>
              <w:t xml:space="preserve"> </w:t>
            </w:r>
            <w:r>
              <w:rPr>
                <w:rFonts w:cstheme="minorHAnsi"/>
                <w:noProof/>
                <w:sz w:val="16"/>
                <w:szCs w:val="16"/>
              </w:rPr>
              <w:t>Support the digital transformation of health and care</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Number of eHealth solutions or tools up-taken and implemented in Member States’ health systems </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Number of eHealth solutions or tools up-taken and implemented in Member States’ health systems per</w:t>
            </w:r>
            <w:r>
              <w:rPr>
                <w:rFonts w:cstheme="minorHAnsi"/>
                <w:noProof/>
                <w:sz w:val="16"/>
                <w:szCs w:val="16"/>
              </w:rPr>
              <w:t xml:space="preserve"> million euros invested from the Health Programme’s budget</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number</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lang w:val="fr-BE"/>
              </w:rPr>
            </w:pPr>
            <w:r>
              <w:rPr>
                <w:rFonts w:cstheme="minorHAnsi"/>
                <w:noProof/>
                <w:sz w:val="16"/>
                <w:szCs w:val="16"/>
                <w:lang w:val="fr-BE"/>
              </w:rPr>
              <w:t>Member States, National contact points – NCPs, surveys</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Annual/permanent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jc w:val="center"/>
              <w:rPr>
                <w:rFonts w:cstheme="minorHAnsi"/>
                <w:noProof/>
                <w:sz w:val="16"/>
                <w:szCs w:val="16"/>
              </w:rPr>
            </w:pPr>
            <w:r>
              <w:rPr>
                <w:rFonts w:cstheme="minorHAnsi"/>
                <w:noProof/>
                <w:sz w:val="16"/>
                <w:szCs w:val="16"/>
              </w:rPr>
              <w:t>Situation in 2020</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At least 1 case of eHealth solution or tool up-taken and implemented per million euros invested from</w:t>
            </w:r>
            <w:r>
              <w:rPr>
                <w:rFonts w:cstheme="minorHAnsi"/>
                <w:noProof/>
                <w:sz w:val="16"/>
                <w:szCs w:val="16"/>
              </w:rPr>
              <w:t xml:space="preserve"> the Health Programme, over the duration of the Programme 2021-2028</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2.2 Support the development of a sustainable EU health information system</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Health networks sustainability</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Depending on their needs and priorities, the sustainability of current and future </w:t>
            </w:r>
            <w:r>
              <w:rPr>
                <w:rFonts w:cstheme="minorHAnsi"/>
                <w:noProof/>
                <w:sz w:val="16"/>
                <w:szCs w:val="16"/>
              </w:rPr>
              <w:t>networks on health information is defined in this context by their ability to continue their operations after the end of co-funding from the Health programme budget;</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qualitative</w:t>
            </w:r>
          </w:p>
          <w:p w:rsidR="003A1527" w:rsidRDefault="003A1527">
            <w:pPr>
              <w:rPr>
                <w:rFonts w:cstheme="minorHAnsi"/>
                <w:noProof/>
                <w:sz w:val="16"/>
                <w:szCs w:val="16"/>
              </w:rPr>
            </w:pP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Ad hoc report or survey carried out by Commission Services or by an external </w:t>
            </w:r>
            <w:r>
              <w:rPr>
                <w:rFonts w:cstheme="minorHAnsi"/>
                <w:noProof/>
                <w:sz w:val="16"/>
                <w:szCs w:val="16"/>
              </w:rPr>
              <w:t>organisation acting on behalf of Commission services</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At the end of the Programme</w:t>
            </w:r>
          </w:p>
          <w:p w:rsidR="003A1527" w:rsidRDefault="003A1527">
            <w:pPr>
              <w:rPr>
                <w:rFonts w:cstheme="minorHAnsi"/>
                <w:noProof/>
                <w:sz w:val="16"/>
                <w:szCs w:val="16"/>
              </w:rPr>
            </w:pP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2020</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Sustainability of health information networks at end of the Programme, by 2028</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2.3 Support the national reform processes for more effective, accessible and</w:t>
            </w:r>
            <w:r>
              <w:rPr>
                <w:noProof/>
                <w:sz w:val="16"/>
                <w:szCs w:val="16"/>
              </w:rPr>
              <w:t xml:space="preserve"> resilient health systems</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 xml:space="preserve">Number of health-related recommendations coming from the EU Semester process that are successfully addressed, with the support of the Health Programme (or of the </w:t>
            </w:r>
            <w:r>
              <w:rPr>
                <w:rFonts w:cstheme="minorHAnsi"/>
                <w:noProof/>
                <w:sz w:val="16"/>
                <w:szCs w:val="16"/>
              </w:rPr>
              <w:t>ESF+ Programme)</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 xml:space="preserve">Number of health-related recommendations coming from the EU Semester process that are successfully addressed, with the support of the Health Programme (or of the </w:t>
            </w:r>
            <w:r>
              <w:rPr>
                <w:rFonts w:cstheme="minorHAnsi"/>
                <w:noProof/>
                <w:sz w:val="16"/>
                <w:szCs w:val="16"/>
              </w:rPr>
              <w:t>ESF+ Programme)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number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EU Semester Process, Commission services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noProof/>
                <w:sz w:val="16"/>
                <w:szCs w:val="16"/>
              </w:rPr>
              <w:t>In 2017, EU Semester co</w:t>
            </w:r>
            <w:r>
              <w:rPr>
                <w:noProof/>
                <w:sz w:val="16"/>
                <w:szCs w:val="16"/>
              </w:rPr>
              <w:t>untry-specific recommendations related to health systems were issued to nine Member States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rFonts w:cstheme="minorHAnsi"/>
                <w:noProof/>
                <w:sz w:val="16"/>
                <w:szCs w:val="16"/>
              </w:rPr>
            </w:pPr>
            <w:r>
              <w:rPr>
                <w:rFonts w:cstheme="minorHAnsi"/>
                <w:noProof/>
                <w:sz w:val="16"/>
                <w:szCs w:val="16"/>
              </w:rPr>
              <w:t>At least one country-specific recommendation relating to health systems successfully addressed, with support of the Health Programme (or of the ESF+ Programme)</w:t>
            </w:r>
            <w:r>
              <w:rPr>
                <w:rFonts w:cstheme="minorHAnsi"/>
                <w:noProof/>
                <w:sz w:val="16"/>
                <w:szCs w:val="16"/>
                <w:vertAlign w:val="superscript"/>
              </w:rPr>
              <w:footnoteReference w:id="186"/>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b/>
                <w:noProof/>
                <w:sz w:val="16"/>
                <w:szCs w:val="16"/>
                <w:lang w:val="en-US"/>
              </w:rPr>
              <w:t xml:space="preserve">3. </w:t>
            </w:r>
            <w:r>
              <w:rPr>
                <w:b/>
                <w:noProof/>
                <w:sz w:val="16"/>
                <w:szCs w:val="16"/>
                <w:lang w:val="en-US"/>
              </w:rPr>
              <w:t>Support EU health legislation</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Degree of transposition of EU health legislation into the national legal systems measured by regular evaluations</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Degree of transposition of legislation into national laws/regulations and legal systems. The degree of transposit</w:t>
            </w:r>
            <w:r>
              <w:rPr>
                <w:rFonts w:cstheme="minorHAnsi"/>
                <w:noProof/>
                <w:sz w:val="16"/>
                <w:szCs w:val="16"/>
              </w:rPr>
              <w:t>ion is measured among others by regular reports, some of which are foreseen in the concerned legal acts.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qualitative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Commission/MS authorities/Evaluation reports</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Frequency in accordance with the provisions in the relevant legal acts</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Situation in 2020, as </w:t>
            </w:r>
            <w:r>
              <w:rPr>
                <w:rFonts w:cstheme="minorHAnsi"/>
                <w:noProof/>
                <w:sz w:val="16"/>
                <w:szCs w:val="16"/>
              </w:rPr>
              <w:t>will have been assessed by the Commission and Member States</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High degree of transposition by all Member States</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3.1. Manage, maintain and implement the legislation on medical devices</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 of Member States which have implemented the EU legislation in t</w:t>
            </w:r>
            <w:r>
              <w:rPr>
                <w:rFonts w:cstheme="minorHAnsi"/>
                <w:noProof/>
                <w:sz w:val="16"/>
                <w:szCs w:val="16"/>
              </w:rPr>
              <w:t>he field of medical devices in their national legal system</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 of Member States which have implemented the EU legislation in the field of medical devices in their national legal system, as reported by successive evaluation reports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Commiss</w:t>
            </w:r>
            <w:r>
              <w:rPr>
                <w:rFonts w:cstheme="minorHAnsi"/>
                <w:noProof/>
                <w:sz w:val="16"/>
                <w:szCs w:val="16"/>
              </w:rPr>
              <w:t>ion/MS authorities/Evaluation reports</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Same as the frequency provided for in the legal act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2020, as will have been assessed by the Commission and Member States</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90% of Member States having implemented the EU legislation in the field of  medical </w:t>
            </w:r>
            <w:r>
              <w:rPr>
                <w:rFonts w:cstheme="minorHAnsi"/>
                <w:noProof/>
                <w:sz w:val="16"/>
                <w:szCs w:val="16"/>
              </w:rPr>
              <w:t>devices at the end of the Programme</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3.2. Support the implementation of Union legislation on medicinal products and on Health Technology Assessment</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 Number of projects by the Biological Standardisation Programme (BSP) for the quality control of biologica</w:t>
            </w:r>
            <w:r>
              <w:rPr>
                <w:rFonts w:cstheme="minorHAnsi"/>
                <w:noProof/>
                <w:sz w:val="16"/>
                <w:szCs w:val="16"/>
              </w:rPr>
              <w:t>ls</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Number of projects by the Biological Standardisation Programme (BSP) for the quality control of biologicals. The activities by biological standardisation program ensure the independence of tests on biologicals, allows comparison of tests, ensures high q</w:t>
            </w:r>
            <w:r>
              <w:rPr>
                <w:rFonts w:cstheme="minorHAnsi"/>
                <w:noProof/>
                <w:sz w:val="16"/>
                <w:szCs w:val="16"/>
              </w:rPr>
              <w:t xml:space="preserve">uality biologicals and aims to reduce animal testing in the EU. </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number</w:t>
            </w:r>
          </w:p>
          <w:p w:rsidR="003A1527" w:rsidRDefault="003A1527">
            <w:pPr>
              <w:rPr>
                <w:rFonts w:cstheme="minorHAnsi"/>
                <w:noProof/>
                <w:sz w:val="16"/>
                <w:szCs w:val="16"/>
              </w:rPr>
            </w:pPr>
          </w:p>
          <w:p w:rsidR="003A1527" w:rsidRDefault="003A1527">
            <w:pPr>
              <w:rPr>
                <w:rFonts w:cstheme="minorHAnsi"/>
                <w:noProof/>
                <w:sz w:val="16"/>
                <w:szCs w:val="16"/>
              </w:rPr>
            </w:pPr>
          </w:p>
          <w:p w:rsidR="003A1527" w:rsidRDefault="003A1527">
            <w:pPr>
              <w:rPr>
                <w:rFonts w:cstheme="minorHAnsi"/>
                <w:noProof/>
                <w:sz w:val="16"/>
                <w:szCs w:val="16"/>
              </w:rPr>
            </w:pP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Commission/MS authorities/Evaluation reports</w:t>
            </w:r>
          </w:p>
          <w:p w:rsidR="003A1527" w:rsidRDefault="003A1527">
            <w:pPr>
              <w:rPr>
                <w:rFonts w:cstheme="minorHAnsi"/>
                <w:noProof/>
                <w:sz w:val="16"/>
                <w:szCs w:val="16"/>
              </w:rPr>
            </w:pPr>
          </w:p>
          <w:p w:rsidR="003A1527" w:rsidRDefault="003A1527">
            <w:pPr>
              <w:rPr>
                <w:rFonts w:cstheme="minorHAnsi"/>
                <w:noProof/>
                <w:sz w:val="16"/>
                <w:szCs w:val="16"/>
              </w:rPr>
            </w:pP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Annual</w:t>
            </w:r>
          </w:p>
          <w:p w:rsidR="003A1527" w:rsidRDefault="003A1527">
            <w:pPr>
              <w:rPr>
                <w:rFonts w:cstheme="minorHAnsi"/>
                <w:noProof/>
                <w:sz w:val="16"/>
                <w:szCs w:val="16"/>
              </w:rPr>
            </w:pPr>
          </w:p>
          <w:p w:rsidR="003A1527" w:rsidRDefault="003A1527">
            <w:pPr>
              <w:rPr>
                <w:rFonts w:cstheme="minorHAnsi"/>
                <w:noProof/>
                <w:sz w:val="16"/>
                <w:szCs w:val="16"/>
              </w:rPr>
            </w:pPr>
          </w:p>
          <w:p w:rsidR="003A1527" w:rsidRDefault="003A1527">
            <w:pPr>
              <w:rPr>
                <w:rFonts w:cstheme="minorHAnsi"/>
                <w:noProof/>
                <w:sz w:val="16"/>
                <w:szCs w:val="16"/>
              </w:rPr>
            </w:pP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noProof/>
                <w:sz w:val="18"/>
                <w:szCs w:val="18"/>
              </w:rPr>
              <w:t>118 projects finalized since its inception, 4 in 2016</w:t>
            </w:r>
          </w:p>
          <w:p w:rsidR="003A1527" w:rsidRDefault="003A1527">
            <w:pPr>
              <w:rPr>
                <w:rFonts w:cstheme="minorHAnsi"/>
                <w:noProof/>
                <w:sz w:val="16"/>
                <w:szCs w:val="16"/>
              </w:rPr>
            </w:pP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noProof/>
                <w:sz w:val="18"/>
                <w:szCs w:val="18"/>
              </w:rPr>
              <w:t>Around 4 BSP projects concluded annually</w:t>
            </w:r>
            <w:r>
              <w:rPr>
                <w:rFonts w:cstheme="minorHAnsi"/>
                <w:noProof/>
                <w:sz w:val="16"/>
                <w:szCs w:val="16"/>
              </w:rPr>
              <w:t xml:space="preserve"> </w:t>
            </w:r>
          </w:p>
          <w:p w:rsidR="003A1527" w:rsidRDefault="003A1527">
            <w:pPr>
              <w:rPr>
                <w:rFonts w:cstheme="minorHAnsi"/>
                <w:noProof/>
                <w:sz w:val="16"/>
                <w:szCs w:val="16"/>
              </w:rPr>
            </w:pPr>
          </w:p>
          <w:p w:rsidR="003A1527" w:rsidRDefault="003A1527">
            <w:pPr>
              <w:rPr>
                <w:rFonts w:cstheme="minorHAnsi"/>
                <w:noProof/>
                <w:sz w:val="16"/>
                <w:szCs w:val="16"/>
              </w:rPr>
            </w:pPr>
          </w:p>
          <w:p w:rsidR="003A1527" w:rsidRDefault="003A1527">
            <w:pPr>
              <w:rPr>
                <w:rFonts w:cstheme="minorHAnsi"/>
                <w:noProof/>
                <w:sz w:val="16"/>
                <w:szCs w:val="16"/>
              </w:rPr>
            </w:pP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3A1527">
            <w:pPr>
              <w:jc w:val="center"/>
              <w:rPr>
                <w:noProof/>
                <w:sz w:val="16"/>
                <w:szCs w:val="16"/>
              </w:rPr>
            </w:pP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b. Number of </w:t>
            </w:r>
            <w:r>
              <w:rPr>
                <w:rFonts w:cstheme="minorHAnsi"/>
                <w:noProof/>
                <w:sz w:val="16"/>
                <w:szCs w:val="16"/>
              </w:rPr>
              <w:t>Regulatory Members from Member States joining the ICH</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Number of Regulatory Members from the Member States joining the ICH and implementing its guidelines </w:t>
            </w:r>
          </w:p>
        </w:tc>
        <w:tc>
          <w:tcPr>
            <w:tcW w:w="850" w:type="dxa"/>
            <w:tcBorders>
              <w:top w:val="single" w:sz="4" w:space="0" w:color="auto"/>
              <w:left w:val="single" w:sz="4" w:space="0" w:color="auto"/>
              <w:bottom w:val="single" w:sz="4" w:space="0" w:color="auto"/>
              <w:right w:val="single" w:sz="4" w:space="0" w:color="auto"/>
            </w:tcBorders>
          </w:tcPr>
          <w:p w:rsidR="003A1527" w:rsidRDefault="003A1527">
            <w:pPr>
              <w:rPr>
                <w:rFonts w:cstheme="minorHAnsi"/>
                <w:noProof/>
                <w:sz w:val="16"/>
                <w:szCs w:val="16"/>
              </w:rPr>
            </w:pPr>
          </w:p>
          <w:p w:rsidR="003A1527" w:rsidRDefault="003A1527">
            <w:pPr>
              <w:rPr>
                <w:rFonts w:cstheme="minorHAnsi"/>
                <w:noProof/>
                <w:sz w:val="16"/>
                <w:szCs w:val="16"/>
              </w:rPr>
            </w:pPr>
          </w:p>
          <w:p w:rsidR="003A1527" w:rsidRDefault="00742A12">
            <w:pPr>
              <w:rPr>
                <w:rFonts w:cstheme="minorHAnsi"/>
                <w:noProof/>
                <w:sz w:val="16"/>
                <w:szCs w:val="16"/>
              </w:rPr>
            </w:pPr>
            <w:r>
              <w:rPr>
                <w:rFonts w:cstheme="minorHAnsi"/>
                <w:noProof/>
                <w:sz w:val="16"/>
                <w:szCs w:val="16"/>
              </w:rPr>
              <w:t>number</w:t>
            </w:r>
          </w:p>
          <w:p w:rsidR="003A1527" w:rsidRDefault="003A1527">
            <w:pPr>
              <w:rPr>
                <w:rFonts w:cstheme="minorHAnsi"/>
                <w:noProof/>
                <w:sz w:val="16"/>
                <w:szCs w:val="16"/>
              </w:rPr>
            </w:pPr>
          </w:p>
        </w:tc>
        <w:tc>
          <w:tcPr>
            <w:tcW w:w="992" w:type="dxa"/>
            <w:tcBorders>
              <w:top w:val="single" w:sz="4" w:space="0" w:color="auto"/>
              <w:left w:val="single" w:sz="4" w:space="0" w:color="auto"/>
              <w:bottom w:val="single" w:sz="4" w:space="0" w:color="auto"/>
              <w:right w:val="single" w:sz="4" w:space="0" w:color="auto"/>
            </w:tcBorders>
          </w:tcPr>
          <w:p w:rsidR="003A1527" w:rsidRDefault="003A1527">
            <w:pPr>
              <w:rPr>
                <w:rFonts w:cstheme="minorHAnsi"/>
                <w:noProof/>
                <w:sz w:val="16"/>
                <w:szCs w:val="16"/>
              </w:rPr>
            </w:pPr>
          </w:p>
          <w:p w:rsidR="003A1527" w:rsidRDefault="003A1527">
            <w:pPr>
              <w:rPr>
                <w:rFonts w:cstheme="minorHAnsi"/>
                <w:noProof/>
                <w:sz w:val="16"/>
                <w:szCs w:val="16"/>
              </w:rPr>
            </w:pPr>
          </w:p>
          <w:p w:rsidR="003A1527" w:rsidRDefault="00742A12">
            <w:pPr>
              <w:rPr>
                <w:rFonts w:cstheme="minorHAnsi"/>
                <w:noProof/>
                <w:sz w:val="16"/>
                <w:szCs w:val="16"/>
              </w:rPr>
            </w:pPr>
            <w:r>
              <w:rPr>
                <w:rFonts w:cstheme="minorHAnsi"/>
                <w:noProof/>
                <w:sz w:val="16"/>
                <w:szCs w:val="16"/>
              </w:rPr>
              <w:t>Commission/MS authorities</w:t>
            </w:r>
          </w:p>
        </w:tc>
        <w:tc>
          <w:tcPr>
            <w:tcW w:w="993" w:type="dxa"/>
            <w:tcBorders>
              <w:top w:val="single" w:sz="4" w:space="0" w:color="auto"/>
              <w:left w:val="single" w:sz="4" w:space="0" w:color="auto"/>
              <w:bottom w:val="single" w:sz="4" w:space="0" w:color="auto"/>
              <w:right w:val="single" w:sz="4" w:space="0" w:color="auto"/>
            </w:tcBorders>
          </w:tcPr>
          <w:p w:rsidR="003A1527" w:rsidRDefault="003A1527">
            <w:pPr>
              <w:rPr>
                <w:rFonts w:cstheme="minorHAnsi"/>
                <w:noProof/>
                <w:sz w:val="16"/>
                <w:szCs w:val="16"/>
              </w:rPr>
            </w:pPr>
          </w:p>
          <w:p w:rsidR="003A1527" w:rsidRDefault="003A1527">
            <w:pPr>
              <w:rPr>
                <w:rFonts w:cstheme="minorHAnsi"/>
                <w:noProof/>
                <w:sz w:val="16"/>
                <w:szCs w:val="16"/>
              </w:rPr>
            </w:pPr>
          </w:p>
          <w:p w:rsidR="003A1527" w:rsidRDefault="00742A12">
            <w:pPr>
              <w:rPr>
                <w:rFonts w:cstheme="minorHAnsi"/>
                <w:noProof/>
                <w:sz w:val="16"/>
                <w:szCs w:val="16"/>
              </w:rPr>
            </w:pPr>
            <w:r>
              <w:rPr>
                <w:rFonts w:cstheme="minorHAnsi"/>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2020, as provided by Commission services’</w:t>
            </w:r>
            <w:r>
              <w:rPr>
                <w:rFonts w:cstheme="minorHAnsi"/>
                <w:noProof/>
                <w:sz w:val="16"/>
                <w:szCs w:val="16"/>
              </w:rPr>
              <w:t xml:space="preserve"> evaluation</w:t>
            </w:r>
          </w:p>
          <w:p w:rsidR="003A1527" w:rsidRDefault="003A1527">
            <w:pPr>
              <w:rPr>
                <w:rFonts w:cstheme="minorHAnsi"/>
                <w:noProof/>
                <w:sz w:val="16"/>
                <w:szCs w:val="16"/>
              </w:rPr>
            </w:pP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Regulatory Members from 14 additional Member States joining the ICH and implementing its guidelines at the end of the Programme</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3.3. Monitor and support Member States in their implementation of legislation in the area of substances of human o</w:t>
            </w:r>
            <w:r>
              <w:rPr>
                <w:rFonts w:cstheme="minorHAnsi"/>
                <w:noProof/>
                <w:sz w:val="16"/>
                <w:szCs w:val="16"/>
              </w:rPr>
              <w:t>rigin (SoHO)</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 of Member States which have implemented the EU legislation in the field of substances of human origin (SoHO) in their national legal system</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Percentage of Member States which have implemented the EU legislation in the field of </w:t>
            </w:r>
            <w:r>
              <w:rPr>
                <w:rFonts w:cstheme="minorHAnsi"/>
                <w:noProof/>
                <w:sz w:val="16"/>
                <w:szCs w:val="16"/>
              </w:rPr>
              <w:t>substances of human origin (SoHO) in their national legal system, as reported by successive evaluation reports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Commission/MS authorities/Evaluation reports </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Same as the frequency provided for in the legal act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Year 2020</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90% of Member States havin</w:t>
            </w:r>
            <w:r>
              <w:rPr>
                <w:rFonts w:cstheme="minorHAnsi"/>
                <w:noProof/>
                <w:sz w:val="16"/>
                <w:szCs w:val="16"/>
              </w:rPr>
              <w:t xml:space="preserve">g implemented the EU legislation in the field of substances of human origin (SoHO) at the end of the Programme </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3.4. Support the implementation of tobacco legislation</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 of Member States which have implemented the EU legislation in the field of to</w:t>
            </w:r>
            <w:r>
              <w:rPr>
                <w:rFonts w:cstheme="minorHAnsi"/>
                <w:noProof/>
                <w:sz w:val="16"/>
                <w:szCs w:val="16"/>
              </w:rPr>
              <w:t>bacco in their national legal system</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 of Member States which have implemented the EU legislation in the field of tobacco in their national legal system, as reported by successive evaluation reports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Commission/Member States Authorities </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Same as the frequency provided for in the legal act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Situation in 2020, as provided by Commission services’ evaluation </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90% of Member States having implemented the EU legislation in the field of tobacco at the end of the Programme </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3.5. Support the implem</w:t>
            </w:r>
            <w:r>
              <w:rPr>
                <w:rFonts w:cstheme="minorHAnsi"/>
                <w:noProof/>
                <w:sz w:val="16"/>
                <w:szCs w:val="16"/>
              </w:rPr>
              <w:t>entation of Union legislation in the area of cross-border healthcare</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 of Member States which have implemented the EU legislation in the field of cross-border healthcare in their national legal system</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 xml:space="preserve">Percentage of Member States which have </w:t>
            </w:r>
            <w:r>
              <w:rPr>
                <w:rFonts w:cstheme="minorHAnsi"/>
                <w:noProof/>
                <w:sz w:val="16"/>
                <w:szCs w:val="16"/>
              </w:rPr>
              <w:t>implemented the EU legislation in the field of cross-border healthcare in their national legal system, as reported by successive evaluation reports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percentage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Commission/MS authorities/Evaluation reports</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Annual or at least at frequency provided for in rele</w:t>
            </w:r>
            <w:r>
              <w:rPr>
                <w:rFonts w:cstheme="minorHAnsi"/>
                <w:noProof/>
                <w:sz w:val="16"/>
                <w:szCs w:val="16"/>
              </w:rPr>
              <w:t>vant legal act</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Situation in 2020, as provided by Commission services’ evaluation</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rFonts w:cstheme="minorHAnsi"/>
                <w:noProof/>
                <w:sz w:val="16"/>
                <w:szCs w:val="16"/>
              </w:rPr>
            </w:pPr>
            <w:r>
              <w:rPr>
                <w:rFonts w:cstheme="minorHAnsi"/>
                <w:noProof/>
                <w:sz w:val="16"/>
                <w:szCs w:val="16"/>
              </w:rPr>
              <w:t>90% of Member States having implemented the EU legislation in the field of cross-border healthcare at the end of the Programme</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3.6. Support to the Commission' scientific comm</w:t>
            </w:r>
            <w:r>
              <w:rPr>
                <w:noProof/>
                <w:sz w:val="16"/>
                <w:szCs w:val="16"/>
              </w:rPr>
              <w:t xml:space="preserve">ittees on "Consumer Safety" and on "Health, Environmental and Emerging Risks" </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 of scientific opinions issued and approved</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 of scientific opinions issued and approved by the Commission’s scientific committees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Commission</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30 opinion</w:t>
            </w:r>
            <w:r>
              <w:rPr>
                <w:noProof/>
                <w:sz w:val="16"/>
                <w:szCs w:val="16"/>
              </w:rPr>
              <w:t>s finalized since 2016</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 xml:space="preserve">Continuous number of opinions in line with recent values: 10/year, (if the average number of issues arising in a given year is higher than 10) or all arising issues receiving a scientific opinion, in case their average annual number </w:t>
            </w:r>
            <w:r>
              <w:rPr>
                <w:noProof/>
                <w:sz w:val="16"/>
                <w:szCs w:val="16"/>
              </w:rPr>
              <w:t>is less than 10.</w:t>
            </w:r>
          </w:p>
        </w:tc>
      </w:tr>
      <w:tr w:rsidR="003A1527">
        <w:tc>
          <w:tcPr>
            <w:tcW w:w="152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b/>
                <w:noProof/>
                <w:sz w:val="16"/>
                <w:szCs w:val="16"/>
                <w:lang w:val="en-US"/>
              </w:rPr>
              <w:t>4. Support integrated work</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 xml:space="preserve">Strength of integrated work engagement </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The Strength of integrated work engagement indicator will be based on an equal weighting aggregation of the indicators of the 3 operational priorities below</w:t>
            </w:r>
            <w:r>
              <w:rPr>
                <w:noProof/>
                <w:sz w:val="16"/>
                <w:szCs w:val="16"/>
                <w:vertAlign w:val="superscript"/>
              </w:rPr>
              <w:footnoteReference w:id="187"/>
            </w:r>
            <w:r>
              <w:rPr>
                <w:noProof/>
                <w:sz w:val="16"/>
                <w:szCs w:val="16"/>
              </w:rPr>
              <w:t xml:space="preserve">: ERNs, HTA, </w:t>
            </w:r>
            <w:r>
              <w:rPr>
                <w:noProof/>
                <w:sz w:val="16"/>
                <w:szCs w:val="16"/>
              </w:rPr>
              <w:t>and Implementation of Best Practices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number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Commission/DG SANTE/CHAFEA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Situation in 2020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1527" w:rsidRDefault="00742A12">
            <w:pPr>
              <w:rPr>
                <w:noProof/>
                <w:sz w:val="16"/>
                <w:szCs w:val="16"/>
              </w:rPr>
            </w:pPr>
            <w:r>
              <w:rPr>
                <w:noProof/>
                <w:sz w:val="16"/>
                <w:szCs w:val="16"/>
              </w:rPr>
              <w:t>Increase of the composite indicator by 20% at the end of the Programme</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4.1.ERNs</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 xml:space="preserve">Number of patients supported by ERNs </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 xml:space="preserve">Number of patients which were diagnosed </w:t>
            </w:r>
            <w:r>
              <w:rPr>
                <w:noProof/>
                <w:sz w:val="16"/>
                <w:szCs w:val="16"/>
              </w:rPr>
              <w:t>and treated by ERN networks</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Commission/DG SANTE/CHAFEA</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 of patients that made consultations in ERNs by 2020</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Early in its development, target to be established in 2020</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4.2.HTA.</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 Transitional period. coordination level</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 of Member</w:t>
            </w:r>
            <w:r>
              <w:rPr>
                <w:noProof/>
                <w:sz w:val="16"/>
                <w:szCs w:val="16"/>
              </w:rPr>
              <w:t xml:space="preserve"> States which have joined the Coordination Group as members in the transitional period.</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percentage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Commission/DG SANTE/NCPs</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Situation in 2020, as provided by Commission services’ evaluation</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Increase by 20%</w:t>
            </w:r>
            <w:r>
              <w:rPr>
                <w:noProof/>
                <w:sz w:val="16"/>
                <w:szCs w:val="16"/>
                <w:vertAlign w:val="superscript"/>
              </w:rPr>
              <w:footnoteReference w:id="188"/>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3A1527">
            <w:pPr>
              <w:rPr>
                <w:noProof/>
                <w:sz w:val="16"/>
                <w:szCs w:val="16"/>
              </w:rPr>
            </w:pP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 xml:space="preserve">b. Number of joint clinical assessments </w:t>
            </w:r>
            <w:r>
              <w:rPr>
                <w:noProof/>
                <w:sz w:val="16"/>
                <w:szCs w:val="16"/>
              </w:rPr>
              <w:t>on medicinal products and on medical devices</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 of clinical assessments  jointly carried out</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Commission/DG SANTE/NCPs</w:t>
            </w:r>
          </w:p>
        </w:tc>
        <w:tc>
          <w:tcPr>
            <w:tcW w:w="993" w:type="dxa"/>
            <w:tcBorders>
              <w:top w:val="single" w:sz="4" w:space="0" w:color="auto"/>
              <w:left w:val="single" w:sz="4" w:space="0" w:color="auto"/>
              <w:bottom w:val="single" w:sz="4" w:space="0" w:color="auto"/>
              <w:right w:val="single" w:sz="4" w:space="0" w:color="auto"/>
            </w:tcBorders>
          </w:tcPr>
          <w:p w:rsidR="003A1527" w:rsidRDefault="003A1527">
            <w:pPr>
              <w:rPr>
                <w:noProof/>
                <w:sz w:val="16"/>
                <w:szCs w:val="16"/>
              </w:rPr>
            </w:pPr>
          </w:p>
          <w:p w:rsidR="003A1527" w:rsidRDefault="00742A12">
            <w:pPr>
              <w:rPr>
                <w:noProof/>
                <w:sz w:val="16"/>
                <w:szCs w:val="16"/>
              </w:rPr>
            </w:pPr>
            <w:r>
              <w:rPr>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Situation in 2020, as provided by Commission services’ evaluation</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50 HTA</w:t>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4.3.Implemenation of best practices</w:t>
            </w: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 Number</w:t>
            </w:r>
            <w:r>
              <w:rPr>
                <w:noProof/>
                <w:sz w:val="16"/>
                <w:szCs w:val="16"/>
              </w:rPr>
              <w:t xml:space="preserve"> of best practices transferred per million of € invested</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 of best practices transferred to Member States (receiving MS) per million of € invested from the Health Programme</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number</w:t>
            </w:r>
          </w:p>
          <w:p w:rsidR="003A1527" w:rsidRDefault="003A1527">
            <w:pPr>
              <w:rPr>
                <w:noProof/>
                <w:sz w:val="16"/>
                <w:szCs w:val="16"/>
              </w:rPr>
            </w:pP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Commission/DG SANTE/NCPs/ad hoc survey</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Annual</w:t>
            </w:r>
          </w:p>
          <w:p w:rsidR="003A1527" w:rsidRDefault="003A1527">
            <w:pPr>
              <w:rPr>
                <w:noProof/>
                <w:sz w:val="16"/>
                <w:szCs w:val="16"/>
              </w:rPr>
            </w:pP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Situation in year 2020,</w:t>
            </w:r>
            <w:r>
              <w:rPr>
                <w:noProof/>
                <w:sz w:val="16"/>
                <w:szCs w:val="16"/>
              </w:rPr>
              <w:t xml:space="preserve"> as provided by estimations relating to the 4</w:t>
            </w:r>
            <w:r>
              <w:rPr>
                <w:noProof/>
                <w:sz w:val="16"/>
                <w:szCs w:val="16"/>
                <w:vertAlign w:val="superscript"/>
              </w:rPr>
              <w:t>th</w:t>
            </w:r>
            <w:r>
              <w:rPr>
                <w:noProof/>
                <w:sz w:val="16"/>
                <w:szCs w:val="16"/>
              </w:rPr>
              <w:t xml:space="preserve"> Health programme</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na</w:t>
            </w:r>
            <w:r>
              <w:rPr>
                <w:noProof/>
                <w:sz w:val="16"/>
                <w:szCs w:val="16"/>
                <w:vertAlign w:val="superscript"/>
              </w:rPr>
              <w:footnoteReference w:id="189"/>
            </w:r>
          </w:p>
        </w:tc>
      </w:tr>
      <w:tr w:rsidR="003A1527">
        <w:tc>
          <w:tcPr>
            <w:tcW w:w="1527" w:type="dxa"/>
            <w:tcBorders>
              <w:top w:val="single" w:sz="4" w:space="0" w:color="auto"/>
              <w:left w:val="single" w:sz="4" w:space="0" w:color="auto"/>
              <w:bottom w:val="single" w:sz="4" w:space="0" w:color="auto"/>
              <w:right w:val="single" w:sz="4" w:space="0" w:color="auto"/>
            </w:tcBorders>
          </w:tcPr>
          <w:p w:rsidR="003A1527" w:rsidRDefault="003A1527">
            <w:pPr>
              <w:rPr>
                <w:noProof/>
                <w:sz w:val="16"/>
                <w:szCs w:val="16"/>
              </w:rPr>
            </w:pPr>
          </w:p>
        </w:tc>
        <w:tc>
          <w:tcPr>
            <w:tcW w:w="2437"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b. Percentage of EU population of the geographical territory in which each best practice is transferred</w:t>
            </w:r>
          </w:p>
        </w:tc>
        <w:tc>
          <w:tcPr>
            <w:tcW w:w="2838"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Percentage of EU population of the geographical territory in which each best prac</w:t>
            </w:r>
            <w:r>
              <w:rPr>
                <w:noProof/>
                <w:sz w:val="16"/>
                <w:szCs w:val="16"/>
              </w:rPr>
              <w:t>tice is transferred</w:t>
            </w:r>
          </w:p>
        </w:tc>
        <w:tc>
          <w:tcPr>
            <w:tcW w:w="850"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percentage</w:t>
            </w:r>
          </w:p>
        </w:tc>
        <w:tc>
          <w:tcPr>
            <w:tcW w:w="992"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Commission/DG SANTE/NCPs/ad hoc survey</w:t>
            </w:r>
          </w:p>
        </w:tc>
        <w:tc>
          <w:tcPr>
            <w:tcW w:w="993"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Annual</w:t>
            </w:r>
          </w:p>
        </w:tc>
        <w:tc>
          <w:tcPr>
            <w:tcW w:w="1137" w:type="dxa"/>
            <w:gridSpan w:val="2"/>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No baseline available</w:t>
            </w:r>
          </w:p>
        </w:tc>
        <w:tc>
          <w:tcPr>
            <w:tcW w:w="2835" w:type="dxa"/>
            <w:tcBorders>
              <w:top w:val="single" w:sz="4" w:space="0" w:color="auto"/>
              <w:left w:val="single" w:sz="4" w:space="0" w:color="auto"/>
              <w:bottom w:val="single" w:sz="4" w:space="0" w:color="auto"/>
              <w:right w:val="single" w:sz="4" w:space="0" w:color="auto"/>
            </w:tcBorders>
          </w:tcPr>
          <w:p w:rsidR="003A1527" w:rsidRDefault="00742A12">
            <w:pPr>
              <w:rPr>
                <w:noProof/>
                <w:sz w:val="16"/>
                <w:szCs w:val="16"/>
              </w:rPr>
            </w:pPr>
            <w:r>
              <w:rPr>
                <w:noProof/>
                <w:sz w:val="16"/>
                <w:szCs w:val="16"/>
              </w:rPr>
              <w:t>Maximizing the percentage of EU population of the geographical territory in which each best practice is transferred, with a target of at least 5%</w:t>
            </w:r>
          </w:p>
        </w:tc>
      </w:tr>
      <w:tr w:rsidR="003A1527">
        <w:tc>
          <w:tcPr>
            <w:tcW w:w="1527" w:type="dxa"/>
          </w:tcPr>
          <w:p w:rsidR="003A1527" w:rsidRDefault="00742A12">
            <w:pPr>
              <w:rPr>
                <w:b/>
                <w:noProof/>
                <w:sz w:val="16"/>
                <w:szCs w:val="16"/>
              </w:rPr>
            </w:pPr>
            <w:r>
              <w:rPr>
                <w:b/>
                <w:noProof/>
                <w:sz w:val="16"/>
                <w:szCs w:val="16"/>
              </w:rPr>
              <w:t xml:space="preserve">Overall </w:t>
            </w:r>
            <w:r>
              <w:rPr>
                <w:b/>
                <w:noProof/>
                <w:sz w:val="16"/>
                <w:szCs w:val="16"/>
              </w:rPr>
              <w:t>Programme Indicator</w:t>
            </w:r>
          </w:p>
        </w:tc>
        <w:tc>
          <w:tcPr>
            <w:tcW w:w="2437" w:type="dxa"/>
          </w:tcPr>
          <w:p w:rsidR="003A1527" w:rsidRDefault="00742A12">
            <w:pPr>
              <w:rPr>
                <w:noProof/>
                <w:sz w:val="16"/>
                <w:szCs w:val="16"/>
              </w:rPr>
            </w:pPr>
            <w:r>
              <w:rPr>
                <w:noProof/>
                <w:sz w:val="16"/>
                <w:szCs w:val="16"/>
              </w:rPr>
              <w:t xml:space="preserve">Reduction of the difference between the 5 best performing Member States (MS) in terms of Mortality rate and the 5 worst performing MS </w:t>
            </w:r>
          </w:p>
        </w:tc>
        <w:tc>
          <w:tcPr>
            <w:tcW w:w="2838" w:type="dxa"/>
          </w:tcPr>
          <w:p w:rsidR="003A1527" w:rsidRDefault="00742A12">
            <w:pPr>
              <w:rPr>
                <w:noProof/>
                <w:sz w:val="16"/>
                <w:szCs w:val="16"/>
              </w:rPr>
            </w:pPr>
            <w:r>
              <w:rPr>
                <w:noProof/>
                <w:sz w:val="16"/>
                <w:szCs w:val="16"/>
              </w:rPr>
              <w:t>Reduction of the difference between the 5 best performing Member States (MS) in terms of Mortality ra</w:t>
            </w:r>
            <w:r>
              <w:rPr>
                <w:noProof/>
                <w:sz w:val="16"/>
                <w:szCs w:val="16"/>
              </w:rPr>
              <w:t>te and the 5 worst performing MS</w:t>
            </w:r>
          </w:p>
        </w:tc>
        <w:tc>
          <w:tcPr>
            <w:tcW w:w="850" w:type="dxa"/>
          </w:tcPr>
          <w:p w:rsidR="003A1527" w:rsidRDefault="00742A12">
            <w:pPr>
              <w:rPr>
                <w:noProof/>
                <w:sz w:val="16"/>
                <w:szCs w:val="16"/>
              </w:rPr>
            </w:pPr>
            <w:r>
              <w:rPr>
                <w:noProof/>
                <w:sz w:val="16"/>
                <w:szCs w:val="16"/>
              </w:rPr>
              <w:t>Quantitative</w:t>
            </w:r>
          </w:p>
        </w:tc>
        <w:tc>
          <w:tcPr>
            <w:tcW w:w="992" w:type="dxa"/>
          </w:tcPr>
          <w:p w:rsidR="003A1527" w:rsidRDefault="00742A12">
            <w:pPr>
              <w:rPr>
                <w:noProof/>
                <w:sz w:val="16"/>
                <w:szCs w:val="16"/>
              </w:rPr>
            </w:pPr>
            <w:r>
              <w:rPr>
                <w:noProof/>
                <w:sz w:val="16"/>
                <w:szCs w:val="16"/>
              </w:rPr>
              <w:t>Commission/Member States/Health Security Committee</w:t>
            </w:r>
          </w:p>
        </w:tc>
        <w:tc>
          <w:tcPr>
            <w:tcW w:w="1000" w:type="dxa"/>
            <w:gridSpan w:val="2"/>
          </w:tcPr>
          <w:p w:rsidR="003A1527" w:rsidRDefault="00742A12">
            <w:pPr>
              <w:rPr>
                <w:noProof/>
                <w:sz w:val="16"/>
                <w:szCs w:val="16"/>
              </w:rPr>
            </w:pPr>
            <w:r>
              <w:rPr>
                <w:noProof/>
                <w:sz w:val="16"/>
                <w:szCs w:val="16"/>
              </w:rPr>
              <w:t>Frequency of available data in Eurostat’s Database</w:t>
            </w:r>
          </w:p>
        </w:tc>
        <w:tc>
          <w:tcPr>
            <w:tcW w:w="1130" w:type="dxa"/>
          </w:tcPr>
          <w:p w:rsidR="003A1527" w:rsidRDefault="00742A12">
            <w:pPr>
              <w:rPr>
                <w:noProof/>
                <w:sz w:val="16"/>
                <w:szCs w:val="16"/>
              </w:rPr>
            </w:pPr>
            <w:r>
              <w:rPr>
                <w:noProof/>
                <w:sz w:val="16"/>
                <w:szCs w:val="16"/>
              </w:rPr>
              <w:t>Situation in 2020</w:t>
            </w:r>
          </w:p>
        </w:tc>
        <w:tc>
          <w:tcPr>
            <w:tcW w:w="2835" w:type="dxa"/>
          </w:tcPr>
          <w:p w:rsidR="003A1527" w:rsidRDefault="00742A12">
            <w:pPr>
              <w:rPr>
                <w:noProof/>
                <w:sz w:val="16"/>
                <w:szCs w:val="16"/>
              </w:rPr>
            </w:pPr>
            <w:r>
              <w:rPr>
                <w:noProof/>
                <w:sz w:val="16"/>
                <w:szCs w:val="16"/>
              </w:rPr>
              <w:t>Reduction of observed inequality by 20%</w:t>
            </w:r>
          </w:p>
        </w:tc>
      </w:tr>
    </w:tbl>
    <w:p w:rsidR="003A1527" w:rsidRDefault="003A1527">
      <w:pPr>
        <w:spacing w:after="0" w:line="240" w:lineRule="auto"/>
        <w:rPr>
          <w:noProof/>
        </w:rPr>
        <w:sectPr w:rsidR="003A1527">
          <w:headerReference w:type="even" r:id="rId61"/>
          <w:headerReference w:type="default" r:id="rId62"/>
          <w:footerReference w:type="even" r:id="rId63"/>
          <w:footerReference w:type="default" r:id="rId64"/>
          <w:headerReference w:type="first" r:id="rId65"/>
          <w:footerReference w:type="first" r:id="rId66"/>
          <w:pgSz w:w="16838" w:h="11906" w:orient="landscape"/>
          <w:pgMar w:top="1418" w:right="1418" w:bottom="1418" w:left="1418" w:header="709" w:footer="709" w:gutter="0"/>
          <w:cols w:space="708"/>
          <w:docGrid w:linePitch="360"/>
        </w:sectPr>
      </w:pPr>
    </w:p>
    <w:p w:rsidR="003A1527" w:rsidRDefault="003A1527">
      <w:pPr>
        <w:spacing w:after="0" w:line="240" w:lineRule="auto"/>
        <w:rPr>
          <w:rFonts w:ascii="Times New Roman" w:eastAsia="Times New Roman" w:hAnsi="Times New Roman" w:cs="Times New Roman"/>
          <w:b/>
          <w:noProof/>
          <w:sz w:val="32"/>
        </w:rPr>
      </w:pPr>
      <w:bookmarkStart w:id="135" w:name="_Toc382372586"/>
    </w:p>
    <w:p w:rsidR="003A1527" w:rsidRDefault="00742A12">
      <w:pPr>
        <w:keepNext/>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Sub-Annex 1: Evidence, sources and quality</w:t>
      </w:r>
      <w:bookmarkEnd w:id="135"/>
    </w:p>
    <w:p w:rsidR="003A1527" w:rsidRDefault="003A1527">
      <w:pPr>
        <w:tabs>
          <w:tab w:val="left" w:pos="2302"/>
        </w:tabs>
        <w:spacing w:after="0" w:line="240" w:lineRule="auto"/>
        <w:jc w:val="both"/>
        <w:rPr>
          <w:rFonts w:ascii="Times New Roman" w:eastAsia="Times New Roman" w:hAnsi="Times New Roman" w:cs="Times New Roman"/>
          <w:b/>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systems put into place for the monitoring and management of previous health programmes enabled to efficiently collect data on various aspects of the implementation, including the type of actions, the types of beneficiary organisations, amount of EU co-</w:t>
      </w:r>
      <w:r>
        <w:rPr>
          <w:rFonts w:ascii="Times New Roman" w:hAnsi="Times New Roman" w:cs="Times New Roman"/>
          <w:noProof/>
          <w:sz w:val="24"/>
          <w:szCs w:val="24"/>
        </w:rPr>
        <w:t xml:space="preserve">funding.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and evidence from programme monitoring and management include deliverables and assessment of results at action level, enabling to measure the success of each funded action and its contribution to the overall objectives of the programm</w:t>
      </w:r>
      <w:r>
        <w:rPr>
          <w:rFonts w:ascii="Times New Roman" w:hAnsi="Times New Roman" w:cs="Times New Roman"/>
          <w:noProof/>
          <w:sz w:val="24"/>
          <w:szCs w:val="24"/>
        </w:rPr>
        <w:t xml:space="preserve">es.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deliverables and results at action level feed into the dissemination plan at programme level and provide the opportunity to extract and present showcases of success showcases from which broader lessons can be drawn, as feedback and input to future</w:t>
      </w:r>
      <w:r>
        <w:rPr>
          <w:rFonts w:ascii="Times New Roman" w:hAnsi="Times New Roman" w:cs="Times New Roman"/>
          <w:noProof/>
          <w:sz w:val="24"/>
          <w:szCs w:val="24"/>
        </w:rPr>
        <w:t xml:space="preserve"> actions/programmes.</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mid-term and final (ex-post) evaluations of the previous programme conducted by external independent contractors/organisations provided reliable evidence and necessary input to the preparation of the impact assessment of the subse</w:t>
      </w:r>
      <w:r>
        <w:rPr>
          <w:rFonts w:ascii="Times New Roman" w:hAnsi="Times New Roman" w:cs="Times New Roman"/>
          <w:noProof/>
          <w:sz w:val="24"/>
          <w:szCs w:val="24"/>
        </w:rPr>
        <w:t>quent Programme.</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respect, the present impact assessment builds on evidence gathered from the mid-term evaluation of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 (2014-2020), carried out in 2017 (link to be added) and from of final (ex-post) evaluation of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Health Pr</w:t>
      </w:r>
      <w:r>
        <w:rPr>
          <w:rFonts w:ascii="Times New Roman" w:hAnsi="Times New Roman" w:cs="Times New Roman"/>
          <w:noProof/>
          <w:sz w:val="24"/>
          <w:szCs w:val="24"/>
        </w:rPr>
        <w:t>ogramme (2008-2013) issued in 2016.</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robustness and quality of information derived from Programme monitoring and from mid-term and final evaluations has been assured by cross-checking with complementary evidence from independent other evaluations or au</w:t>
      </w:r>
      <w:r>
        <w:rPr>
          <w:rFonts w:ascii="Times New Roman" w:hAnsi="Times New Roman" w:cs="Times New Roman"/>
          <w:noProof/>
          <w:sz w:val="24"/>
          <w:szCs w:val="24"/>
        </w:rPr>
        <w:t xml:space="preserve">dits of specific components of the Programme, such as the special report issued in 2016 by the European Court of Auditors on cross-border threats to health in the EU and the Commission report to the European Parliament and to Council on the implementation </w:t>
      </w:r>
      <w:r>
        <w:rPr>
          <w:rFonts w:ascii="Times New Roman" w:hAnsi="Times New Roman" w:cs="Times New Roman"/>
          <w:noProof/>
          <w:sz w:val="24"/>
          <w:szCs w:val="24"/>
        </w:rPr>
        <w:t xml:space="preserve">of Decision No 1082/2013/EU.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Robustness and quality can also be increased by taking into account reports and opinions delivered by other EU institutions (e.g. Council Recommendations on Vaccination, on AMR, and on lessons learned from the Ebola and Zika c</w:t>
      </w:r>
      <w:r>
        <w:rPr>
          <w:rFonts w:ascii="Times New Roman" w:hAnsi="Times New Roman" w:cs="Times New Roman"/>
          <w:noProof/>
          <w:sz w:val="24"/>
          <w:szCs w:val="24"/>
        </w:rPr>
        <w:t xml:space="preserve">rises; European Parliament Resolutions on health-related issues and on specific aspects of the Health Programme). </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opinion of the Members of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 Committee, the impact assessment took into account the opinion of Scientifi</w:t>
      </w:r>
      <w:r>
        <w:rPr>
          <w:rFonts w:ascii="Times New Roman" w:hAnsi="Times New Roman" w:cs="Times New Roman"/>
          <w:noProof/>
          <w:sz w:val="24"/>
          <w:szCs w:val="24"/>
        </w:rPr>
        <w:t>c Committees and advice from experts groups at EU-level (Expert Panel on Effective Ways of Investing in Health; Expert Groups represented in the EU Health Policy Platform) or in international organisations (cooperation with WHO, on the implementation of IH</w:t>
      </w:r>
      <w:r>
        <w:rPr>
          <w:rFonts w:ascii="Times New Roman" w:hAnsi="Times New Roman" w:cs="Times New Roman"/>
          <w:noProof/>
          <w:sz w:val="24"/>
          <w:szCs w:val="24"/>
        </w:rPr>
        <w:t>R and with OECD on health information and State of Health in the EU cycle).</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Commission level, the impact assessment included by up-to-date evidence from new policy developments and opportunities of synergies offered such developments (e.g. Action Plan </w:t>
      </w:r>
      <w:r>
        <w:rPr>
          <w:rFonts w:ascii="Times New Roman" w:hAnsi="Times New Roman" w:cs="Times New Roman"/>
          <w:noProof/>
          <w:sz w:val="24"/>
          <w:szCs w:val="24"/>
        </w:rPr>
        <w:t>on AMR, Digital Single Market Communication, and Communication on Vaccination, under-preparation).</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in order to close remaining information gaps, the Commission launched a study on gathering with a view to analysing the impacts of possible actions</w:t>
      </w:r>
      <w:r>
        <w:rPr>
          <w:rFonts w:ascii="Times New Roman" w:hAnsi="Times New Roman" w:cs="Times New Roman"/>
          <w:noProof/>
          <w:sz w:val="24"/>
          <w:szCs w:val="24"/>
        </w:rPr>
        <w:t xml:space="preserve"> in the future Health Programme and to proposing a programme monitoring and evaluation framework.</w:t>
      </w:r>
    </w:p>
    <w:p w:rsidR="003A1527" w:rsidRDefault="003A1527">
      <w:pPr>
        <w:spacing w:after="0" w:line="240" w:lineRule="auto"/>
        <w:jc w:val="both"/>
        <w:rPr>
          <w:rFonts w:ascii="Times New Roman" w:hAnsi="Times New Roman" w:cs="Times New Roman"/>
          <w:noProof/>
          <w:sz w:val="24"/>
          <w:szCs w:val="24"/>
        </w:rPr>
      </w:pPr>
    </w:p>
    <w:p w:rsidR="003A1527" w:rsidRDefault="003A1527">
      <w:pPr>
        <w:spacing w:after="0" w:line="240" w:lineRule="auto"/>
        <w:rPr>
          <w:rFonts w:ascii="Times New Roman" w:hAnsi="Times New Roman" w:cs="Times New Roman"/>
          <w:noProof/>
        </w:rPr>
        <w:sectPr w:rsidR="003A1527">
          <w:headerReference w:type="even" r:id="rId67"/>
          <w:headerReference w:type="default" r:id="rId68"/>
          <w:footerReference w:type="even" r:id="rId69"/>
          <w:footerReference w:type="default" r:id="rId70"/>
          <w:headerReference w:type="first" r:id="rId71"/>
          <w:footerReference w:type="first" r:id="rId72"/>
          <w:pgSz w:w="11906" w:h="16838"/>
          <w:pgMar w:top="1020" w:right="1701" w:bottom="1020" w:left="1587" w:header="601" w:footer="1077" w:gutter="0"/>
          <w:cols w:space="720"/>
          <w:titlePg/>
        </w:sectPr>
      </w:pPr>
    </w:p>
    <w:p w:rsidR="003A1527" w:rsidRDefault="00742A12">
      <w:pPr>
        <w:keepNext/>
        <w:spacing w:after="0" w:line="240" w:lineRule="auto"/>
        <w:jc w:val="center"/>
        <w:rPr>
          <w:rFonts w:ascii="Times New Roman" w:eastAsia="Times New Roman" w:hAnsi="Times New Roman" w:cs="Times New Roman"/>
          <w:b/>
          <w:noProof/>
          <w:sz w:val="24"/>
          <w:szCs w:val="24"/>
        </w:rPr>
      </w:pPr>
      <w:bookmarkStart w:id="136" w:name="_Toc382372588"/>
      <w:r>
        <w:rPr>
          <w:rFonts w:ascii="Times New Roman" w:eastAsia="Times New Roman" w:hAnsi="Times New Roman" w:cs="Times New Roman"/>
          <w:b/>
          <w:noProof/>
          <w:sz w:val="24"/>
          <w:szCs w:val="24"/>
        </w:rPr>
        <w:t>Sub-Annex 2: Stakeholder consultation</w:t>
      </w:r>
      <w:bookmarkEnd w:id="136"/>
      <w:r>
        <w:rPr>
          <w:rFonts w:ascii="Times New Roman" w:eastAsia="Times New Roman" w:hAnsi="Times New Roman" w:cs="Times New Roman"/>
          <w:b/>
          <w:noProof/>
          <w:sz w:val="24"/>
          <w:szCs w:val="24"/>
        </w:rPr>
        <w:t xml:space="preserve"> </w:t>
      </w:r>
    </w:p>
    <w:p w:rsidR="003A1527" w:rsidRDefault="003A1527">
      <w:pPr>
        <w:tabs>
          <w:tab w:val="left" w:pos="2302"/>
        </w:tabs>
        <w:spacing w:after="0" w:line="240" w:lineRule="auto"/>
        <w:jc w:val="both"/>
        <w:rPr>
          <w:rFonts w:ascii="Times New Roman" w:eastAsia="Times New Roman" w:hAnsi="Times New Roman" w:cs="Times New Roman"/>
          <w:b/>
          <w:noProof/>
          <w:sz w:val="24"/>
        </w:rPr>
      </w:pPr>
    </w:p>
    <w:p w:rsidR="003A1527" w:rsidRDefault="00742A12">
      <w:pPr>
        <w:spacing w:after="0" w:line="240" w:lineRule="auto"/>
        <w:jc w:val="both"/>
        <w:rPr>
          <w:noProof/>
          <w:sz w:val="24"/>
          <w:szCs w:val="24"/>
        </w:rPr>
      </w:pPr>
      <w:r>
        <w:rPr>
          <w:rFonts w:ascii="Times New Roman" w:hAnsi="Times New Roman" w:cs="Times New Roman"/>
          <w:noProof/>
          <w:sz w:val="24"/>
          <w:szCs w:val="24"/>
        </w:rPr>
        <w:t xml:space="preserve">In addition to the IMP public consultation </w:t>
      </w:r>
      <w:r>
        <w:rPr>
          <w:rFonts w:ascii="Times New Roman" w:hAnsi="Times New Roman" w:cs="Times New Roman"/>
          <w:noProof/>
          <w:sz w:val="24"/>
          <w:szCs w:val="24"/>
        </w:rPr>
        <w:t>launched during the 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quarter of 2018, open consultations were carried in the context of the mid-term evaluation of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Health Programme. Stakeholders participated in the mid-term evaluation of the 3rd Health Programme through these consultations</w:t>
      </w:r>
      <w:r>
        <w:rPr>
          <w:noProof/>
          <w:sz w:val="24"/>
          <w:szCs w:val="24"/>
        </w:rPr>
        <w:footnoteReference w:id="190"/>
      </w:r>
      <w:r>
        <w:rPr>
          <w:rFonts w:ascii="Times New Roman" w:hAnsi="Times New Roman" w:cs="Times New Roman"/>
          <w:noProof/>
          <w:sz w:val="24"/>
          <w:szCs w:val="24"/>
        </w:rPr>
        <w:t>, i</w:t>
      </w:r>
      <w:r>
        <w:rPr>
          <w:rFonts w:ascii="Times New Roman" w:hAnsi="Times New Roman" w:cs="Times New Roman"/>
          <w:noProof/>
          <w:sz w:val="24"/>
          <w:szCs w:val="24"/>
        </w:rPr>
        <w:t>ncluding an open public consultation which covered aspects relating to the relevance, added value, efficiency, effectiveness, and coherence of the programme. This served, notably, as input to the preparation of the impact assessment of the Health Programme</w:t>
      </w:r>
      <w:r>
        <w:rPr>
          <w:rFonts w:ascii="Times New Roman" w:hAnsi="Times New Roman" w:cs="Times New Roman"/>
          <w:noProof/>
          <w:sz w:val="24"/>
          <w:szCs w:val="24"/>
        </w:rPr>
        <w:t xml:space="preserve"> post 2020.</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noProof/>
          <w:sz w:val="24"/>
          <w:szCs w:val="24"/>
        </w:rPr>
      </w:pPr>
      <w:r>
        <w:rPr>
          <w:rFonts w:ascii="Times New Roman" w:hAnsi="Times New Roman" w:cs="Times New Roman"/>
          <w:noProof/>
          <w:sz w:val="24"/>
          <w:szCs w:val="24"/>
        </w:rPr>
        <w:t>The consultations, carried out from November 2016 to February 2017, engaged institutional stakeholders, notably the Programme Committee members and National Focal Points and grant beneficiaries. The stakeholders involved in the funded activities, especiall</w:t>
      </w:r>
      <w:r>
        <w:rPr>
          <w:rFonts w:ascii="Times New Roman" w:hAnsi="Times New Roman" w:cs="Times New Roman"/>
          <w:noProof/>
          <w:sz w:val="24"/>
          <w:szCs w:val="24"/>
        </w:rPr>
        <w:t xml:space="preserve">y non-governmental organisations, public health authorities, academic and research organisations, international organisations, professional associations, private companies and individual persons were also consulted through the open public consultation.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n addition, targeted on-line consultations with public health experts and e-surveys with National Focal Points and Programme Committee members were conducted as part of the external evaluation study. These were complemented by targeted interviews of Commis</w:t>
      </w:r>
      <w:r>
        <w:rPr>
          <w:rFonts w:ascii="Times New Roman" w:hAnsi="Times New Roman" w:cs="Times New Roman"/>
          <w:noProof/>
          <w:sz w:val="24"/>
          <w:szCs w:val="24"/>
        </w:rPr>
        <w:t xml:space="preserve">sion and International Health Organisation officers, and grant recipients (beneficiaries), mainly project leaders and coordinators of actions funded under the Programme. </w:t>
      </w:r>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noProof/>
          <w:sz w:val="24"/>
          <w:szCs w:val="24"/>
        </w:rPr>
      </w:pPr>
      <w:r>
        <w:rPr>
          <w:rFonts w:ascii="Times New Roman" w:hAnsi="Times New Roman" w:cs="Times New Roman"/>
          <w:noProof/>
          <w:sz w:val="24"/>
          <w:szCs w:val="24"/>
        </w:rPr>
        <w:t>In the open public consultation Member States and EU stakeholders provided an overwh</w:t>
      </w:r>
      <w:r>
        <w:rPr>
          <w:rFonts w:ascii="Times New Roman" w:hAnsi="Times New Roman" w:cs="Times New Roman"/>
          <w:noProof/>
          <w:sz w:val="24"/>
          <w:szCs w:val="24"/>
        </w:rPr>
        <w:t xml:space="preserve">elming support for EU health policies confirming that the cooperation in the area of health is essential and should be maintained (70%). </w:t>
      </w:r>
    </w:p>
    <w:p w:rsidR="003A1527" w:rsidRDefault="00742A12">
      <w:pPr>
        <w:spacing w:after="0" w:line="240" w:lineRule="auto"/>
        <w:jc w:val="both"/>
        <w:rPr>
          <w:noProof/>
        </w:rPr>
      </w:pPr>
      <w:r>
        <w:rPr>
          <w:rFonts w:ascii="Times New Roman" w:hAnsi="Times New Roman" w:cs="Times New Roman"/>
          <w:noProof/>
          <w:sz w:val="24"/>
          <w:szCs w:val="24"/>
        </w:rPr>
        <w:t>The EU should continue supporting important health-related challenges facing EU citizens, governments and health syste</w:t>
      </w:r>
      <w:r>
        <w:rPr>
          <w:rFonts w:ascii="Times New Roman" w:hAnsi="Times New Roman" w:cs="Times New Roman"/>
          <w:noProof/>
          <w:sz w:val="24"/>
          <w:szCs w:val="24"/>
        </w:rPr>
        <w:t>ms reflected in the formulation of the Programme’s objectives.</w:t>
      </w:r>
      <w:r>
        <w:rPr>
          <w:noProof/>
        </w:rPr>
        <w:footnoteReference w:id="191"/>
      </w:r>
    </w:p>
    <w:p w:rsidR="003A1527" w:rsidRDefault="003A1527">
      <w:pPr>
        <w:spacing w:after="0" w:line="240" w:lineRule="auto"/>
        <w:rPr>
          <w:rFonts w:ascii="Times New Roman" w:hAnsi="Times New Roman" w:cs="Times New Roman"/>
          <w:noProof/>
        </w:rPr>
        <w:sectPr w:rsidR="003A1527">
          <w:headerReference w:type="even" r:id="rId73"/>
          <w:headerReference w:type="default" r:id="rId74"/>
          <w:footerReference w:type="even" r:id="rId75"/>
          <w:footerReference w:type="default" r:id="rId76"/>
          <w:headerReference w:type="first" r:id="rId77"/>
          <w:footerReference w:type="first" r:id="rId78"/>
          <w:pgSz w:w="11906" w:h="16838"/>
          <w:pgMar w:top="1020" w:right="1701" w:bottom="1020" w:left="1587" w:header="601" w:footer="1077" w:gutter="0"/>
          <w:cols w:space="720"/>
          <w:titlePg/>
        </w:sectPr>
      </w:pPr>
    </w:p>
    <w:p w:rsidR="003A1527" w:rsidRDefault="00742A12">
      <w:pPr>
        <w:keepNext/>
        <w:spacing w:after="0" w:line="240" w:lineRule="auto"/>
        <w:jc w:val="center"/>
        <w:rPr>
          <w:rFonts w:ascii="Times New Roman" w:eastAsia="Times New Roman" w:hAnsi="Times New Roman" w:cs="Times New Roman"/>
          <w:b/>
          <w:noProof/>
          <w:sz w:val="24"/>
          <w:szCs w:val="24"/>
        </w:rPr>
      </w:pPr>
      <w:bookmarkStart w:id="137" w:name="_Toc382372589"/>
      <w:r>
        <w:rPr>
          <w:rFonts w:ascii="Times New Roman" w:eastAsia="Times New Roman" w:hAnsi="Times New Roman" w:cs="Times New Roman"/>
          <w:b/>
          <w:noProof/>
          <w:sz w:val="24"/>
          <w:szCs w:val="24"/>
        </w:rPr>
        <w:t>Sub-Annex 3: Evaluation results</w:t>
      </w:r>
      <w:bookmarkEnd w:id="137"/>
    </w:p>
    <w:p w:rsidR="003A1527" w:rsidRDefault="003A1527">
      <w:pPr>
        <w:spacing w:after="0" w:line="240" w:lineRule="auto"/>
        <w:jc w:val="both"/>
        <w:rPr>
          <w:rFonts w:ascii="Times New Roman" w:hAnsi="Times New Roman" w:cs="Times New Roman"/>
          <w:noProof/>
          <w:sz w:val="24"/>
          <w:szCs w:val="24"/>
        </w:rPr>
      </w:pP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programme evaluations carried out are as follows:</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Mid-term Evaluation of the third </w:t>
      </w:r>
      <w:r>
        <w:rPr>
          <w:rFonts w:ascii="Times New Roman" w:hAnsi="Times New Roman" w:cs="Times New Roman"/>
          <w:noProof/>
          <w:sz w:val="24"/>
          <w:szCs w:val="24"/>
        </w:rPr>
        <w:t>Health Programme (2014 – 2020)</w:t>
      </w:r>
      <w:r>
        <w:rPr>
          <w:rFonts w:ascii="Times New Roman" w:hAnsi="Times New Roman" w:cs="Times New Roman"/>
          <w:noProof/>
          <w:sz w:val="24"/>
          <w:szCs w:val="24"/>
        </w:rPr>
        <w:footnoteReference w:id="192"/>
      </w:r>
      <w:r>
        <w:rPr>
          <w:rFonts w:ascii="Times New Roman" w:hAnsi="Times New Roman" w:cs="Times New Roman"/>
          <w:noProof/>
          <w:sz w:val="24"/>
          <w:szCs w:val="24"/>
        </w:rPr>
        <w:t xml:space="preserve"> released in 2017</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Report on the implementation of Decision No 1082/2013/EU of the European Parliament and of the Council of 22 October 2013 on serious cross-border threats to health</w:t>
      </w:r>
      <w:r>
        <w:rPr>
          <w:rFonts w:ascii="Times New Roman" w:hAnsi="Times New Roman" w:cs="Times New Roman"/>
          <w:noProof/>
          <w:sz w:val="24"/>
          <w:szCs w:val="24"/>
          <w:vertAlign w:val="superscript"/>
        </w:rPr>
        <w:footnoteReference w:id="193"/>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Ex-post Evaluation of the second Health Pr</w:t>
      </w:r>
      <w:r>
        <w:rPr>
          <w:rFonts w:ascii="Times New Roman" w:hAnsi="Times New Roman" w:cs="Times New Roman"/>
          <w:noProof/>
          <w:sz w:val="24"/>
          <w:szCs w:val="24"/>
        </w:rPr>
        <w:t>ogramme (2008 – 2013)</w:t>
      </w:r>
      <w:r>
        <w:rPr>
          <w:rFonts w:ascii="Times New Roman" w:hAnsi="Times New Roman" w:cs="Times New Roman"/>
          <w:noProof/>
          <w:sz w:val="24"/>
          <w:szCs w:val="24"/>
        </w:rPr>
        <w:footnoteReference w:id="194"/>
      </w:r>
      <w:r>
        <w:rPr>
          <w:rFonts w:ascii="Times New Roman" w:hAnsi="Times New Roman" w:cs="Times New Roman"/>
          <w:noProof/>
          <w:sz w:val="24"/>
          <w:szCs w:val="24"/>
        </w:rPr>
        <w:t xml:space="preserve"> released in 2016</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Mid-term Evaluation of the second Health Programme (2008 – 2013)</w:t>
      </w:r>
      <w:r>
        <w:rPr>
          <w:rFonts w:ascii="Times New Roman" w:hAnsi="Times New Roman" w:cs="Times New Roman"/>
          <w:noProof/>
          <w:sz w:val="24"/>
          <w:szCs w:val="24"/>
        </w:rPr>
        <w:footnoteReference w:id="195"/>
      </w:r>
      <w:r>
        <w:rPr>
          <w:rFonts w:ascii="Times New Roman" w:hAnsi="Times New Roman" w:cs="Times New Roman"/>
          <w:noProof/>
          <w:sz w:val="24"/>
          <w:szCs w:val="24"/>
        </w:rPr>
        <w:t xml:space="preserve"> released in 2011</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Ex-post evaluation of the (first) Public Health Programme (PHP) 2003-2008</w:t>
      </w:r>
      <w:r>
        <w:rPr>
          <w:rFonts w:ascii="Times New Roman" w:hAnsi="Times New Roman" w:cs="Times New Roman"/>
          <w:noProof/>
          <w:sz w:val="24"/>
          <w:szCs w:val="24"/>
          <w:vertAlign w:val="superscript"/>
        </w:rPr>
        <w:footnoteReference w:id="196"/>
      </w:r>
      <w:r>
        <w:rPr>
          <w:rFonts w:ascii="Times New Roman" w:hAnsi="Times New Roman" w:cs="Times New Roman"/>
          <w:noProof/>
          <w:sz w:val="24"/>
          <w:szCs w:val="24"/>
        </w:rPr>
        <w:t xml:space="preserve"> released in 2011</w:t>
      </w:r>
    </w:p>
    <w:p w:rsidR="003A1527" w:rsidRDefault="00742A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Mid-term evaluation of the (first) Public</w:t>
      </w:r>
      <w:r>
        <w:rPr>
          <w:rFonts w:ascii="Times New Roman" w:hAnsi="Times New Roman" w:cs="Times New Roman"/>
          <w:noProof/>
          <w:sz w:val="24"/>
          <w:szCs w:val="24"/>
        </w:rPr>
        <w:t xml:space="preserve"> Health Programme (PHP) 2003-2008</w:t>
      </w:r>
      <w:r>
        <w:rPr>
          <w:rFonts w:ascii="Times New Roman" w:hAnsi="Times New Roman" w:cs="Times New Roman"/>
          <w:noProof/>
          <w:sz w:val="24"/>
          <w:szCs w:val="24"/>
          <w:vertAlign w:val="superscript"/>
        </w:rPr>
        <w:footnoteReference w:id="197"/>
      </w:r>
      <w:r>
        <w:rPr>
          <w:rFonts w:ascii="Times New Roman" w:hAnsi="Times New Roman" w:cs="Times New Roman"/>
          <w:noProof/>
          <w:sz w:val="24"/>
          <w:szCs w:val="24"/>
        </w:rPr>
        <w:t xml:space="preserve">, released in 2007 </w:t>
      </w:r>
    </w:p>
    <w:p w:rsidR="003A1527" w:rsidRDefault="003A1527">
      <w:pPr>
        <w:spacing w:after="0" w:line="240" w:lineRule="auto"/>
        <w:jc w:val="both"/>
        <w:rPr>
          <w:rFonts w:ascii="Times New Roman" w:eastAsia="Times New Roman" w:hAnsi="Times New Roman" w:cs="Times New Roman"/>
          <w:noProof/>
          <w:sz w:val="24"/>
          <w:szCs w:val="24"/>
        </w:rPr>
      </w:pPr>
    </w:p>
    <w:p w:rsidR="003A1527" w:rsidRDefault="003A1527">
      <w:pPr>
        <w:spacing w:after="0" w:line="240" w:lineRule="auto"/>
        <w:jc w:val="center"/>
        <w:rPr>
          <w:rFonts w:ascii="Times New Roman" w:hAnsi="Times New Roman" w:cs="Times New Roman"/>
          <w:noProof/>
          <w:sz w:val="24"/>
          <w:szCs w:val="24"/>
        </w:rPr>
      </w:pPr>
    </w:p>
    <w:sectPr w:rsidR="003A1527">
      <w:headerReference w:type="even" r:id="rId79"/>
      <w:headerReference w:type="default" r:id="rId80"/>
      <w:footerReference w:type="even" r:id="rId81"/>
      <w:footerReference w:type="default" r:id="rId82"/>
      <w:headerReference w:type="first" r:id="rId83"/>
      <w:footerReference w:type="first" r:id="rId8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27" w:rsidRDefault="00742A12">
      <w:r>
        <w:separator/>
      </w:r>
    </w:p>
  </w:endnote>
  <w:endnote w:type="continuationSeparator" w:id="0">
    <w:p w:rsidR="003A1527" w:rsidRDefault="00742A12">
      <w:r>
        <w:continuationSeparator/>
      </w:r>
    </w:p>
  </w:endnote>
  <w:endnote w:type="continuationNotice" w:id="1">
    <w:p w:rsidR="003A1527" w:rsidRDefault="003A1527"/>
  </w:endnote>
  <w:endnote w:id="2">
    <w:p w:rsidR="003A1527" w:rsidRDefault="003A152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YInterstate Light">
    <w:altName w:val="Calibri"/>
    <w:charset w:val="00"/>
    <w:family w:val="auto"/>
    <w:pitch w:val="variable"/>
    <w:sig w:usb0="00000001" w:usb1="5000206A"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12" w:rsidRPr="00742A12" w:rsidRDefault="00742A12" w:rsidP="00742A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304438"/>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3A1527" w:rsidRDefault="003A152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59790"/>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3A1527" w:rsidRDefault="003A152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79980"/>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3A1527" w:rsidRDefault="003A152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9184"/>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25488"/>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rsidR="003A1527" w:rsidRDefault="003A152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75911"/>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254</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12" w:rsidRPr="00742A12" w:rsidRDefault="00742A12" w:rsidP="00742A12">
    <w:pPr>
      <w:pStyle w:val="FooterCoverPage"/>
      <w:rPr>
        <w:rFonts w:ascii="Arial" w:hAnsi="Arial" w:cs="Arial"/>
        <w:b/>
        <w:sz w:val="48"/>
      </w:rPr>
    </w:pPr>
    <w:r w:rsidRPr="00742A12">
      <w:rPr>
        <w:rFonts w:ascii="Arial" w:hAnsi="Arial" w:cs="Arial"/>
        <w:b/>
        <w:sz w:val="48"/>
      </w:rPr>
      <w:t>EN</w:t>
    </w:r>
    <w:r w:rsidRPr="00742A12">
      <w:rPr>
        <w:rFonts w:ascii="Arial" w:hAnsi="Arial" w:cs="Arial"/>
        <w:b/>
        <w:sz w:val="48"/>
      </w:rPr>
      <w:tab/>
    </w:r>
    <w:r w:rsidRPr="00742A12">
      <w:rPr>
        <w:rFonts w:ascii="Arial" w:hAnsi="Arial" w:cs="Arial"/>
        <w:b/>
        <w:sz w:val="48"/>
      </w:rPr>
      <w:tab/>
    </w:r>
    <w:r w:rsidRPr="00742A12">
      <w:tab/>
    </w:r>
    <w:r w:rsidRPr="00742A12">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742A12">
    <w:pPr>
      <w:pStyle w:val="Footer"/>
      <w:jc w:val="center"/>
    </w:pPr>
    <w:r>
      <w:fldChar w:fldCharType="begin"/>
    </w:r>
    <w:r>
      <w:instrText>PAGE</w:instrText>
    </w:r>
    <w:r>
      <w:fldChar w:fldCharType="separate"/>
    </w:r>
    <w:r>
      <w:rPr>
        <w:noProof/>
      </w:rPr>
      <w:t>113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96330"/>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742A12">
    <w:pPr>
      <w:pStyle w:val="Footer"/>
    </w:pPr>
    <w:r>
      <w:fldChar w:fldCharType="begin"/>
    </w:r>
    <w:r>
      <w:instrText>PAGE</w:instrText>
    </w:r>
    <w:r>
      <w:fldChar w:fldCharType="separate"/>
    </w:r>
    <w:r>
      <w:rPr>
        <w:noProof/>
      </w:rPr>
      <w:t>117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773314"/>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p w:rsidR="003A1527" w:rsidRDefault="003A152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97278"/>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125</w:t>
        </w:r>
        <w:r>
          <w:rPr>
            <w:noProof/>
          </w:rPr>
          <w:fldChar w:fldCharType="end"/>
        </w:r>
      </w:p>
    </w:sdtContent>
  </w:sdt>
  <w:p w:rsidR="003A1527" w:rsidRDefault="003A1527"/>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78582"/>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113</w:t>
        </w:r>
        <w:r>
          <w:rPr>
            <w:noProof/>
          </w:rPr>
          <w:fldChar w:fldCharType="end"/>
        </w:r>
      </w:p>
    </w:sdtContent>
  </w:sdt>
  <w:p w:rsidR="003A1527" w:rsidRDefault="003A1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12" w:rsidRPr="00742A12" w:rsidRDefault="00742A12" w:rsidP="00742A1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742A12">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879157"/>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A1527" w:rsidRDefault="003A152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812549"/>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3A1527" w:rsidRDefault="003A152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60282"/>
      <w:docPartObj>
        <w:docPartGallery w:val="Page Numbers (Bottom of Page)"/>
        <w:docPartUnique/>
      </w:docPartObj>
    </w:sdtPr>
    <w:sdtEndPr>
      <w:rPr>
        <w:noProof/>
      </w:rPr>
    </w:sdtEndPr>
    <w:sdtContent>
      <w:p w:rsidR="003A1527" w:rsidRDefault="00742A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A1527" w:rsidRDefault="003A1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27" w:rsidRDefault="00742A12">
      <w:r>
        <w:separator/>
      </w:r>
    </w:p>
  </w:footnote>
  <w:footnote w:type="continuationSeparator" w:id="0">
    <w:p w:rsidR="003A1527" w:rsidRDefault="00742A12">
      <w:r>
        <w:continuationSeparator/>
      </w:r>
    </w:p>
  </w:footnote>
  <w:footnote w:type="continuationNotice" w:id="1">
    <w:p w:rsidR="003A1527" w:rsidRDefault="003A1527"/>
  </w:footnote>
  <w:footnote w:id="2">
    <w:p w:rsidR="003A1527" w:rsidRDefault="00742A12">
      <w:pPr>
        <w:pStyle w:val="FootnoteText"/>
        <w:spacing w:after="0" w:line="240" w:lineRule="auto"/>
      </w:pPr>
      <w:r>
        <w:rPr>
          <w:rStyle w:val="FootnoteReference"/>
        </w:rPr>
        <w:footnoteRef/>
      </w:r>
      <w:r>
        <w:t xml:space="preserve"> Available at: </w:t>
      </w:r>
      <w:hyperlink r:id="rId1" w:history="1">
        <w:r>
          <w:rPr>
            <w:rStyle w:val="Hyperlink"/>
          </w:rPr>
          <w:t>https://ec.europa.eu/commission/priorities/democratic-change/future-europe/eu-budget-future_en</w:t>
        </w:r>
      </w:hyperlink>
      <w:r>
        <w:t xml:space="preserve"> </w:t>
      </w:r>
    </w:p>
  </w:footnote>
  <w:footnote w:id="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Rome Agenda is a list of actions agreed upon </w:t>
      </w:r>
      <w:r>
        <w:rPr>
          <w:rFonts w:cs="Times New Roman"/>
          <w:szCs w:val="18"/>
        </w:rPr>
        <w:t>by the EU-27 heads of state and the EU institutions, on the occasion of the 60th anniversary of the Rome Treaties, in March 2017.</w:t>
      </w:r>
    </w:p>
  </w:footnote>
  <w:footnote w:id="4">
    <w:p w:rsidR="003A1527" w:rsidRDefault="00742A12">
      <w:pPr>
        <w:pStyle w:val="FootnoteText"/>
        <w:spacing w:after="0" w:line="240" w:lineRule="auto"/>
        <w:ind w:left="0" w:firstLine="0"/>
        <w:jc w:val="both"/>
      </w:pPr>
      <w:r>
        <w:rPr>
          <w:rStyle w:val="FootnoteReference"/>
        </w:rPr>
        <w:footnoteRef/>
      </w:r>
      <w:r>
        <w:t xml:space="preserve"> </w:t>
      </w:r>
      <w:r>
        <w:rPr>
          <w:rFonts w:eastAsia="Times New Roman" w:cs="Times New Roman"/>
          <w:szCs w:val="18"/>
          <w:lang w:eastAsia="en-GB"/>
        </w:rPr>
        <w:t>See also Commission Communication on “A new, modern Multiannual Financial Framework for a European Union that delivers effic</w:t>
      </w:r>
      <w:r>
        <w:rPr>
          <w:rFonts w:eastAsia="Times New Roman" w:cs="Times New Roman"/>
          <w:szCs w:val="18"/>
          <w:lang w:eastAsia="en-GB"/>
        </w:rPr>
        <w:t>iently on its priorities post-2020</w:t>
      </w:r>
      <w:r>
        <w:rPr>
          <w:rStyle w:val="FootnoteReference"/>
          <w:rFonts w:eastAsia="Times New Roman" w:cs="Times New Roman"/>
          <w:szCs w:val="18"/>
          <w:lang w:eastAsia="en-GB"/>
        </w:rPr>
        <w:footnoteRef/>
      </w:r>
      <w:r>
        <w:rPr>
          <w:rFonts w:eastAsia="Times New Roman" w:cs="Times New Roman"/>
          <w:szCs w:val="18"/>
          <w:lang w:eastAsia="en-GB"/>
        </w:rPr>
        <w:t>”, February 2018: “</w:t>
      </w:r>
      <w:r>
        <w:rPr>
          <w:rFonts w:eastAsia="Times New Roman" w:cs="Times New Roman"/>
          <w:i/>
          <w:szCs w:val="18"/>
          <w:lang w:eastAsia="en-GB"/>
        </w:rPr>
        <w:t>The EU budget will need to deliver on the promises made by Leaders at the Gothenburg Social Summit. This means further developing the social dimension of the Union, including through the full implementa</w:t>
      </w:r>
      <w:r>
        <w:rPr>
          <w:rFonts w:eastAsia="Times New Roman" w:cs="Times New Roman"/>
          <w:i/>
          <w:szCs w:val="18"/>
          <w:lang w:eastAsia="en-GB"/>
        </w:rPr>
        <w:t>tion of the European Pillar of Social Rights, and supporting young people and the mobility of European citizens. Adequate resources will be required to improve employment opportunities and address the skills challenges, including those linked to digitisati</w:t>
      </w:r>
      <w:r>
        <w:rPr>
          <w:rFonts w:eastAsia="Times New Roman" w:cs="Times New Roman"/>
          <w:i/>
          <w:szCs w:val="18"/>
          <w:lang w:eastAsia="en-GB"/>
        </w:rPr>
        <w:t>on.”</w:t>
      </w:r>
    </w:p>
  </w:footnote>
  <w:footnote w:id="5">
    <w:p w:rsidR="003A1527" w:rsidRDefault="00742A12">
      <w:pPr>
        <w:pStyle w:val="FootnoteText"/>
        <w:spacing w:after="0" w:line="240" w:lineRule="auto"/>
        <w:ind w:left="0" w:firstLine="0"/>
        <w:jc w:val="both"/>
        <w:rPr>
          <w:szCs w:val="18"/>
        </w:rPr>
      </w:pPr>
      <w:r>
        <w:rPr>
          <w:rStyle w:val="FootnoteReference"/>
        </w:rPr>
        <w:footnoteRef/>
      </w:r>
      <w:r>
        <w:t xml:space="preserve"> </w:t>
      </w:r>
      <w:r>
        <w:rPr>
          <w:szCs w:val="18"/>
        </w:rPr>
        <w:t xml:space="preserve">European Commission, white paper on </w:t>
      </w:r>
      <w:r>
        <w:rPr>
          <w:i/>
          <w:szCs w:val="18"/>
        </w:rPr>
        <w:t>The future of Europe: reflections and scenarios for the EU-27 by 2025</w:t>
      </w:r>
      <w:r>
        <w:rPr>
          <w:szCs w:val="18"/>
        </w:rPr>
        <w:t xml:space="preserve"> (COM(2017)2025)</w:t>
      </w:r>
    </w:p>
  </w:footnote>
  <w:footnote w:id="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hyperlink r:id="rId2" w:history="1">
        <w:r>
          <w:rPr>
            <w:rStyle w:val="Hyperlink"/>
            <w:rFonts w:cs="Times New Roman"/>
            <w:color w:val="auto"/>
            <w:szCs w:val="18"/>
          </w:rPr>
          <w:t>https://ec.europa.eu/commission/priorities/deeper-and-fairer-economic-and-monetary-union/european-pillar-social-rights_en</w:t>
        </w:r>
      </w:hyperlink>
    </w:p>
  </w:footnote>
  <w:footnote w:id="7">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3" w:history="1">
        <w:r>
          <w:rPr>
            <w:rStyle w:val="Hyperlink"/>
            <w:rFonts w:cs="Times New Roman"/>
            <w:color w:val="auto"/>
            <w:szCs w:val="18"/>
          </w:rPr>
          <w:t>http://www.un.org/sustainablede</w:t>
        </w:r>
        <w:r>
          <w:rPr>
            <w:rStyle w:val="Hyperlink"/>
            <w:rFonts w:cs="Times New Roman"/>
            <w:color w:val="auto"/>
            <w:szCs w:val="18"/>
          </w:rPr>
          <w:t>velopment/sustainable-development-goals/</w:t>
        </w:r>
      </w:hyperlink>
    </w:p>
  </w:footnote>
  <w:footnote w:id="8">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Commission Communication to the European Parliament, the Council, the European Economic and Social Committee and the Committee of the Regions on </w:t>
      </w:r>
      <w:r>
        <w:rPr>
          <w:rFonts w:cs="Times New Roman"/>
          <w:i/>
          <w:szCs w:val="18"/>
        </w:rPr>
        <w:t>Establishing a European Pillar of Social Rights</w:t>
      </w:r>
      <w:r>
        <w:rPr>
          <w:rFonts w:cs="Times New Roman"/>
          <w:szCs w:val="18"/>
        </w:rPr>
        <w:t xml:space="preserve"> (COM/2017/0250 final</w:t>
      </w:r>
      <w:r>
        <w:rPr>
          <w:rFonts w:cs="Times New Roman"/>
          <w:szCs w:val="18"/>
        </w:rPr>
        <w:t>).</w:t>
      </w:r>
    </w:p>
  </w:footnote>
  <w:footnote w:id="9">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lang w:val="en"/>
        </w:rPr>
        <w:t xml:space="preserve">The Skills Agenda for Europe, adopted by the Commission on 10 June 2016, launched </w:t>
      </w:r>
      <w:r>
        <w:rPr>
          <w:rStyle w:val="Strong"/>
          <w:rFonts w:cs="Times New Roman"/>
          <w:b w:val="0"/>
          <w:szCs w:val="18"/>
          <w:lang w:val="en"/>
        </w:rPr>
        <w:t xml:space="preserve">10 actions (including the Blueprint for Sectoral Cooperation on Skills and the Digital Skills and Jobs Coalition) to make the right training, skills and support </w:t>
      </w:r>
      <w:r>
        <w:rPr>
          <w:rStyle w:val="Strong"/>
          <w:rFonts w:cs="Times New Roman"/>
          <w:b w:val="0"/>
          <w:szCs w:val="18"/>
          <w:lang w:val="en"/>
        </w:rPr>
        <w:t>available</w:t>
      </w:r>
      <w:r>
        <w:rPr>
          <w:rFonts w:cs="Times New Roman"/>
          <w:szCs w:val="18"/>
          <w:lang w:val="en"/>
        </w:rPr>
        <w:t xml:space="preserve"> to people in the EU; http://ec.europa.eu/social/main.jsp?catId=1223</w:t>
      </w:r>
    </w:p>
  </w:footnote>
  <w:footnote w:id="10">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4" w:history="1">
        <w:r>
          <w:rPr>
            <w:rStyle w:val="Hyperlink"/>
            <w:rFonts w:cs="Times New Roman"/>
            <w:color w:val="auto"/>
            <w:szCs w:val="18"/>
          </w:rPr>
          <w:t>http://www.europarl.europa.eu/sides/getDoc.do?type=TA&amp;reference=P8-T</w:t>
        </w:r>
        <w:r>
          <w:rPr>
            <w:rStyle w:val="Hyperlink"/>
            <w:rFonts w:cs="Times New Roman"/>
            <w:color w:val="auto"/>
            <w:szCs w:val="18"/>
          </w:rPr>
          <w:t>A-2017-0254&amp;language=EN</w:t>
        </w:r>
      </w:hyperlink>
      <w:r>
        <w:rPr>
          <w:rFonts w:cs="Times New Roman"/>
          <w:szCs w:val="18"/>
        </w:rPr>
        <w:t xml:space="preserve"> </w:t>
      </w:r>
    </w:p>
  </w:footnote>
  <w:footnote w:id="11">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Opinion of the Committee of the Regions (11-12 May 2017).</w:t>
      </w:r>
    </w:p>
  </w:footnote>
  <w:footnote w:id="12">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Opinion SOC/537 (</w:t>
      </w:r>
      <w:hyperlink r:id="rId5" w:history="1">
        <w:r>
          <w:rPr>
            <w:rFonts w:ascii="Times New Roman" w:hAnsi="Times New Roman" w:cs="Times New Roman"/>
            <w:sz w:val="18"/>
            <w:szCs w:val="18"/>
          </w:rPr>
          <w:t>OJ C 173, 31.5.</w:t>
        </w:r>
        <w:r>
          <w:rPr>
            <w:rFonts w:ascii="Times New Roman" w:hAnsi="Times New Roman" w:cs="Times New Roman"/>
            <w:sz w:val="18"/>
            <w:szCs w:val="18"/>
          </w:rPr>
          <w:t>2017, p. 15–19</w:t>
        </w:r>
      </w:hyperlink>
      <w:r>
        <w:rPr>
          <w:rFonts w:ascii="Times New Roman" w:hAnsi="Times New Roman" w:cs="Times New Roman"/>
          <w:sz w:val="18"/>
          <w:szCs w:val="18"/>
        </w:rPr>
        <w:t>).</w:t>
      </w:r>
    </w:p>
  </w:footnote>
  <w:footnote w:id="13">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eastAsia="Times New Roman" w:cs="Times New Roman"/>
          <w:szCs w:val="18"/>
          <w:lang w:eastAsia="en-GB"/>
        </w:rPr>
        <w:t xml:space="preserve">For more detail, see section 2.1.1. </w:t>
      </w:r>
    </w:p>
  </w:footnote>
  <w:footnote w:id="14">
    <w:p w:rsidR="003A1527" w:rsidRDefault="00742A12">
      <w:pPr>
        <w:pStyle w:val="FootnoteText"/>
      </w:pPr>
      <w:r>
        <w:rPr>
          <w:rStyle w:val="FootnoteReference"/>
        </w:rPr>
        <w:footnoteRef/>
      </w:r>
      <w:r>
        <w:t xml:space="preserve"> See Annex 5 for more information on the EU Health programme.</w:t>
      </w:r>
    </w:p>
  </w:footnote>
  <w:footnote w:id="15">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Mid-term evaluations of FEAD, EGF and EaSI for the 2014-2020 programming period.</w:t>
      </w:r>
    </w:p>
  </w:footnote>
  <w:footnote w:id="1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In particular, the </w:t>
      </w:r>
      <w:r>
        <w:rPr>
          <w:rFonts w:cs="Times New Roman"/>
          <w:szCs w:val="18"/>
          <w:lang w:val="en-US"/>
        </w:rPr>
        <w:t>Commission’s staff working docume</w:t>
      </w:r>
      <w:r>
        <w:rPr>
          <w:rFonts w:cs="Times New Roman"/>
          <w:szCs w:val="18"/>
          <w:lang w:val="en-US"/>
        </w:rPr>
        <w:t xml:space="preserve">nt on the </w:t>
      </w:r>
      <w:r>
        <w:rPr>
          <w:rFonts w:cs="Times New Roman"/>
          <w:i/>
          <w:szCs w:val="18"/>
          <w:lang w:val="en-US"/>
        </w:rPr>
        <w:t>Ex-post evaluation of the 2007-2013 ESF programmes</w:t>
      </w:r>
      <w:r>
        <w:rPr>
          <w:rFonts w:cs="Times New Roman"/>
          <w:szCs w:val="18"/>
          <w:lang w:val="en-US"/>
        </w:rPr>
        <w:t xml:space="preserve"> (SWD(2016) 452 final, 12.12.2016), and its </w:t>
      </w:r>
      <w:r>
        <w:rPr>
          <w:rFonts w:cs="Times New Roman"/>
          <w:i/>
          <w:szCs w:val="18"/>
          <w:lang w:val="en-US"/>
        </w:rPr>
        <w:t>Ex-post evaluation of the EGF 2007-2013</w:t>
      </w:r>
      <w:r>
        <w:rPr>
          <w:rFonts w:cs="Times New Roman"/>
          <w:szCs w:val="18"/>
          <w:lang w:val="en-US"/>
        </w:rPr>
        <w:t>, August 2015</w:t>
      </w:r>
      <w:r>
        <w:rPr>
          <w:rFonts w:cs="Times New Roman"/>
          <w:szCs w:val="18"/>
        </w:rPr>
        <w:t>.</w:t>
      </w:r>
    </w:p>
  </w:footnote>
  <w:footnote w:id="17">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See Annex 1.</w:t>
      </w:r>
    </w:p>
  </w:footnote>
  <w:footnote w:id="18">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Detailed lessons learned by fund are set out in Annex 3.</w:t>
      </w:r>
    </w:p>
  </w:footnote>
  <w:footnote w:id="19">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6" w:history="1">
        <w:r>
          <w:rPr>
            <w:rStyle w:val="Hyperlink"/>
            <w:rFonts w:cs="Times New Roman"/>
            <w:color w:val="auto"/>
            <w:szCs w:val="18"/>
          </w:rPr>
          <w:t>http://ec.europa.eu/social/BlobServlet?docId=16861&amp;langId=en</w:t>
        </w:r>
      </w:hyperlink>
      <w:r>
        <w:rPr>
          <w:rFonts w:cs="Times New Roman"/>
          <w:szCs w:val="18"/>
        </w:rPr>
        <w:t xml:space="preserve">. </w:t>
      </w:r>
    </w:p>
  </w:footnote>
  <w:footnote w:id="20">
    <w:p w:rsidR="003A1527" w:rsidRDefault="00742A12">
      <w:pPr>
        <w:pStyle w:val="FootnoteText"/>
        <w:spacing w:after="0" w:line="240" w:lineRule="auto"/>
      </w:pPr>
      <w:r>
        <w:rPr>
          <w:rStyle w:val="FootnoteReference"/>
        </w:rPr>
        <w:footnoteRef/>
      </w:r>
      <w:r>
        <w:t xml:space="preserve"> </w:t>
      </w:r>
      <w:r>
        <w:rPr>
          <w:rFonts w:cs="Times New Roman"/>
          <w:i/>
          <w:szCs w:val="18"/>
          <w:lang w:val="en-US"/>
        </w:rPr>
        <w:t>Ex-post evaluation of the 2007-2013 ESF programmes</w:t>
      </w:r>
      <w:r>
        <w:rPr>
          <w:rFonts w:cs="Times New Roman"/>
          <w:szCs w:val="18"/>
          <w:lang w:val="en-US"/>
        </w:rPr>
        <w:t xml:space="preserve"> (SWD(2016) 452 final, 12.12.2016)</w:t>
      </w:r>
    </w:p>
  </w:footnote>
  <w:footnote w:id="21">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 xml:space="preserve">Ibid </w:t>
      </w:r>
    </w:p>
  </w:footnote>
  <w:footnote w:id="2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 xml:space="preserve">The Youth Guarantee and Youth Employment </w:t>
      </w:r>
      <w:r>
        <w:rPr>
          <w:rFonts w:cs="Times New Roman"/>
          <w:i/>
          <w:szCs w:val="18"/>
        </w:rPr>
        <w:t>Initiative three years on,</w:t>
      </w:r>
      <w:r>
        <w:rPr>
          <w:rFonts w:cs="Times New Roman"/>
          <w:szCs w:val="18"/>
        </w:rPr>
        <w:t xml:space="preserve"> European Commission (2016), (COM/2016/0646 final).</w:t>
      </w:r>
    </w:p>
  </w:footnote>
  <w:footnote w:id="2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Based on the contractor’s FEAD draft final report of the mid-term evaluation, status March 2018. The evaluation is expected to be finalised in the fourth quarter of 2018.</w:t>
      </w:r>
    </w:p>
  </w:footnote>
  <w:footnote w:id="2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Rep</w:t>
      </w:r>
      <w:r>
        <w:rPr>
          <w:rFonts w:cs="Times New Roman"/>
          <w:szCs w:val="18"/>
        </w:rPr>
        <w:t xml:space="preserve">ort on the open public consultation for the FEAD mid-term evaluation (January 2018); </w:t>
      </w:r>
      <w:hyperlink r:id="rId7" w:history="1">
        <w:r>
          <w:rPr>
            <w:rStyle w:val="Hyperlink"/>
            <w:rFonts w:cs="Times New Roman"/>
            <w:color w:val="auto"/>
            <w:szCs w:val="18"/>
          </w:rPr>
          <w:t>https://publications.europa.eu/s/fo2y</w:t>
        </w:r>
      </w:hyperlink>
      <w:r>
        <w:rPr>
          <w:rFonts w:cs="Times New Roman"/>
          <w:szCs w:val="18"/>
        </w:rPr>
        <w:t xml:space="preserve"> </w:t>
      </w:r>
    </w:p>
  </w:footnote>
  <w:footnote w:id="2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Report from the Commission on the mid-term evaluation of the European Global</w:t>
      </w:r>
      <w:r>
        <w:rPr>
          <w:rFonts w:cs="Times New Roman"/>
          <w:szCs w:val="18"/>
        </w:rPr>
        <w:t xml:space="preserve">isation Adjustment Fund (EGF) (COM(2018)297 final, </w:t>
      </w:r>
      <w:r>
        <w:rPr>
          <w:rFonts w:cs="Times New Roman"/>
          <w:szCs w:val="18"/>
          <w:lang w:val="en-US"/>
        </w:rPr>
        <w:t>16.5.2018</w:t>
      </w:r>
      <w:r>
        <w:rPr>
          <w:rFonts w:cs="Times New Roman"/>
          <w:szCs w:val="18"/>
        </w:rPr>
        <w:t xml:space="preserve">), and </w:t>
      </w:r>
      <w:r>
        <w:rPr>
          <w:szCs w:val="18"/>
        </w:rPr>
        <w:t xml:space="preserve">accompanying </w:t>
      </w:r>
      <w:r>
        <w:rPr>
          <w:rFonts w:cs="Times New Roman"/>
          <w:szCs w:val="18"/>
          <w:lang w:val="en-US"/>
        </w:rPr>
        <w:t>Commission staff working document</w:t>
      </w:r>
      <w:r>
        <w:rPr>
          <w:rFonts w:cs="Times New Roman"/>
          <w:szCs w:val="18"/>
        </w:rPr>
        <w:t xml:space="preserve"> on the mid-term evaluation of the European Globalisation Adjustment Fund (EGF) (</w:t>
      </w:r>
      <w:r>
        <w:rPr>
          <w:rFonts w:cs="Times New Roman"/>
          <w:szCs w:val="18"/>
          <w:lang w:val="en-US"/>
        </w:rPr>
        <w:t>SWD(2018)192 final, 16.5.2018</w:t>
      </w:r>
      <w:r>
        <w:rPr>
          <w:rFonts w:cs="Times New Roman"/>
          <w:szCs w:val="18"/>
        </w:rPr>
        <w:t>)</w:t>
      </w:r>
    </w:p>
  </w:footnote>
  <w:footnote w:id="2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mid-term evaluation of th</w:t>
      </w:r>
      <w:r>
        <w:rPr>
          <w:rFonts w:cs="Times New Roman"/>
          <w:szCs w:val="18"/>
        </w:rPr>
        <w:t>e European Programme for Employment and Social Innovation (report to be published in May 2018 on http://ec.europa.eu/social/main.jsp?catId=1081).</w:t>
      </w:r>
    </w:p>
  </w:footnote>
  <w:footnote w:id="27">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In particular, see  the following Commission documents: </w:t>
      </w:r>
      <w:r>
        <w:rPr>
          <w:rFonts w:cs="Times New Roman"/>
          <w:i/>
          <w:szCs w:val="18"/>
        </w:rPr>
        <w:t>Study to support the work on the impact assessment o</w:t>
      </w:r>
      <w:r>
        <w:rPr>
          <w:rFonts w:cs="Times New Roman"/>
          <w:i/>
          <w:szCs w:val="18"/>
        </w:rPr>
        <w:t>f human capital investments</w:t>
      </w:r>
      <w:r>
        <w:rPr>
          <w:rFonts w:cs="Times New Roman"/>
          <w:szCs w:val="18"/>
        </w:rPr>
        <w:t xml:space="preserve"> (ongoing); </w:t>
      </w:r>
      <w:r>
        <w:rPr>
          <w:rFonts w:cs="Times New Roman"/>
          <w:i/>
          <w:szCs w:val="18"/>
        </w:rPr>
        <w:t xml:space="preserve">Study on the assessment of the adequacy of the ESF's design to support human capital policies </w:t>
      </w:r>
      <w:r>
        <w:rPr>
          <w:rFonts w:cs="Times New Roman"/>
          <w:szCs w:val="18"/>
        </w:rPr>
        <w:t xml:space="preserve">(2017) [not yet published]; </w:t>
      </w:r>
      <w:r>
        <w:rPr>
          <w:rFonts w:cs="Times New Roman"/>
          <w:i/>
          <w:szCs w:val="18"/>
        </w:rPr>
        <w:t>Study on the analysis of the first results of the implementation of the YEI and related ESF You</w:t>
      </w:r>
      <w:r>
        <w:rPr>
          <w:rFonts w:cs="Times New Roman"/>
          <w:i/>
          <w:szCs w:val="18"/>
        </w:rPr>
        <w:t>th Employment Actions (2016)</w:t>
      </w:r>
      <w:r>
        <w:rPr>
          <w:rFonts w:cs="Times New Roman"/>
          <w:szCs w:val="18"/>
        </w:rPr>
        <w:t xml:space="preserve">, </w:t>
      </w:r>
      <w:hyperlink r:id="rId8" w:history="1">
        <w:r>
          <w:rPr>
            <w:rStyle w:val="Hyperlink"/>
            <w:rFonts w:cs="Times New Roman"/>
            <w:color w:val="auto"/>
            <w:szCs w:val="18"/>
          </w:rPr>
          <w:t>http://ec.europa.eu/social/main.jsp?catId=738&amp;langId=en&amp;pubId=7931</w:t>
        </w:r>
      </w:hyperlink>
      <w:r>
        <w:rPr>
          <w:rFonts w:cs="Times New Roman"/>
          <w:szCs w:val="18"/>
        </w:rPr>
        <w:t xml:space="preserve">; </w:t>
      </w:r>
      <w:r>
        <w:rPr>
          <w:rFonts w:cs="Times New Roman"/>
          <w:i/>
          <w:szCs w:val="18"/>
        </w:rPr>
        <w:t>Support of ESI Funds to the implementation of the Country Specific Recommen</w:t>
      </w:r>
      <w:r>
        <w:rPr>
          <w:rFonts w:cs="Times New Roman"/>
          <w:i/>
          <w:szCs w:val="18"/>
        </w:rPr>
        <w:t>dations and to Structural Reforms in Member States</w:t>
      </w:r>
      <w:r>
        <w:rPr>
          <w:rFonts w:cs="Times New Roman"/>
          <w:szCs w:val="18"/>
        </w:rPr>
        <w:t xml:space="preserve">(ongoing), </w:t>
      </w:r>
      <w:r>
        <w:rPr>
          <w:rFonts w:cs="Times New Roman"/>
          <w:i/>
          <w:szCs w:val="18"/>
        </w:rPr>
        <w:t>Assessment of Administrative Costs and Burdens in the ESI Funds</w:t>
      </w:r>
      <w:r>
        <w:rPr>
          <w:rFonts w:cs="Times New Roman"/>
          <w:szCs w:val="18"/>
        </w:rPr>
        <w:t xml:space="preserve"> (2016), </w:t>
      </w:r>
      <w:r>
        <w:rPr>
          <w:rFonts w:cs="Times New Roman"/>
          <w:i/>
          <w:szCs w:val="18"/>
        </w:rPr>
        <w:t>Synthesis report ex-post evaluation the ESF 2007-2013</w:t>
      </w:r>
      <w:r>
        <w:rPr>
          <w:rFonts w:cs="Times New Roman"/>
          <w:szCs w:val="18"/>
        </w:rPr>
        <w:t xml:space="preserve">, </w:t>
      </w:r>
      <w:hyperlink r:id="rId9" w:history="1">
        <w:r>
          <w:rPr>
            <w:rStyle w:val="Hyperlink"/>
            <w:rFonts w:cs="Times New Roman"/>
            <w:color w:val="auto"/>
            <w:szCs w:val="18"/>
          </w:rPr>
          <w:t>http://ec.europa.eu/social/BlobServlet?docId=16810&amp;langId=en</w:t>
        </w:r>
      </w:hyperlink>
      <w:r>
        <w:rPr>
          <w:rFonts w:cs="Times New Roman"/>
          <w:szCs w:val="18"/>
        </w:rPr>
        <w:t xml:space="preserve">;  Report from the Commission to the European Parliament and the Council on the Activities of the European Globalisation Adjustment Fund in 2015 And 2016, COM(2017) 636 final,  </w:t>
      </w:r>
      <w:hyperlink r:id="rId10" w:history="1">
        <w:r>
          <w:rPr>
            <w:rStyle w:val="Hyperlink"/>
            <w:rFonts w:cs="Times New Roman"/>
            <w:color w:val="auto"/>
            <w:szCs w:val="18"/>
          </w:rPr>
          <w:t>http://ec.europa.eu/social/BlobServlet?docId=18493&amp;langId=en</w:t>
        </w:r>
      </w:hyperlink>
      <w:r>
        <w:rPr>
          <w:rFonts w:cs="Times New Roman"/>
          <w:szCs w:val="18"/>
        </w:rPr>
        <w:t>, The mid-term evaluation of the European Programme for Employment and Social Innovation (to be published on http://ec.europa.eu/</w:t>
      </w:r>
      <w:r>
        <w:rPr>
          <w:rFonts w:cs="Times New Roman"/>
          <w:szCs w:val="18"/>
        </w:rPr>
        <w:t>social/main.jsp?catId=1081).</w:t>
      </w:r>
    </w:p>
  </w:footnote>
  <w:footnote w:id="28">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For more detail, see Annex 2 (Synopsis report).</w:t>
      </w:r>
    </w:p>
  </w:footnote>
  <w:footnote w:id="29">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ESF Committee’s  24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October 2017 opinion on the future of the highlights the essential European added value of the ESF and its crucial role as a fund targeting people and supporting Member States in addressing main challenges in the area of human capital development.  In par</w:t>
      </w:r>
      <w:r>
        <w:rPr>
          <w:rFonts w:ascii="Times New Roman" w:hAnsi="Times New Roman" w:cs="Times New Roman"/>
          <w:sz w:val="18"/>
          <w:szCs w:val="18"/>
        </w:rPr>
        <w:t xml:space="preserve">ticular, the Committee underlined the need to implement the recommendations of the high level group on simplification and for the Commission to propose an adequate financial envelope </w:t>
      </w:r>
      <w:r>
        <w:rPr>
          <w:rFonts w:ascii="Times New Roman" w:hAnsi="Times New Roman" w:cs="Times New Roman"/>
          <w:sz w:val="18"/>
          <w:szCs w:val="18"/>
          <w:lang w:eastAsia="en-GB"/>
        </w:rPr>
        <w:t>in view of pressing challenges such as migration, inequality, poverty and</w:t>
      </w:r>
      <w:r>
        <w:rPr>
          <w:rFonts w:ascii="Times New Roman" w:hAnsi="Times New Roman" w:cs="Times New Roman"/>
          <w:sz w:val="18"/>
          <w:szCs w:val="18"/>
          <w:lang w:eastAsia="en-GB"/>
        </w:rPr>
        <w:t xml:space="preserve"> the need for new forms of education and upskilling. </w:t>
      </w:r>
    </w:p>
  </w:footnote>
  <w:footnote w:id="30">
    <w:p w:rsidR="003A1527" w:rsidRDefault="00742A12">
      <w:pPr>
        <w:pStyle w:val="FootnoteText"/>
        <w:spacing w:after="0" w:line="240" w:lineRule="auto"/>
        <w:ind w:left="0" w:firstLine="0"/>
        <w:jc w:val="both"/>
        <w:rPr>
          <w:rFonts w:cs="Times New Roman"/>
          <w:i/>
          <w:szCs w:val="18"/>
        </w:rPr>
      </w:pPr>
      <w:r>
        <w:rPr>
          <w:rStyle w:val="FootnoteReference"/>
          <w:rFonts w:cs="Times New Roman"/>
          <w:szCs w:val="18"/>
        </w:rPr>
        <w:footnoteRef/>
      </w:r>
      <w:r>
        <w:rPr>
          <w:rFonts w:cs="Times New Roman"/>
          <w:szCs w:val="18"/>
        </w:rPr>
        <w:t xml:space="preserve"> See, for example, the position paper from Germany’s federal ESF MA: </w:t>
      </w:r>
      <w:r>
        <w:rPr>
          <w:rFonts w:cs="Times New Roman"/>
          <w:i/>
          <w:szCs w:val="18"/>
        </w:rPr>
        <w:t>The ESF as of 2021 - for a new Lean Fund Management.</w:t>
      </w:r>
    </w:p>
  </w:footnote>
  <w:footnote w:id="31">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YEI specific allocation needs to be matched by at least the same amount o</w:t>
      </w:r>
      <w:r>
        <w:rPr>
          <w:rFonts w:cs="Times New Roman"/>
          <w:szCs w:val="18"/>
        </w:rPr>
        <w:t xml:space="preserve">f ESF money which requires national co-financing. On the figures see open data platform: </w:t>
      </w:r>
      <w:hyperlink r:id="rId11" w:history="1">
        <w:r>
          <w:rPr>
            <w:rStyle w:val="Hyperlink"/>
            <w:rFonts w:cs="Times New Roman"/>
            <w:color w:val="auto"/>
            <w:szCs w:val="18"/>
          </w:rPr>
          <w:t>https://cohesiondata.ec.europa.eu/</w:t>
        </w:r>
      </w:hyperlink>
    </w:p>
  </w:footnote>
  <w:footnote w:id="32">
    <w:p w:rsidR="003A1527" w:rsidRDefault="00742A12">
      <w:pPr>
        <w:pStyle w:val="FootnoteText"/>
        <w:spacing w:after="0" w:line="240" w:lineRule="auto"/>
        <w:ind w:left="0" w:firstLine="0"/>
        <w:jc w:val="both"/>
        <w:rPr>
          <w:rFonts w:cs="Times New Roman"/>
          <w:szCs w:val="18"/>
          <w:lang w:val="hu-HU"/>
        </w:rPr>
      </w:pPr>
      <w:r>
        <w:rPr>
          <w:rStyle w:val="FootnoteReference"/>
          <w:rFonts w:cs="Times New Roman"/>
          <w:szCs w:val="18"/>
        </w:rPr>
        <w:footnoteRef/>
      </w:r>
      <w:r>
        <w:rPr>
          <w:rFonts w:cs="Times New Roman"/>
          <w:szCs w:val="18"/>
        </w:rPr>
        <w:t xml:space="preserve"> Participations may include individuals taking part in ESF operations multiple t</w:t>
      </w:r>
      <w:r>
        <w:rPr>
          <w:rFonts w:cs="Times New Roman"/>
          <w:szCs w:val="18"/>
        </w:rPr>
        <w:t>imes as well as indirect participants, at the same time measured results often exclude "soft" results such as change in attitude.</w:t>
      </w:r>
    </w:p>
  </w:footnote>
  <w:footnote w:id="3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Source: JRC, simulations based on the Rhomolo model (February 2018). Rhomolo is the spatial computable general equilibrium model of the European Commission focusing on EU regions. It has been developed and maintained by the regional economic modelling tea</w:t>
      </w:r>
      <w:r>
        <w:rPr>
          <w:rFonts w:cs="Times New Roman"/>
          <w:szCs w:val="18"/>
        </w:rPr>
        <w:t xml:space="preserve">m at the Directorate-General Joint Research Centre (DG JRC) in cooperation with Directorate-General for Regional and Urban Policy (DG REGIO). It is used for policy impact assessment and provides sector-, region- and time-specific simulations to support to </w:t>
      </w:r>
      <w:r>
        <w:rPr>
          <w:rFonts w:cs="Times New Roman"/>
          <w:szCs w:val="18"/>
        </w:rPr>
        <w:t>EU policy making on investments and reforms covering a wide array of policies.</w:t>
      </w:r>
    </w:p>
  </w:footnote>
  <w:footnote w:id="34">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February 2018</w:t>
      </w:r>
    </w:p>
  </w:footnote>
  <w:footnote w:id="35">
    <w:p w:rsidR="003A1527" w:rsidRDefault="00742A12">
      <w:pPr>
        <w:pStyle w:val="FootnoteText"/>
        <w:spacing w:after="0" w:line="240" w:lineRule="auto"/>
        <w:ind w:left="0" w:firstLine="0"/>
        <w:jc w:val="both"/>
      </w:pPr>
      <w:r>
        <w:rPr>
          <w:rStyle w:val="FootnoteReference"/>
        </w:rPr>
        <w:footnoteRef/>
      </w:r>
      <w:r>
        <w:t xml:space="preserve"> Thematic objectives (TO) correspond to the following policy areas: TO 8 - employment; TO 9- social inclusion, TO 10-education and training</w:t>
      </w:r>
    </w:p>
  </w:footnote>
  <w:footnote w:id="36">
    <w:p w:rsidR="003A1527" w:rsidRDefault="00742A12">
      <w:pPr>
        <w:pStyle w:val="FootnoteText"/>
        <w:spacing w:after="0" w:line="240" w:lineRule="auto"/>
        <w:ind w:left="0" w:firstLine="0"/>
        <w:jc w:val="both"/>
        <w:rPr>
          <w:rFonts w:cs="Times New Roman"/>
          <w:szCs w:val="18"/>
          <w:lang w:val="it-IT"/>
        </w:rPr>
      </w:pPr>
      <w:r>
        <w:rPr>
          <w:rStyle w:val="FootnoteReference"/>
          <w:rFonts w:cs="Times New Roman"/>
          <w:szCs w:val="18"/>
        </w:rPr>
        <w:footnoteRef/>
      </w:r>
      <w:r>
        <w:rPr>
          <w:rFonts w:cs="Times New Roman"/>
          <w:szCs w:val="18"/>
          <w:lang w:val="it-IT"/>
        </w:rPr>
        <w:t xml:space="preserve"> European Commissio</w:t>
      </w:r>
      <w:r>
        <w:rPr>
          <w:rFonts w:cs="Times New Roman"/>
          <w:szCs w:val="18"/>
          <w:lang w:val="it-IT"/>
        </w:rPr>
        <w:t>n (2017): http://ec.europa.eu/regional_policy/en/information/cohesion-report/</w:t>
      </w:r>
    </w:p>
  </w:footnote>
  <w:footnote w:id="37">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Other evaluations show that ESF intervention has a positive impact on growth. For example, an evaluation of Spain's 2007-2013 OP for the fight against discrimination</w:t>
      </w: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(focusing</w:t>
      </w:r>
      <w:r>
        <w:rPr>
          <w:rFonts w:ascii="Times New Roman" w:hAnsi="Times New Roman" w:cs="Times New Roman"/>
          <w:sz w:val="18"/>
          <w:szCs w:val="18"/>
        </w:rPr>
        <w:t xml:space="preserve"> on the social inclusion priority) sheds light on the economic benefits of the ESF. It concludes that OP activities contributed to the dynamism of the Spanish economy and that, for every euro invested, production increased by €1.38, while €0.91 was recover</w:t>
      </w:r>
      <w:r>
        <w:rPr>
          <w:rFonts w:ascii="Times New Roman" w:hAnsi="Times New Roman" w:cs="Times New Roman"/>
          <w:sz w:val="18"/>
          <w:szCs w:val="18"/>
        </w:rPr>
        <w:t>ed in terms of fiscal returns. The activities led to the recovery of €39 million annually in taxes and social security contributions, thus producing €9 million in savings by substituting social support with employment posts. A total of 19.673 jobs were cre</w:t>
      </w:r>
      <w:r>
        <w:rPr>
          <w:rFonts w:ascii="Times New Roman" w:hAnsi="Times New Roman" w:cs="Times New Roman"/>
          <w:sz w:val="18"/>
          <w:szCs w:val="18"/>
        </w:rPr>
        <w:t>ated, of which 5.167 were direct employment posts.</w:t>
      </w:r>
    </w:p>
  </w:footnote>
  <w:footnote w:id="38">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Draft general budget of the European Union for the financial year 2018</w:t>
      </w:r>
      <w:r>
        <w:rPr>
          <w:rFonts w:cs="Times New Roman"/>
          <w:szCs w:val="18"/>
        </w:rPr>
        <w:t xml:space="preserve">, May 2017 (COM(2017) 400) </w:t>
      </w:r>
    </w:p>
  </w:footnote>
  <w:footnote w:id="39">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FEAD mid-term evaluation</w:t>
      </w:r>
    </w:p>
  </w:footnote>
  <w:footnote w:id="40">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On-going study with JRC. </w:t>
      </w:r>
    </w:p>
  </w:footnote>
  <w:footnote w:id="41">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Among those cases registered by </w:t>
      </w:r>
      <w:hyperlink r:id="rId12" w:history="1">
        <w:r>
          <w:rPr>
            <w:rStyle w:val="Hyperlink"/>
            <w:rFonts w:ascii="Times New Roman" w:hAnsi="Times New Roman" w:cs="Times New Roman"/>
            <w:color w:val="auto"/>
            <w:sz w:val="18"/>
            <w:szCs w:val="18"/>
          </w:rPr>
          <w:t>Eurofound's European Restructuring Monitor</w:t>
        </w:r>
      </w:hyperlink>
      <w:r>
        <w:rPr>
          <w:rFonts w:ascii="Times New Roman" w:hAnsi="Times New Roman" w:cs="Times New Roman"/>
          <w:sz w:val="18"/>
          <w:szCs w:val="18"/>
        </w:rPr>
        <w:t>, the proportion of such cases has fallen from 20-25 % (2007-2009) to around 15 %</w:t>
      </w:r>
      <w:r>
        <w:rPr>
          <w:rFonts w:ascii="Times New Roman" w:hAnsi="Times New Roman" w:cs="Times New Roman"/>
          <w:sz w:val="18"/>
          <w:szCs w:val="18"/>
        </w:rPr>
        <w:t xml:space="preserve"> currently. </w:t>
      </w:r>
      <w:r>
        <w:rPr>
          <w:rFonts w:ascii="Times New Roman" w:eastAsia="Times New Roman" w:hAnsi="Times New Roman" w:cs="Times New Roman"/>
          <w:sz w:val="18"/>
          <w:szCs w:val="18"/>
        </w:rPr>
        <w:t>Despite the cyclical character of restructuring events, the decreasing proportion of large-scale event seems to be a trend. This does not mean that restructuring is a vanishing phenomenon, but that the relative proportion of very large scale ca</w:t>
      </w:r>
      <w:r>
        <w:rPr>
          <w:rFonts w:ascii="Times New Roman" w:eastAsia="Times New Roman" w:hAnsi="Times New Roman" w:cs="Times New Roman"/>
          <w:sz w:val="18"/>
          <w:szCs w:val="18"/>
        </w:rPr>
        <w:t>ses is decreasing. It should also be noted that very large enterprises are far less common in some Member States than others. This does not necessarily mean, however, that these Member States are less affected by restructuring, as restructuring events in s</w:t>
      </w:r>
      <w:r>
        <w:rPr>
          <w:rFonts w:ascii="Times New Roman" w:eastAsia="Times New Roman" w:hAnsi="Times New Roman" w:cs="Times New Roman"/>
          <w:sz w:val="18"/>
          <w:szCs w:val="18"/>
        </w:rPr>
        <w:t>maller enterprises can also have economically significant impacts on the regions concerned, especially in less densely populated regions.</w:t>
      </w:r>
    </w:p>
  </w:footnote>
  <w:footnote w:id="4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Please s</w:t>
      </w:r>
      <w:r>
        <w:rPr>
          <w:rFonts w:eastAsia="Times New Roman" w:cs="Times New Roman"/>
          <w:szCs w:val="18"/>
        </w:rPr>
        <w:t>ee EGF mid-term evaluation (COM(2018)297 final,16.5.2018 and SWD(2018)192 final, 16.5.2018) for an extensive</w:t>
      </w:r>
      <w:r>
        <w:rPr>
          <w:rFonts w:eastAsia="Times New Roman" w:cs="Times New Roman"/>
          <w:szCs w:val="18"/>
        </w:rPr>
        <w:t xml:space="preserve"> analysis of recent trends in globalisation.</w:t>
      </w:r>
    </w:p>
  </w:footnote>
  <w:footnote w:id="43">
    <w:p w:rsidR="003A1527" w:rsidRDefault="00742A12">
      <w:pPr>
        <w:pStyle w:val="NormalNoSpace"/>
        <w:spacing w:before="0" w:after="0" w:line="240" w:lineRule="auto"/>
        <w:rPr>
          <w:color w:val="auto"/>
          <w:sz w:val="18"/>
          <w:szCs w:val="18"/>
        </w:rPr>
      </w:pPr>
      <w:r>
        <w:rPr>
          <w:rStyle w:val="FootnoteReference"/>
          <w:color w:val="auto"/>
          <w:sz w:val="18"/>
          <w:szCs w:val="18"/>
        </w:rPr>
        <w:footnoteRef/>
      </w:r>
      <w:r>
        <w:rPr>
          <w:color w:val="auto"/>
          <w:sz w:val="18"/>
          <w:szCs w:val="18"/>
        </w:rPr>
        <w:t xml:space="preserve"> EaSI is composed of three axes: PROGRESS, EURES and the Microfinance/Social Entrepreneurship axis.</w:t>
      </w:r>
    </w:p>
  </w:footnote>
  <w:footnote w:id="4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Style w:val="Bodytext20"/>
          <w:rFonts w:eastAsia="Calibri"/>
          <w:color w:val="auto"/>
        </w:rPr>
        <w:t xml:space="preserve"> </w:t>
      </w:r>
      <w:hyperlink r:id="rId13" w:history="1">
        <w:r>
          <w:rPr>
            <w:rStyle w:val="Hyperlink"/>
            <w:rFonts w:cs="Times New Roman"/>
            <w:color w:val="auto"/>
            <w:szCs w:val="18"/>
          </w:rPr>
          <w:t>http://w</w:t>
        </w:r>
        <w:r>
          <w:rPr>
            <w:rStyle w:val="Hyperlink"/>
            <w:rFonts w:cs="Times New Roman"/>
            <w:color w:val="auto"/>
            <w:szCs w:val="18"/>
          </w:rPr>
          <w:t>ww.eif.org/what_we_do/microfinance/easi/easi-guarantee-instrument/index.htm</w:t>
        </w:r>
      </w:hyperlink>
    </w:p>
  </w:footnote>
  <w:footnote w:id="45">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Commission has until the end of the programme implementation to reach the minimum amounts. Where socio-economic developments or findings in the mid-term evaluation so require</w:t>
      </w:r>
      <w:r>
        <w:rPr>
          <w:rFonts w:ascii="Times New Roman" w:hAnsi="Times New Roman" w:cs="Times New Roman"/>
          <w:sz w:val="18"/>
          <w:szCs w:val="18"/>
        </w:rPr>
        <w:t>, the Regulation allows 5-10 % re-allocation of funds between axes and individual thematic sections. However, the first two years of implementation showed the rigidity of the current EaSI framework in terms of the proportion of funding allocated to each ax</w:t>
      </w:r>
      <w:r>
        <w:rPr>
          <w:rFonts w:ascii="Times New Roman" w:hAnsi="Times New Roman" w:cs="Times New Roman"/>
          <w:sz w:val="18"/>
          <w:szCs w:val="18"/>
        </w:rPr>
        <w:t xml:space="preserve">is and thematic section. This also affects the planning of activities for emerging (e.g. refugee crisis) and </w:t>
      </w:r>
      <w:r>
        <w:rPr>
          <w:rFonts w:ascii="Times New Roman" w:hAnsi="Times New Roman" w:cs="Times New Roman"/>
          <w:i/>
          <w:sz w:val="18"/>
          <w:szCs w:val="18"/>
        </w:rPr>
        <w:t>ad hoc</w:t>
      </w:r>
      <w:r>
        <w:rPr>
          <w:rFonts w:ascii="Times New Roman" w:hAnsi="Times New Roman" w:cs="Times New Roman"/>
          <w:sz w:val="18"/>
          <w:szCs w:val="18"/>
        </w:rPr>
        <w:t xml:space="preserve"> needs. </w:t>
      </w:r>
    </w:p>
  </w:footnote>
  <w:footnote w:id="4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See the Commission's </w:t>
      </w:r>
      <w:hyperlink r:id="rId14" w:history="1">
        <w:r>
          <w:rPr>
            <w:rFonts w:eastAsia="Times New Roman" w:cs="Times New Roman"/>
            <w:szCs w:val="18"/>
            <w:u w:val="single"/>
          </w:rPr>
          <w:t xml:space="preserve">white paper on </w:t>
        </w:r>
        <w:r>
          <w:rPr>
            <w:rFonts w:eastAsia="Times New Roman" w:cs="Times New Roman"/>
            <w:i/>
            <w:szCs w:val="18"/>
            <w:u w:val="single"/>
          </w:rPr>
          <w:t>The future of Europe</w:t>
        </w:r>
      </w:hyperlink>
      <w:r>
        <w:rPr>
          <w:rFonts w:eastAsia="Times New Roman" w:cs="Times New Roman"/>
          <w:szCs w:val="18"/>
          <w:u w:val="single"/>
        </w:rPr>
        <w:t xml:space="preserve">, </w:t>
      </w:r>
      <w:hyperlink r:id="rId15" w:history="1">
        <w:r>
          <w:rPr>
            <w:rFonts w:eastAsia="Times New Roman" w:cs="Times New Roman"/>
            <w:szCs w:val="18"/>
            <w:u w:val="single"/>
          </w:rPr>
          <w:t xml:space="preserve">reflection paper on </w:t>
        </w:r>
        <w:r>
          <w:rPr>
            <w:rFonts w:eastAsia="Times New Roman" w:cs="Times New Roman"/>
            <w:i/>
            <w:szCs w:val="18"/>
            <w:u w:val="single"/>
          </w:rPr>
          <w:t>Harnessing Globalisation</w:t>
        </w:r>
      </w:hyperlink>
      <w:r>
        <w:rPr>
          <w:rFonts w:eastAsia="Times New Roman" w:cs="Times New Roman"/>
          <w:szCs w:val="18"/>
          <w:u w:val="single"/>
        </w:rPr>
        <w:t xml:space="preserve"> and </w:t>
      </w:r>
      <w:hyperlink r:id="rId16" w:history="1">
        <w:r>
          <w:rPr>
            <w:rStyle w:val="Hyperlink"/>
            <w:rFonts w:eastAsia="Times New Roman" w:cs="Times New Roman"/>
            <w:color w:val="auto"/>
            <w:szCs w:val="18"/>
            <w:lang w:eastAsia="en-GB"/>
          </w:rPr>
          <w:t xml:space="preserve">reflection paper on </w:t>
        </w:r>
        <w:r>
          <w:rPr>
            <w:rStyle w:val="Hyperlink"/>
            <w:rFonts w:eastAsia="Times New Roman" w:cs="Times New Roman"/>
            <w:i/>
            <w:color w:val="auto"/>
            <w:szCs w:val="18"/>
            <w:lang w:eastAsia="en-GB"/>
          </w:rPr>
          <w:t>The social dimension of Europe</w:t>
        </w:r>
      </w:hyperlink>
      <w:r>
        <w:rPr>
          <w:rStyle w:val="Hyperlink"/>
          <w:rFonts w:eastAsia="Times New Roman" w:cs="Times New Roman"/>
          <w:color w:val="auto"/>
          <w:szCs w:val="18"/>
          <w:lang w:eastAsia="en-GB"/>
        </w:rPr>
        <w:t>.</w:t>
      </w:r>
    </w:p>
  </w:footnote>
  <w:footnote w:id="47">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17" w:history="1">
        <w:r>
          <w:rPr>
            <w:rStyle w:val="Hyperlink"/>
            <w:rFonts w:cs="Times New Roman"/>
            <w:color w:val="auto"/>
            <w:szCs w:val="18"/>
          </w:rPr>
          <w:t>Employment Statistics on the Environmental Goods and Services Sector</w:t>
        </w:r>
      </w:hyperlink>
      <w:r>
        <w:rPr>
          <w:rFonts w:cs="Times New Roman"/>
          <w:szCs w:val="18"/>
        </w:rPr>
        <w:t>, Eurostat</w:t>
      </w:r>
    </w:p>
  </w:footnote>
  <w:footnote w:id="48">
    <w:p w:rsidR="003A1527" w:rsidRDefault="00742A12">
      <w:pPr>
        <w:pStyle w:val="FootnoteText"/>
        <w:spacing w:after="0" w:line="240" w:lineRule="auto"/>
        <w:ind w:left="0" w:firstLine="0"/>
        <w:jc w:val="both"/>
      </w:pPr>
      <w:r>
        <w:rPr>
          <w:rStyle w:val="FootnoteReference"/>
        </w:rPr>
        <w:footnoteRef/>
      </w:r>
      <w:r>
        <w:t xml:space="preserve"> Nedelkoska, L. and G. Quintini (2018), “Automation, skills use and training”, OECD Social, Employment and Migration Working Pap</w:t>
      </w:r>
      <w:r>
        <w:t>ers, No. 202, OECD Publishing, Paris. http://dx.doi.org/10.1787/2e2f4eea-en</w:t>
      </w:r>
    </w:p>
  </w:footnote>
  <w:footnote w:id="49">
    <w:p w:rsidR="003A1527" w:rsidRDefault="00742A12">
      <w:pPr>
        <w:pStyle w:val="FootnoteText"/>
        <w:spacing w:after="0" w:line="240" w:lineRule="auto"/>
        <w:ind w:left="142" w:hanging="142"/>
        <w:jc w:val="both"/>
        <w:rPr>
          <w:rFonts w:cs="Times New Roman"/>
          <w:i/>
          <w:szCs w:val="18"/>
        </w:rPr>
      </w:pPr>
      <w:r>
        <w:rPr>
          <w:rStyle w:val="FootnoteReference"/>
          <w:rFonts w:cs="Times New Roman"/>
          <w:szCs w:val="18"/>
        </w:rPr>
        <w:footnoteRef/>
      </w:r>
      <w:r>
        <w:rPr>
          <w:rFonts w:cs="Times New Roman"/>
          <w:szCs w:val="18"/>
        </w:rPr>
        <w:t xml:space="preserve"> Communication </w:t>
      </w:r>
      <w:r>
        <w:rPr>
          <w:rFonts w:cs="Times New Roman"/>
          <w:i/>
          <w:szCs w:val="18"/>
        </w:rPr>
        <w:t>Strengthening Innovation in Europe's Regions: Strategies for resilient, inclusive and sustainable growth,</w:t>
      </w:r>
      <w:r>
        <w:rPr>
          <w:rFonts w:cs="Times New Roman"/>
          <w:szCs w:val="18"/>
        </w:rPr>
        <w:t xml:space="preserve"> COM(2017)376</w:t>
      </w:r>
    </w:p>
  </w:footnote>
  <w:footnote w:id="50">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Employment and social developments in Europ</w:t>
      </w:r>
      <w:r>
        <w:rPr>
          <w:rFonts w:cs="Times New Roman"/>
          <w:szCs w:val="18"/>
        </w:rPr>
        <w:t>e (ESDE), European Commission (June 2017)</w:t>
      </w:r>
    </w:p>
  </w:footnote>
  <w:footnote w:id="51">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r>
        <w:rPr>
          <w:rFonts w:cs="Times New Roman"/>
          <w:szCs w:val="18"/>
        </w:rPr>
        <w:t>.</w:t>
      </w:r>
    </w:p>
  </w:footnote>
  <w:footnote w:id="52">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p>
  </w:footnote>
  <w:footnote w:id="53">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18" w:history="1">
        <w:r>
          <w:rPr>
            <w:rStyle w:val="Hyperlink"/>
            <w:rFonts w:cs="Times New Roman"/>
            <w:color w:val="auto"/>
            <w:szCs w:val="18"/>
          </w:rPr>
          <w:t>http://ec.europa.eu/eurostat/web/products-eurostat-news/-/DDN-20180226-1</w:t>
        </w:r>
      </w:hyperlink>
    </w:p>
  </w:footnote>
  <w:footnote w:id="54">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 xml:space="preserve">Seventh report on economic, </w:t>
      </w:r>
      <w:r>
        <w:rPr>
          <w:rFonts w:cs="Times New Roman"/>
          <w:i/>
          <w:szCs w:val="18"/>
        </w:rPr>
        <w:t>social and territorial cohesion,</w:t>
      </w:r>
      <w:r>
        <w:rPr>
          <w:rFonts w:cs="Times New Roman"/>
          <w:szCs w:val="18"/>
        </w:rPr>
        <w:t xml:space="preserve"> European Commission (2017)</w:t>
      </w:r>
    </w:p>
  </w:footnote>
  <w:footnote w:id="5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r>
        <w:rPr>
          <w:rFonts w:cs="Times New Roman"/>
          <w:szCs w:val="18"/>
        </w:rPr>
        <w:t xml:space="preserve"> (Chapter 2 Social Cohesion, p.54-94).</w:t>
      </w:r>
    </w:p>
  </w:footnote>
  <w:footnote w:id="56">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i/>
          <w:szCs w:val="18"/>
        </w:rPr>
        <w:t xml:space="preserve"> Ibid</w:t>
      </w:r>
    </w:p>
  </w:footnote>
  <w:footnote w:id="57">
    <w:p w:rsidR="003A1527" w:rsidRDefault="00742A12">
      <w:pPr>
        <w:keepLines/>
        <w:spacing w:after="0" w:line="240" w:lineRule="auto"/>
        <w:contextualSpacing/>
        <w:jc w:val="both"/>
        <w:rPr>
          <w:rFonts w:ascii="Times New Roman" w:eastAsia="Times New Roman" w:hAnsi="Times New Roman" w:cs="Times New Roman"/>
          <w:sz w:val="24"/>
          <w:szCs w:val="24"/>
        </w:rPr>
      </w:pPr>
      <w:r>
        <w:rPr>
          <w:rStyle w:val="FootnoteReference"/>
        </w:rPr>
        <w:footnoteRef/>
      </w:r>
      <w:r>
        <w:t xml:space="preserve"> </w:t>
      </w:r>
      <w:r>
        <w:rPr>
          <w:rFonts w:ascii="Times New Roman" w:eastAsia="Times New Roman" w:hAnsi="Times New Roman" w:cs="Times New Roman"/>
          <w:sz w:val="18"/>
          <w:szCs w:val="18"/>
        </w:rPr>
        <w:t xml:space="preserve">Respondents to the open public consultation on ‘EU funds in the area of Cohesion’ ranked as ‘rather important’ or ‘very important’ the policy </w:t>
      </w:r>
      <w:r>
        <w:rPr>
          <w:rFonts w:ascii="Times New Roman" w:eastAsia="Times New Roman" w:hAnsi="Times New Roman" w:cs="Times New Roman"/>
          <w:sz w:val="18"/>
          <w:szCs w:val="18"/>
        </w:rPr>
        <w:t>areas: ‘reduce regional disparities’ (94%), ‘reduce unemployment, promote quality jobs and labour mobility’ (92%) and ‘promote social inclusion and combat poverty (91%)’.</w:t>
      </w:r>
    </w:p>
  </w:footnote>
  <w:footnote w:id="58">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Article 174 TFEU targets rural areas. </w:t>
      </w:r>
    </w:p>
  </w:footnote>
  <w:footnote w:id="59">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Article 349 TFEU</w:t>
      </w:r>
      <w:r>
        <w:rPr>
          <w:rFonts w:eastAsia="Times New Roman" w:cs="Times New Roman"/>
          <w:szCs w:val="18"/>
        </w:rPr>
        <w:t xml:space="preserve"> acknowledges the special </w:t>
      </w:r>
      <w:r>
        <w:rPr>
          <w:rFonts w:eastAsia="Times New Roman" w:cs="Times New Roman"/>
          <w:szCs w:val="18"/>
        </w:rPr>
        <w:t>characteristics of the outermost regions and affords them a special status.</w:t>
      </w:r>
    </w:p>
  </w:footnote>
  <w:footnote w:id="60">
    <w:p w:rsidR="003A1527" w:rsidRDefault="00742A12">
      <w:pPr>
        <w:pStyle w:val="FootnoteText"/>
        <w:spacing w:after="0" w:line="240" w:lineRule="auto"/>
        <w:ind w:left="0" w:firstLine="0"/>
        <w:rPr>
          <w:rFonts w:cs="Times New Roman"/>
          <w:szCs w:val="18"/>
        </w:rPr>
      </w:pPr>
      <w:r>
        <w:rPr>
          <w:rStyle w:val="FootnoteReference"/>
          <w:rFonts w:cs="Times New Roman"/>
          <w:szCs w:val="18"/>
        </w:rPr>
        <w:footnoteRef/>
      </w:r>
      <w:r>
        <w:rPr>
          <w:rFonts w:cs="Times New Roman"/>
          <w:szCs w:val="18"/>
        </w:rPr>
        <w:t xml:space="preserve"> http://ec.europa.eu/regional_policy/en/information/publications/communications/2017/un-partenariat-privilegie-renouvele-et-renforce-avec-les-regions-ultraperipheriques</w:t>
      </w:r>
    </w:p>
  </w:footnote>
  <w:footnote w:id="61">
    <w:p w:rsidR="003A1527" w:rsidRDefault="00742A12">
      <w:pPr>
        <w:pStyle w:val="FootnoteText"/>
        <w:spacing w:after="0" w:line="240" w:lineRule="auto"/>
        <w:jc w:val="both"/>
        <w:rPr>
          <w:rFonts w:cs="Times New Roman"/>
          <w:szCs w:val="18"/>
        </w:rPr>
      </w:pPr>
      <w:r>
        <w:rPr>
          <w:rStyle w:val="FootnoteReference"/>
          <w:rFonts w:cs="Times New Roman"/>
          <w:i/>
          <w:szCs w:val="18"/>
        </w:rPr>
        <w:footnoteRef/>
      </w:r>
      <w:r>
        <w:rPr>
          <w:rFonts w:cs="Times New Roman"/>
          <w:i/>
          <w:szCs w:val="18"/>
        </w:rPr>
        <w:t xml:space="preserve"> Seventh </w:t>
      </w:r>
      <w:r>
        <w:rPr>
          <w:rFonts w:cs="Times New Roman"/>
          <w:i/>
          <w:szCs w:val="18"/>
        </w:rPr>
        <w:t>report on economic, social and territorial cohesion</w:t>
      </w:r>
      <w:r>
        <w:rPr>
          <w:rFonts w:cs="Times New Roman"/>
          <w:szCs w:val="18"/>
        </w:rPr>
        <w:t>, European Commission (2017)</w:t>
      </w:r>
    </w:p>
  </w:footnote>
  <w:footnote w:id="6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See DG EMPL's studies (to be published): on the adequacy of the ESF’s design to support human capital development policies and to support the work on the impact assessment of</w:t>
      </w:r>
      <w:r>
        <w:rPr>
          <w:rFonts w:cs="Times New Roman"/>
          <w:szCs w:val="18"/>
        </w:rPr>
        <w:t xml:space="preserve"> investments in human capital development</w:t>
      </w:r>
    </w:p>
  </w:footnote>
  <w:footnote w:id="63">
    <w:p w:rsidR="003A1527" w:rsidRDefault="00742A12">
      <w:pPr>
        <w:pStyle w:val="FootnoteText"/>
        <w:tabs>
          <w:tab w:val="left" w:pos="0"/>
        </w:tabs>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European Union (2015) FEAD: </w:t>
      </w:r>
      <w:r>
        <w:rPr>
          <w:rFonts w:cs="Times New Roman"/>
          <w:i/>
          <w:szCs w:val="18"/>
        </w:rPr>
        <w:t>breaking the vicious circle of poverty and deprivation</w:t>
      </w:r>
      <w:r>
        <w:rPr>
          <w:rFonts w:cs="Times New Roman"/>
          <w:szCs w:val="18"/>
        </w:rPr>
        <w:t>, Publications Office of the European Union (Luxemburg 2015)</w:t>
      </w:r>
    </w:p>
  </w:footnote>
  <w:footnote w:id="64">
    <w:p w:rsidR="003A1527" w:rsidRDefault="00742A12">
      <w:pPr>
        <w:pStyle w:val="FootnoteText"/>
        <w:tabs>
          <w:tab w:val="left" w:pos="0"/>
        </w:tabs>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From the third meeting of the FEAD network (7 November 2016).</w:t>
      </w:r>
    </w:p>
  </w:footnote>
  <w:footnote w:id="65">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One exception is a recent Italian call for proposals for 2016-2019 which combines ESF and FEAD funding in joint projects. However, such joint projects are difficult to set up within the current funding architecture and depend on arrangements at national l</w:t>
      </w:r>
      <w:r>
        <w:rPr>
          <w:rFonts w:ascii="Times New Roman" w:hAnsi="Times New Roman" w:cs="Times New Roman"/>
          <w:sz w:val="18"/>
          <w:szCs w:val="18"/>
        </w:rPr>
        <w:t xml:space="preserve">evel. Stakeholders explain that the difference in the requirements for projects, monitoring on and evaluation are the reason that truly collaborative projects are scarce. </w:t>
      </w:r>
    </w:p>
  </w:footnote>
  <w:footnote w:id="66">
    <w:p w:rsidR="003A1527" w:rsidRDefault="00742A12">
      <w:pPr>
        <w:pStyle w:val="FootnoteText"/>
        <w:tabs>
          <w:tab w:val="left" w:pos="0"/>
        </w:tabs>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Study on the adequacy of the ESF’s design to support human capital development pol</w:t>
      </w:r>
      <w:r>
        <w:rPr>
          <w:rFonts w:cs="Times New Roman"/>
          <w:szCs w:val="18"/>
        </w:rPr>
        <w:t>icies, DG EMPL (to be published).</w:t>
      </w:r>
    </w:p>
  </w:footnote>
  <w:footnote w:id="67">
    <w:p w:rsidR="003A1527" w:rsidRDefault="00742A12">
      <w:pPr>
        <w:pStyle w:val="FootnoteText"/>
        <w:tabs>
          <w:tab w:val="left" w:pos="0"/>
        </w:tabs>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For YEI interventions, MAs are required to report on additional common indicators in Annex II to the ESF Regulation. However, they should also report on the ‘regular’ ESF common indicators in Annex I. </w:t>
      </w:r>
    </w:p>
  </w:footnote>
  <w:footnote w:id="68">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The Youth Guaran</w:t>
      </w:r>
      <w:r>
        <w:rPr>
          <w:rFonts w:cs="Times New Roman"/>
          <w:i/>
          <w:szCs w:val="18"/>
        </w:rPr>
        <w:t>tee and Youth Employment Initiative three years on,</w:t>
      </w:r>
      <w:r>
        <w:rPr>
          <w:rFonts w:cs="Times New Roman"/>
          <w:szCs w:val="18"/>
        </w:rPr>
        <w:t xml:space="preserve"> Commission staff working document (SWD(2016)323 final). </w:t>
      </w:r>
    </w:p>
  </w:footnote>
  <w:footnote w:id="69">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eastAsia="Calibri" w:cs="Times New Roman"/>
          <w:bCs/>
          <w:noProof/>
          <w:szCs w:val="18"/>
        </w:rPr>
        <w:t>The ongoing ESF thematic study on social innovation confirms the limited uptake</w:t>
      </w:r>
    </w:p>
  </w:footnote>
  <w:footnote w:id="70">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eastAsia="Times New Roman" w:cs="Times New Roman"/>
          <w:szCs w:val="18"/>
          <w:lang w:eastAsia="en-GB"/>
        </w:rPr>
        <w:t>For instance, as regards the EaSI Microfinance/Social Entrepren</w:t>
      </w:r>
      <w:r>
        <w:rPr>
          <w:rFonts w:eastAsia="Times New Roman" w:cs="Times New Roman"/>
          <w:szCs w:val="18"/>
          <w:lang w:eastAsia="en-GB"/>
        </w:rPr>
        <w:t>eurship axis, the EU-level support aims to foster systemic developments in a nascent social investment market, which goes beyond the labour market integration goals pursued by the ESF.</w:t>
      </w:r>
    </w:p>
  </w:footnote>
  <w:footnote w:id="71">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European Court of Auditors (2013), Special report no 7: </w:t>
      </w:r>
      <w:r>
        <w:rPr>
          <w:rFonts w:cs="Times New Roman"/>
          <w:i/>
          <w:szCs w:val="18"/>
        </w:rPr>
        <w:t xml:space="preserve">Has the </w:t>
      </w:r>
      <w:r>
        <w:rPr>
          <w:rFonts w:cs="Times New Roman"/>
          <w:i/>
          <w:szCs w:val="18"/>
        </w:rPr>
        <w:t>European Globalisation Adjustment Fund delivered EU added value in reintegrating redundant workers?</w:t>
      </w:r>
      <w:r>
        <w:rPr>
          <w:rFonts w:cs="Times New Roman"/>
          <w:szCs w:val="18"/>
        </w:rPr>
        <w:t>, p. 13.</w:t>
      </w:r>
    </w:p>
  </w:footnote>
  <w:footnote w:id="7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For example, Member States were encouraged to 'use ESI funds to mainstream tools and methods developed and tested successfully under Erasmus+ in o</w:t>
      </w:r>
      <w:r>
        <w:rPr>
          <w:rFonts w:cs="Times New Roman"/>
          <w:szCs w:val="18"/>
        </w:rPr>
        <w:t xml:space="preserve">rder to maximise the social and economic impact of investment in people and, </w:t>
      </w:r>
      <w:r>
        <w:rPr>
          <w:rFonts w:cs="Times New Roman"/>
          <w:i/>
          <w:szCs w:val="18"/>
        </w:rPr>
        <w:t>inter alia</w:t>
      </w:r>
      <w:r>
        <w:rPr>
          <w:rFonts w:cs="Times New Roman"/>
          <w:szCs w:val="18"/>
        </w:rPr>
        <w:t xml:space="preserve"> give impetus to youth initiatives and citizens actions'.</w:t>
      </w:r>
    </w:p>
  </w:footnote>
  <w:footnote w:id="73">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Study on the coordination and harmonisation of ESI funds and other EU instruments, DG REGIO (to be published)</w:t>
      </w:r>
    </w:p>
  </w:footnote>
  <w:footnote w:id="7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lang w:val="en-IE"/>
        </w:rPr>
        <w:t>Ex-post</w:t>
      </w:r>
      <w:r>
        <w:rPr>
          <w:rFonts w:cs="Times New Roman"/>
          <w:szCs w:val="18"/>
          <w:lang w:val="en-IE"/>
        </w:rPr>
        <w:t xml:space="preserve"> evaluation of the 2007-2013 ESF Programmes, Commission staff working document (SWD(2016)452 final, 12.12.2016).</w:t>
      </w:r>
    </w:p>
  </w:footnote>
  <w:footnote w:id="7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Study on the support of ESI funds to the implementation of the Country Specific Recommendations and to structural reforms in Member</w:t>
      </w:r>
      <w:r>
        <w:rPr>
          <w:rFonts w:cs="Times New Roman"/>
          <w:szCs w:val="18"/>
        </w:rPr>
        <w:t xml:space="preserve"> States, European Commission (2018) – under finalisation.</w:t>
      </w:r>
    </w:p>
  </w:footnote>
  <w:footnote w:id="76">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Study on e</w:t>
      </w:r>
      <w:r>
        <w:rPr>
          <w:rFonts w:ascii="Times New Roman" w:hAnsi="Times New Roman" w:cs="Times New Roman"/>
          <w:i/>
          <w:sz w:val="18"/>
          <w:szCs w:val="18"/>
          <w:lang w:val="en-US"/>
        </w:rPr>
        <w:t>x-ante</w:t>
      </w:r>
      <w:r>
        <w:rPr>
          <w:rFonts w:ascii="Times New Roman" w:hAnsi="Times New Roman" w:cs="Times New Roman"/>
          <w:sz w:val="18"/>
          <w:szCs w:val="18"/>
          <w:lang w:val="en-US"/>
        </w:rPr>
        <w:t xml:space="preserve"> conditionalities in the European Structural and Investment Funds (ESI funds), European Commission (2017)</w:t>
      </w:r>
      <w:r>
        <w:rPr>
          <w:rFonts w:ascii="Times New Roman" w:hAnsi="Times New Roman" w:cs="Times New Roman"/>
          <w:sz w:val="18"/>
          <w:szCs w:val="18"/>
        </w:rPr>
        <w:t xml:space="preserve">: </w:t>
      </w:r>
      <w:hyperlink r:id="rId19" w:history="1">
        <w:r>
          <w:rPr>
            <w:rStyle w:val="Hyperlink"/>
            <w:rFonts w:ascii="Times New Roman" w:hAnsi="Times New Roman" w:cs="Times New Roman"/>
            <w:color w:val="auto"/>
            <w:sz w:val="18"/>
            <w:szCs w:val="18"/>
          </w:rPr>
          <w:t>http://ec.europa.eu/regional_policy/en/information/publications</w:t>
        </w:r>
        <w:r>
          <w:rPr>
            <w:rStyle w:val="Hyperlink"/>
            <w:rFonts w:ascii="Times New Roman" w:hAnsi="Times New Roman" w:cs="Times New Roman"/>
            <w:color w:val="auto"/>
            <w:sz w:val="18"/>
            <w:szCs w:val="18"/>
          </w:rPr>
          <w:t>/studies/2017/the-value-added-of-ex-ante-conditionalities-in-the-european-structural-and-investment-funds-esi-funds</w:t>
        </w:r>
      </w:hyperlink>
    </w:p>
  </w:footnote>
  <w:footnote w:id="77">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Study on the assessment of the adequacy of the ESF to support human capital development policies, DG EMPL (to be published)</w:t>
      </w:r>
    </w:p>
  </w:footnote>
  <w:footnote w:id="78">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p>
  </w:footnote>
  <w:footnote w:id="79">
    <w:p w:rsidR="003A1527" w:rsidRDefault="00742A12">
      <w:pPr>
        <w:pStyle w:val="FootnoteText"/>
        <w:spacing w:after="0" w:line="240" w:lineRule="auto"/>
        <w:ind w:left="0" w:firstLine="0"/>
        <w:jc w:val="both"/>
        <w:rPr>
          <w:rFonts w:eastAsiaTheme="minorHAnsi" w:cs="Times New Roman"/>
          <w:szCs w:val="18"/>
        </w:rPr>
      </w:pPr>
      <w:r>
        <w:rPr>
          <w:rStyle w:val="FootnoteReference"/>
          <w:rFonts w:cs="Times New Roman"/>
          <w:szCs w:val="18"/>
        </w:rPr>
        <w:footnoteRef/>
      </w:r>
      <w:r>
        <w:rPr>
          <w:rFonts w:cs="Times New Roman"/>
          <w:szCs w:val="18"/>
        </w:rPr>
        <w:t xml:space="preserve"> </w:t>
      </w:r>
      <w:r>
        <w:rPr>
          <w:rFonts w:eastAsiaTheme="minorHAnsi" w:cs="Times New Roman"/>
          <w:szCs w:val="18"/>
        </w:rPr>
        <w:t>Artic</w:t>
      </w:r>
      <w:r>
        <w:rPr>
          <w:rFonts w:eastAsiaTheme="minorHAnsi" w:cs="Times New Roman"/>
          <w:szCs w:val="18"/>
        </w:rPr>
        <w:t>le 5 of the Common Provision Regulation requires each ESI fund programme to organise a partnership at all programming stages and at all levels  A European code of conduct on partnership has been produced to support Member States in ensuring that all partne</w:t>
      </w:r>
      <w:r>
        <w:rPr>
          <w:rFonts w:eastAsiaTheme="minorHAnsi" w:cs="Times New Roman"/>
          <w:szCs w:val="18"/>
        </w:rPr>
        <w:t>rs are involved at all stages in the implementation of partnership agreements and programmes</w:t>
      </w:r>
    </w:p>
  </w:footnote>
  <w:footnote w:id="80">
    <w:p w:rsidR="003A1527" w:rsidRDefault="00742A12">
      <w:pPr>
        <w:pStyle w:val="Body"/>
        <w:spacing w:after="0" w:line="240" w:lineRule="auto"/>
        <w:jc w:val="both"/>
        <w:rPr>
          <w:rFonts w:ascii="Times New Roman" w:eastAsiaTheme="minorHAnsi" w:hAnsi="Times New Roman"/>
          <w:szCs w:val="18"/>
        </w:rPr>
      </w:pPr>
      <w:r>
        <w:rPr>
          <w:rStyle w:val="FootnoteReference"/>
          <w:rFonts w:ascii="Times New Roman" w:hAnsi="Times New Roman"/>
          <w:szCs w:val="18"/>
        </w:rPr>
        <w:footnoteRef/>
      </w:r>
      <w:r>
        <w:rPr>
          <w:rFonts w:ascii="Times New Roman" w:hAnsi="Times New Roman"/>
          <w:szCs w:val="18"/>
        </w:rPr>
        <w:t xml:space="preserve"> </w:t>
      </w:r>
      <w:r>
        <w:rPr>
          <w:rFonts w:ascii="Times New Roman" w:eastAsiaTheme="minorHAnsi" w:hAnsi="Times New Roman"/>
          <w:szCs w:val="18"/>
        </w:rPr>
        <w:t>Study on the implementation of the partnership principle and multi-level governance during the 2014-2020 ESI funds, European Commission (July 2016)</w:t>
      </w:r>
    </w:p>
  </w:footnote>
  <w:footnote w:id="81">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FEAD mid-te</w:t>
      </w:r>
      <w:r>
        <w:rPr>
          <w:rFonts w:cs="Times New Roman"/>
          <w:szCs w:val="18"/>
        </w:rPr>
        <w:t>rm evaluation (interim report), VC/2016/0664.</w:t>
      </w:r>
    </w:p>
  </w:footnote>
  <w:footnote w:id="8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‘Omnibus’ Regulation, status March 2018: agreed by the co-legislators but still undergoing revision by the lawyer-linguists, planned adoption June 2018</w:t>
      </w:r>
    </w:p>
  </w:footnote>
  <w:footnote w:id="83">
    <w:p w:rsidR="003A1527" w:rsidRDefault="00742A12">
      <w:pPr>
        <w:spacing w:after="0" w:line="240" w:lineRule="auto"/>
        <w:jc w:val="both"/>
        <w:rPr>
          <w:rFonts w:ascii="Times New Roman" w:eastAsia="Times New Roman" w:hAnsi="Times New Roman" w:cs="Times New Roman"/>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is particularly relevant for Member States that a</w:t>
      </w:r>
      <w:r>
        <w:rPr>
          <w:rFonts w:ascii="Times New Roman" w:hAnsi="Times New Roman" w:cs="Times New Roman"/>
          <w:sz w:val="18"/>
          <w:szCs w:val="18"/>
        </w:rPr>
        <w:t>ccessed recently on which the impact of globalisation has not been so negative– rather, they have attracted jobs from elsewhere. Very few restructuring events in these Member States have fallen within the scope of the EGF in 2014-2020.</w:t>
      </w:r>
    </w:p>
  </w:footnote>
  <w:footnote w:id="8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hyperlink r:id="rId20" w:history="1">
        <w:r>
          <w:rPr>
            <w:rStyle w:val="Hyperlink"/>
            <w:rFonts w:cs="Times New Roman"/>
            <w:color w:val="auto"/>
            <w:szCs w:val="18"/>
          </w:rPr>
          <w:t>High Level Group on monitoring simplification</w:t>
        </w:r>
      </w:hyperlink>
      <w:r>
        <w:rPr>
          <w:rFonts w:cs="Times New Roman"/>
          <w:szCs w:val="18"/>
        </w:rPr>
        <w:t xml:space="preserve"> for beneficiaries of the ESI funds (set up by the Commission in July 2015)</w:t>
      </w:r>
    </w:p>
  </w:footnote>
  <w:footnote w:id="85">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Study on the use of new provisions on simplification during the early implementation phase of ESI funds, European Commission (September 2017); study on the assessment of the adequacy of the ESF to support human capital development policies, DG EMPL (to be</w:t>
      </w:r>
      <w:r>
        <w:rPr>
          <w:rFonts w:cs="Times New Roman"/>
          <w:szCs w:val="18"/>
        </w:rPr>
        <w:t xml:space="preserve"> published). </w:t>
      </w:r>
    </w:p>
  </w:footnote>
  <w:footnote w:id="86">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For 2014-2020 a total of 187 OPS have been set up for the ESF.</w:t>
      </w:r>
    </w:p>
  </w:footnote>
  <w:footnote w:id="87">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In particular, programmes that combine ESF funding with the ERDF were slower to get off the ground, in particular as regards the ESF component: after the first three years, 70</w:t>
      </w:r>
      <w:r>
        <w:rPr>
          <w:rFonts w:cs="Times New Roman"/>
          <w:szCs w:val="18"/>
        </w:rPr>
        <w:t xml:space="preserve"> ESF/ERDF programmes report average eligible expenditures of 3%, while the 78 single fund ESF programmes reported an average of 8% (study to the support the impact assessment of human capital investments, DG EMPL (ongoing)).</w:t>
      </w:r>
    </w:p>
  </w:footnote>
  <w:footnote w:id="88">
    <w:p w:rsidR="003A1527" w:rsidRDefault="00742A12">
      <w:pPr>
        <w:pStyle w:val="FootnoteText"/>
        <w:spacing w:after="0" w:line="240" w:lineRule="auto"/>
      </w:pPr>
      <w:r>
        <w:rPr>
          <w:rStyle w:val="FootnoteReference"/>
        </w:rPr>
        <w:footnoteRef/>
      </w:r>
      <w:r>
        <w:t xml:space="preserve"> See section 2.1.2.2.4 for mor</w:t>
      </w:r>
      <w:r>
        <w:t>e details.</w:t>
      </w:r>
    </w:p>
  </w:footnote>
  <w:footnote w:id="89">
    <w:p w:rsidR="003A1527" w:rsidRDefault="00742A12">
      <w:pPr>
        <w:pStyle w:val="FootnoteText"/>
        <w:spacing w:after="0" w:line="240" w:lineRule="auto"/>
        <w:ind w:left="0" w:firstLine="0"/>
        <w:jc w:val="both"/>
      </w:pPr>
      <w:r>
        <w:rPr>
          <w:rStyle w:val="FootnoteReference"/>
        </w:rPr>
        <w:footnoteRef/>
      </w:r>
      <w:r>
        <w:t xml:space="preserve"> The ‘n+3’ rule means that payment claims by Member Stats should be submitted in the 3 years following the budgetary commitment. </w:t>
      </w:r>
    </w:p>
  </w:footnote>
  <w:footnote w:id="90">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 xml:space="preserve">Ex-post </w:t>
      </w:r>
      <w:r>
        <w:rPr>
          <w:rFonts w:cs="Times New Roman"/>
          <w:szCs w:val="18"/>
        </w:rPr>
        <w:t>evaluation of EGF 2007-2013, European Commission (2015).</w:t>
      </w:r>
    </w:p>
  </w:footnote>
  <w:footnote w:id="91">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SWD on EGF mid-term evaluation (</w:t>
      </w:r>
      <w:r>
        <w:rPr>
          <w:rFonts w:cs="Times New Roman"/>
          <w:szCs w:val="18"/>
          <w:lang w:val="en-US"/>
        </w:rPr>
        <w:t xml:space="preserve">SWD(2018)192 </w:t>
      </w:r>
      <w:r>
        <w:rPr>
          <w:rFonts w:cs="Times New Roman"/>
          <w:szCs w:val="18"/>
          <w:lang w:val="en-US"/>
        </w:rPr>
        <w:t>final, 16.5.2018)</w:t>
      </w:r>
    </w:p>
  </w:footnote>
  <w:footnote w:id="9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Based on Article 14(1) of Regulation (EU) No 1304/2013 of the European Parliament and of the Council of 17 December 2013 on the European Social Fund (OJ L 346, 20.12.2013, p.470).</w:t>
      </w:r>
    </w:p>
  </w:footnote>
  <w:footnote w:id="9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Study to support the work on the impact assessment of human capital investments, DG EMPL (ongoing).</w:t>
      </w:r>
    </w:p>
  </w:footnote>
  <w:footnote w:id="94">
    <w:p w:rsidR="003A1527" w:rsidRDefault="00742A12">
      <w:pPr>
        <w:pStyle w:val="FootnoteText"/>
        <w:spacing w:after="0" w:line="240" w:lineRule="auto"/>
        <w:ind w:left="0" w:firstLine="0"/>
        <w:jc w:val="both"/>
      </w:pPr>
      <w:r>
        <w:rPr>
          <w:rStyle w:val="FootnoteReference"/>
        </w:rPr>
        <w:footnoteRef/>
      </w:r>
      <w:r>
        <w:t xml:space="preserve"> This has been observed, inter alia, by the ECA in the context of its Special Report 5/2017 on youth employment policies and the implementation of YEI whi</w:t>
      </w:r>
      <w:r>
        <w:t xml:space="preserve">ch analysed the first phase of YEI implementation in several eligible Member States. </w:t>
      </w:r>
      <w:hyperlink r:id="rId21" w:history="1">
        <w:r>
          <w:rPr>
            <w:rStyle w:val="Hyperlink"/>
          </w:rPr>
          <w:t>https://www.eca.europa.eu/en/Pages/DocItem.aspx?did=41096</w:t>
        </w:r>
      </w:hyperlink>
      <w:r>
        <w:t xml:space="preserve"> </w:t>
      </w:r>
    </w:p>
  </w:footnote>
  <w:footnote w:id="9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bCs/>
          <w:szCs w:val="18"/>
        </w:rPr>
        <w:t xml:space="preserve">Chapter 3 of </w:t>
      </w:r>
      <w:r>
        <w:rPr>
          <w:rFonts w:cs="Times New Roman"/>
          <w:szCs w:val="18"/>
        </w:rPr>
        <w:t>Regulation (EU) No 1303</w:t>
      </w:r>
      <w:r>
        <w:rPr>
          <w:rFonts w:cs="Times New Roman"/>
          <w:szCs w:val="18"/>
        </w:rPr>
        <w:t>/2013 of the European Parliament and of the Council of 17 December 2013 laying down common provisions on the European Regional Development Fund, the European Social Fund, the Cohesion Fund, the European Agricultural Fund for Rural Development and the Europ</w:t>
      </w:r>
      <w:r>
        <w:rPr>
          <w:rFonts w:cs="Times New Roman"/>
          <w:szCs w:val="18"/>
        </w:rPr>
        <w:t>ean Maritime and Fisheries Fund and laying down general provisions on the European Regional Development Fund, the European Social Fund, the Cohesion Fund and the European Maritime and Fisheries Fund (OJ L 347, 20.12.2013, p.320)</w:t>
      </w:r>
    </w:p>
  </w:footnote>
  <w:footnote w:id="96">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With the exception of Pol</w:t>
      </w:r>
      <w:r>
        <w:rPr>
          <w:rFonts w:cs="Times New Roman"/>
          <w:szCs w:val="18"/>
        </w:rPr>
        <w:t xml:space="preserve">and, which submitted a proposal for a pilot JAP in January 2018. </w:t>
      </w:r>
    </w:p>
  </w:footnote>
  <w:footnote w:id="97">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Commission was empowered to adopt unit costs or lump sums with when reimbursing ESF expenditure to Member States. </w:t>
      </w:r>
    </w:p>
  </w:footnote>
  <w:footnote w:id="98">
    <w:p w:rsidR="003A1527" w:rsidRDefault="00742A12">
      <w:pPr>
        <w:pStyle w:val="FootnoteText"/>
        <w:spacing w:after="0" w:line="240" w:lineRule="auto"/>
        <w:ind w:left="0" w:firstLine="0"/>
        <w:jc w:val="both"/>
      </w:pPr>
      <w:r>
        <w:rPr>
          <w:rStyle w:val="FootnoteReference"/>
        </w:rPr>
        <w:footnoteRef/>
      </w:r>
      <w:r>
        <w:t xml:space="preserve"> The terminology ‘policy objective’ is based on the current wording </w:t>
      </w:r>
      <w:r>
        <w:t>agreed in the framework of the future Common Provisions Regulation and corresponds to a general objective.</w:t>
      </w:r>
    </w:p>
  </w:footnote>
  <w:footnote w:id="99">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hyperlink r:id="rId22" w:history="1">
        <w:r>
          <w:rPr>
            <w:rStyle w:val="Hyperlink"/>
            <w:rFonts w:cs="Times New Roman"/>
            <w:color w:val="auto"/>
            <w:szCs w:val="18"/>
          </w:rPr>
          <w:t>https://e</w:t>
        </w:r>
        <w:r>
          <w:rPr>
            <w:rStyle w:val="Hyperlink"/>
            <w:rFonts w:cs="Times New Roman"/>
            <w:color w:val="auto"/>
            <w:szCs w:val="18"/>
          </w:rPr>
          <w:t>c.europa.eu/commission/priorities/deeper-and-fairer-economic-and-monetary-union/european-pillar-social-rights_en</w:t>
        </w:r>
      </w:hyperlink>
    </w:p>
  </w:footnote>
  <w:footnote w:id="100">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23" w:history="1">
        <w:r>
          <w:rPr>
            <w:rStyle w:val="Hyperlink"/>
            <w:rFonts w:cs="Times New Roman"/>
            <w:color w:val="auto"/>
            <w:szCs w:val="18"/>
          </w:rPr>
          <w:t>http://www.un.org/sustainabledevelopment/sustainable-</w:t>
        </w:r>
        <w:r>
          <w:rPr>
            <w:rStyle w:val="Hyperlink"/>
            <w:rFonts w:cs="Times New Roman"/>
            <w:color w:val="auto"/>
            <w:szCs w:val="18"/>
          </w:rPr>
          <w:t>development-goals/</w:t>
        </w:r>
      </w:hyperlink>
    </w:p>
  </w:footnote>
  <w:footnote w:id="101">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Articles 162 and 174 TFEU</w:t>
      </w:r>
    </w:p>
  </w:footnote>
  <w:footnote w:id="102">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For more details, see Annex 3</w:t>
      </w:r>
    </w:p>
  </w:footnote>
  <w:footnote w:id="10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lang w:val="en-US"/>
        </w:rPr>
        <w:t>Ex-post</w:t>
      </w:r>
      <w:r>
        <w:rPr>
          <w:rFonts w:cs="Times New Roman"/>
          <w:szCs w:val="18"/>
          <w:lang w:val="en-US"/>
        </w:rPr>
        <w:t xml:space="preserve"> evaluation of the 2007-2013 ESF programmes, Commission staff working document (SWD(2016)452 final, 12.12.201</w:t>
      </w:r>
      <w:r>
        <w:rPr>
          <w:rFonts w:cs="Times New Roman"/>
          <w:szCs w:val="18"/>
        </w:rPr>
        <w:t>6)</w:t>
      </w:r>
    </w:p>
  </w:footnote>
  <w:footnote w:id="104">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EaSI programme is also open to non-EU (EFTA/EEA, candidate and potential candidate countries). Under the Overseas Association Decision, the overseas countries and territories (e.g. Greenland) can participate in conferences, seminars and meetings). As </w:t>
      </w:r>
      <w:r>
        <w:rPr>
          <w:rFonts w:ascii="Times New Roman" w:eastAsia="Calibri" w:hAnsi="Times New Roman" w:cs="Times New Roman"/>
          <w:sz w:val="18"/>
          <w:szCs w:val="18"/>
        </w:rPr>
        <w:t>regards the participation of individuals from other countries in meetings, conferences, peer reviews, etc… the current EaSI Regulation provides (Article 18(4)) that the Commission may cooperate with other countries that are not participating in the program</w:t>
      </w:r>
      <w:r>
        <w:rPr>
          <w:rFonts w:ascii="Times New Roman" w:eastAsia="Calibri" w:hAnsi="Times New Roman" w:cs="Times New Roman"/>
          <w:sz w:val="18"/>
          <w:szCs w:val="18"/>
        </w:rPr>
        <w:t>me. Representatives of such countries may attend events of mutual interest (e.g. conferences, workshops and seminars) that take place participating countries and the cost of their attendance may be covered by the EaSI programme.</w:t>
      </w:r>
    </w:p>
  </w:footnote>
  <w:footnote w:id="105">
    <w:p w:rsidR="003A1527" w:rsidRDefault="00742A12">
      <w:pPr>
        <w:pStyle w:val="Default"/>
        <w:rPr>
          <w:color w:val="auto"/>
          <w:sz w:val="18"/>
          <w:szCs w:val="18"/>
        </w:rPr>
      </w:pPr>
      <w:r>
        <w:rPr>
          <w:rStyle w:val="FootnoteReference"/>
          <w:color w:val="auto"/>
          <w:sz w:val="18"/>
          <w:szCs w:val="18"/>
        </w:rPr>
        <w:footnoteRef/>
      </w:r>
      <w:r>
        <w:rPr>
          <w:color w:val="auto"/>
          <w:sz w:val="18"/>
          <w:szCs w:val="18"/>
        </w:rPr>
        <w:t xml:space="preserve"> </w:t>
      </w:r>
      <w:r>
        <w:rPr>
          <w:i/>
          <w:color w:val="auto"/>
          <w:sz w:val="18"/>
          <w:szCs w:val="18"/>
        </w:rPr>
        <w:t>A new, modern Multiannual</w:t>
      </w:r>
      <w:r>
        <w:rPr>
          <w:i/>
          <w:color w:val="auto"/>
          <w:sz w:val="18"/>
          <w:szCs w:val="18"/>
        </w:rPr>
        <w:t xml:space="preserve"> Financial Framework for a European Union that delivers efficiently on its priorities post-2020</w:t>
      </w:r>
      <w:r>
        <w:rPr>
          <w:color w:val="auto"/>
          <w:sz w:val="18"/>
          <w:szCs w:val="18"/>
        </w:rPr>
        <w:t xml:space="preserve"> , COM(2018)98 final  </w:t>
      </w:r>
    </w:p>
  </w:footnote>
  <w:footnote w:id="106">
    <w:p w:rsidR="003A1527" w:rsidRDefault="00742A12">
      <w:pPr>
        <w:pStyle w:val="FootnoteText"/>
        <w:spacing w:after="0" w:line="240" w:lineRule="auto"/>
        <w:jc w:val="both"/>
      </w:pPr>
      <w:r>
        <w:rPr>
          <w:rStyle w:val="FootnoteReference"/>
        </w:rPr>
        <w:footnoteRef/>
      </w:r>
      <w:r>
        <w:t xml:space="preserve"> The YEI is already a part of the cuurent ESF Regulation (EU) No. 1304/2013 and is also integrated in the ESF+.</w:t>
      </w:r>
    </w:p>
  </w:footnote>
  <w:footnote w:id="107">
    <w:p w:rsidR="003A1527" w:rsidRDefault="00742A12">
      <w:pPr>
        <w:spacing w:after="0" w:line="240" w:lineRule="auto"/>
        <w:jc w:val="both"/>
        <w:rPr>
          <w:rFonts w:ascii="Times New Roman" w:eastAsia="Times New Roman" w:hAnsi="Times New Roman" w:cs="Times New Roman"/>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w:t>
      </w:r>
      <w:r>
        <w:rPr>
          <w:rFonts w:ascii="Times New Roman" w:eastAsia="Times New Roman" w:hAnsi="Times New Roman" w:cs="Times New Roman"/>
          <w:sz w:val="18"/>
          <w:szCs w:val="18"/>
          <w:lang w:eastAsia="en-GB"/>
        </w:rPr>
        <w:t>n line with the overal</w:t>
      </w:r>
      <w:r>
        <w:rPr>
          <w:rFonts w:ascii="Times New Roman" w:eastAsia="Times New Roman" w:hAnsi="Times New Roman" w:cs="Times New Roman"/>
          <w:sz w:val="18"/>
          <w:szCs w:val="18"/>
          <w:lang w:eastAsia="en-GB"/>
        </w:rPr>
        <w:t>l approach taken in the next MFF, the ESF will ensure that it fulfils the potential to accelerate the low-carbon and climate resilient transition, and that it does not invest in activities that are incompatible with the related EU policy. Climate change tr</w:t>
      </w:r>
      <w:r>
        <w:rPr>
          <w:rFonts w:ascii="Times New Roman" w:eastAsia="Times New Roman" w:hAnsi="Times New Roman" w:cs="Times New Roman"/>
          <w:sz w:val="18"/>
          <w:szCs w:val="18"/>
          <w:lang w:eastAsia="en-GB"/>
        </w:rPr>
        <w:t>acking</w:t>
      </w:r>
      <w:r>
        <w:rPr>
          <w:rFonts w:ascii="Times New Roman" w:hAnsi="Times New Roman" w:cs="Times New Roman"/>
          <w:sz w:val="18"/>
          <w:szCs w:val="18"/>
        </w:rPr>
        <w:t xml:space="preserve"> will continue in the future ESF+, keeping in mind the objective of the Funds. </w:t>
      </w:r>
    </w:p>
  </w:footnote>
  <w:footnote w:id="108">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Taking also into account the Skills Agenda for Europe</w:t>
      </w:r>
    </w:p>
  </w:footnote>
  <w:footnote w:id="109">
    <w:p w:rsidR="003A1527" w:rsidRDefault="00742A1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2014-2020, Member States had to allocate at least 20 % to social inclusion and evidence shows that they even </w:t>
      </w:r>
      <w:r>
        <w:rPr>
          <w:rFonts w:ascii="Times New Roman" w:hAnsi="Times New Roman" w:cs="Times New Roman"/>
          <w:sz w:val="18"/>
          <w:szCs w:val="18"/>
        </w:rPr>
        <w:t>went beyond that (the actual proportion is almost 25 %)</w:t>
      </w:r>
    </w:p>
  </w:footnote>
  <w:footnote w:id="110">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lang w:val="en-IE"/>
        </w:rPr>
        <w:t>Under a derogation clause, the EGF offers in 2014-2020 assistance to NEETs in regions affected by a major restructuring event. The EGF post-2020 will not be used to offer assistance to NEETs anymore</w:t>
      </w:r>
      <w:r>
        <w:rPr>
          <w:rFonts w:cs="Times New Roman"/>
          <w:szCs w:val="18"/>
          <w:lang w:val="en-IE"/>
        </w:rPr>
        <w:t>, as this help can more comprehensively be offered by the ESF+.</w:t>
      </w:r>
    </w:p>
  </w:footnote>
  <w:footnote w:id="111">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It should be noted here that the current EGF is not supporting workers displaced in the course of restructuring events that led to intra-EU offshoring. As all major restructuring events will be eligible post-2020, such a distinction will not be made anymo</w:t>
      </w:r>
      <w:r>
        <w:rPr>
          <w:rFonts w:cs="Times New Roman"/>
          <w:szCs w:val="18"/>
        </w:rPr>
        <w:t>re.</w:t>
      </w:r>
    </w:p>
  </w:footnote>
  <w:footnote w:id="112">
    <w:p w:rsidR="003A1527" w:rsidRDefault="00742A12">
      <w:pPr>
        <w:pStyle w:val="FootnoteText"/>
        <w:spacing w:after="0" w:line="240" w:lineRule="auto"/>
        <w:ind w:left="0" w:firstLine="0"/>
        <w:jc w:val="both"/>
      </w:pPr>
      <w:r>
        <w:rPr>
          <w:rStyle w:val="FootnoteReference"/>
        </w:rPr>
        <w:footnoteRef/>
      </w:r>
      <w:r>
        <w:t xml:space="preserve"> The threshold was initially 1000 displaced jobs in the 2007-2013 funding period. The lower threshold of 500 displaced jobs did not create a big increase in applications in the 2014-2020 funding period. However, several applications used the exception</w:t>
      </w:r>
      <w:r>
        <w:t>al circumstance clause, basing an application on a lower number of dismissed workers, as these dismissals had a significant impact on the region concerned.</w:t>
      </w:r>
    </w:p>
  </w:footnote>
  <w:footnote w:id="113">
    <w:p w:rsidR="003A1527" w:rsidRDefault="00742A12">
      <w:pPr>
        <w:pStyle w:val="FootnoteText"/>
        <w:spacing w:after="0" w:line="240" w:lineRule="auto"/>
        <w:ind w:left="0" w:hanging="11"/>
        <w:jc w:val="both"/>
      </w:pPr>
      <w:r>
        <w:rPr>
          <w:rStyle w:val="FootnoteReference"/>
        </w:rPr>
        <w:footnoteRef/>
      </w:r>
      <w:r>
        <w:t xml:space="preserve"> </w:t>
      </w:r>
      <w:r>
        <w:rPr>
          <w:rFonts w:cs="Times New Roman"/>
          <w:szCs w:val="18"/>
        </w:rPr>
        <w:t>The up-take of an emergency relief fund depends on the number of emergencies, which are hard to pr</w:t>
      </w:r>
      <w:r>
        <w:rPr>
          <w:rFonts w:cs="Times New Roman"/>
          <w:szCs w:val="18"/>
        </w:rPr>
        <w:t>edict. Should a severe economic downturn lead to a full uptake, possible consequences would need to be discussed at the time of the MFF review.</w:t>
      </w:r>
    </w:p>
  </w:footnote>
  <w:footnote w:id="11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lang w:val="en-IE"/>
        </w:rPr>
        <w:t xml:space="preserve">Quality Framework for anticipation of change and restructuring (QFR): </w:t>
      </w:r>
      <w:r>
        <w:rPr>
          <w:rFonts w:cs="Times New Roman"/>
          <w:szCs w:val="18"/>
        </w:rPr>
        <w:t>the QFR aims to contribute to companies'</w:t>
      </w:r>
      <w:r>
        <w:rPr>
          <w:rFonts w:cs="Times New Roman"/>
          <w:szCs w:val="18"/>
        </w:rPr>
        <w:t xml:space="preserve"> long-term competitiveness and considers the broader industrial and social impact of restructuring on cities and regions affected. It stresses the role of industrial and regional policies in anticipating the adjustment to structural change. The QFR calls f</w:t>
      </w:r>
      <w:r>
        <w:rPr>
          <w:rFonts w:cs="Times New Roman"/>
          <w:szCs w:val="18"/>
        </w:rPr>
        <w:t>or an integrated approach in anticipating and managing the adjustment to structural change by making full use of EU structural funds and of the EGF in the regions affected.</w:t>
      </w:r>
    </w:p>
  </w:footnote>
  <w:footnote w:id="115">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Study to support the impact assessment of human capital investments, DG EMPL (ong</w:t>
      </w:r>
      <w:r>
        <w:rPr>
          <w:rFonts w:cs="Times New Roman"/>
          <w:szCs w:val="18"/>
        </w:rPr>
        <w:t>oing)</w:t>
      </w:r>
    </w:p>
  </w:footnote>
  <w:footnote w:id="11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Strengthening Innovation in Europe's Regions: Strategies for resilient, inclusive and sustainable growth</w:t>
      </w:r>
      <w:r>
        <w:rPr>
          <w:rFonts w:cs="Times New Roman"/>
          <w:szCs w:val="18"/>
        </w:rPr>
        <w:t>, COM(2017)376.</w:t>
      </w:r>
    </w:p>
  </w:footnote>
  <w:footnote w:id="117">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Study to support the impact assessment of human capital investments, DG EMPL (ongoing)</w:t>
      </w:r>
    </w:p>
  </w:footnote>
  <w:footnote w:id="118">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i/>
          <w:szCs w:val="18"/>
        </w:rPr>
        <w:t xml:space="preserve"> Ibid</w:t>
      </w:r>
      <w:r>
        <w:rPr>
          <w:rFonts w:cs="Times New Roman"/>
          <w:szCs w:val="18"/>
        </w:rPr>
        <w:t>: “I</w:t>
      </w:r>
      <w:r>
        <w:rPr>
          <w:rFonts w:eastAsia="Calibri" w:cs="Times New Roman"/>
          <w:szCs w:val="18"/>
        </w:rPr>
        <w:t>t was estimated that in Swede</w:t>
      </w:r>
      <w:r>
        <w:rPr>
          <w:rFonts w:eastAsia="Calibri" w:cs="Times New Roman"/>
          <w:szCs w:val="18"/>
        </w:rPr>
        <w:t>n the combination of the merger of the funds with a number of simplification measures would have a potential of saving 40-50% of administrative costs for FEAD”</w:t>
      </w:r>
      <w:r>
        <w:rPr>
          <w:rFonts w:cs="Times New Roman"/>
          <w:szCs w:val="18"/>
        </w:rPr>
        <w:t xml:space="preserve"> </w:t>
      </w:r>
    </w:p>
  </w:footnote>
  <w:footnote w:id="119">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p>
  </w:footnote>
  <w:footnote w:id="120">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w:t>
      </w:r>
      <w:r>
        <w:rPr>
          <w:i/>
        </w:rPr>
        <w:t>Ibid</w:t>
      </w:r>
    </w:p>
  </w:footnote>
  <w:footnote w:id="121">
    <w:p w:rsidR="003A1527" w:rsidRDefault="00742A12">
      <w:pPr>
        <w:autoSpaceDE w:val="0"/>
        <w:autoSpaceDN w:val="0"/>
        <w:spacing w:after="0" w:line="240" w:lineRule="auto"/>
        <w:jc w:val="both"/>
        <w:rPr>
          <w:rFonts w:ascii="Times New Roman" w:hAnsi="Times New Roman" w:cs="Times New Roman"/>
          <w:b/>
          <w:bCs/>
          <w:noProof/>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study to support the impact assessment of human capital investments, DG EMP</w:t>
      </w:r>
      <w:r>
        <w:rPr>
          <w:rFonts w:ascii="Times New Roman" w:hAnsi="Times New Roman" w:cs="Times New Roman"/>
          <w:sz w:val="18"/>
          <w:szCs w:val="18"/>
        </w:rPr>
        <w:t>L (ongoing): “</w:t>
      </w:r>
      <w:r>
        <w:rPr>
          <w:rFonts w:ascii="Times New Roman" w:eastAsia="Calibri" w:hAnsi="Times New Roman" w:cs="Times New Roman"/>
          <w:sz w:val="18"/>
          <w:szCs w:val="18"/>
        </w:rPr>
        <w:t>The integration of EGF in framework of other DG EMPL funds was generally not deemed desirable by the different stakeholders involved in the management of EGF.”</w:t>
      </w:r>
    </w:p>
  </w:footnote>
  <w:footnote w:id="122">
    <w:p w:rsidR="003A1527" w:rsidRDefault="00742A12">
      <w:pPr>
        <w:pStyle w:val="FootnoteText"/>
        <w:ind w:left="0" w:hanging="11"/>
        <w:jc w:val="both"/>
      </w:pPr>
      <w:r>
        <w:rPr>
          <w:rStyle w:val="FootnoteReference"/>
        </w:rPr>
        <w:footnoteRef/>
      </w:r>
      <w:r>
        <w:t xml:space="preserve"> Under the 2014-2020 period, the programme is referred to as “Erasmus+” however i</w:t>
      </w:r>
      <w:r>
        <w:t xml:space="preserve">n the future it is proposed to name the programme “Erasmus”. Naming is referred to accordingly throughout the text. </w:t>
      </w:r>
    </w:p>
  </w:footnote>
  <w:footnote w:id="12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changes to the European Semester process fall outside the scope of this impact assessment, so only the potential implications as rega</w:t>
      </w:r>
      <w:r>
        <w:rPr>
          <w:rFonts w:cs="Times New Roman"/>
          <w:szCs w:val="18"/>
        </w:rPr>
        <w:t xml:space="preserve">rds ESF+ programming are discussed here. </w:t>
      </w:r>
    </w:p>
  </w:footnote>
  <w:footnote w:id="12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Study on the support of ESI funds to the implementation of the Country Specific Recommendations and to structural reforms in Member States</w:t>
      </w:r>
      <w:r>
        <w:rPr>
          <w:rFonts w:cs="Times New Roman"/>
          <w:i/>
          <w:szCs w:val="18"/>
        </w:rPr>
        <w:t xml:space="preserve">, </w:t>
      </w:r>
      <w:r>
        <w:rPr>
          <w:rFonts w:cs="Times New Roman"/>
          <w:szCs w:val="18"/>
        </w:rPr>
        <w:t>European Commission (2018) – under finalisation.</w:t>
      </w:r>
    </w:p>
  </w:footnote>
  <w:footnote w:id="12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Study on the implementation of the provisions in relation to the </w:t>
      </w:r>
      <w:r>
        <w:rPr>
          <w:rFonts w:cs="Times New Roman"/>
          <w:i/>
          <w:szCs w:val="18"/>
        </w:rPr>
        <w:t>ex-ante</w:t>
      </w:r>
      <w:r>
        <w:rPr>
          <w:rFonts w:cs="Times New Roman"/>
          <w:szCs w:val="18"/>
        </w:rPr>
        <w:t xml:space="preserve"> conditionalities during the programming phase of the ESI funds, European Commission (July 2016);         </w:t>
      </w:r>
      <w:hyperlink r:id="rId24" w:history="1">
        <w:r>
          <w:rPr>
            <w:rStyle w:val="Hyperlink"/>
            <w:rFonts w:cs="Times New Roman"/>
            <w:color w:val="auto"/>
            <w:szCs w:val="18"/>
          </w:rPr>
          <w:t>http://ec.europa.eu/regional_policy/sources/policy/how/studies_integration/impl_exante_esif_report_en.pdf</w:t>
        </w:r>
      </w:hyperlink>
      <w:r>
        <w:rPr>
          <w:rFonts w:cs="Times New Roman"/>
          <w:szCs w:val="18"/>
        </w:rPr>
        <w:t xml:space="preserve"> </w:t>
      </w:r>
    </w:p>
  </w:footnote>
  <w:footnote w:id="12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eastAsia="Times New Roman" w:cs="Times New Roman"/>
          <w:szCs w:val="18"/>
          <w:lang w:eastAsia="en-GB"/>
        </w:rPr>
        <w:t>High-level group on monitoring simplification for beneficiaries of the ESI funds (set up by the Commis</w:t>
      </w:r>
      <w:r>
        <w:rPr>
          <w:rFonts w:eastAsia="Times New Roman" w:cs="Times New Roman"/>
          <w:szCs w:val="18"/>
          <w:lang w:eastAsia="en-GB"/>
        </w:rPr>
        <w:t>sion in July 2015)</w:t>
      </w:r>
      <w:r>
        <w:rPr>
          <w:rFonts w:cs="Times New Roman"/>
          <w:szCs w:val="18"/>
        </w:rPr>
        <w:t xml:space="preserve"> </w:t>
      </w:r>
      <w:hyperlink r:id="rId25" w:history="1">
        <w:r>
          <w:rPr>
            <w:rStyle w:val="Hyperlink"/>
            <w:rFonts w:cs="Times New Roman"/>
            <w:color w:val="auto"/>
            <w:szCs w:val="18"/>
          </w:rPr>
          <w:t>http://ec.europa.eu/regional_policy/en/policy/how/improving-investment/high-level-group-simplification/</w:t>
        </w:r>
      </w:hyperlink>
    </w:p>
  </w:footnote>
  <w:footnote w:id="127">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’Omnibus’ R</w:t>
      </w:r>
      <w:r>
        <w:rPr>
          <w:rFonts w:cs="Times New Roman"/>
          <w:szCs w:val="18"/>
        </w:rPr>
        <w:t>egulation revising the CPR and ESF Regulation, status March 2018: agreed by the co-legislators but still undergoing revision by the lawyer-linguists, planned adoption June 2018</w:t>
      </w:r>
    </w:p>
  </w:footnote>
  <w:footnote w:id="128">
    <w:p w:rsidR="003A1527" w:rsidRDefault="00742A12">
      <w:pPr>
        <w:spacing w:after="0" w:line="240" w:lineRule="auto"/>
        <w:jc w:val="both"/>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Study on the u</w:t>
      </w:r>
      <w:r>
        <w:rPr>
          <w:rFonts w:ascii="Times New Roman" w:hAnsi="Times New Roman" w:cs="Times New Roman"/>
          <w:kern w:val="36"/>
          <w:sz w:val="18"/>
          <w:szCs w:val="18"/>
        </w:rPr>
        <w:t>se of new provisions on simplification during the early impleme</w:t>
      </w:r>
      <w:r>
        <w:rPr>
          <w:rFonts w:ascii="Times New Roman" w:hAnsi="Times New Roman" w:cs="Times New Roman"/>
          <w:kern w:val="36"/>
          <w:sz w:val="18"/>
          <w:szCs w:val="18"/>
        </w:rPr>
        <w:t>ntation phase of ESI funds, European Commission (September 2017)</w:t>
      </w:r>
    </w:p>
  </w:footnote>
  <w:footnote w:id="129">
    <w:p w:rsidR="003A1527" w:rsidRDefault="00742A12">
      <w:pPr>
        <w:pStyle w:val="FootnoteText"/>
        <w:spacing w:after="0" w:line="240" w:lineRule="auto"/>
        <w:ind w:left="0" w:firstLine="0"/>
        <w:jc w:val="both"/>
      </w:pPr>
      <w:r>
        <w:rPr>
          <w:rStyle w:val="FootnoteReference"/>
        </w:rPr>
        <w:footnoteRef/>
      </w:r>
      <w:r>
        <w:t xml:space="preserve"> The ‘n+2’ rule means that payment claims by Member Stats should be submitted in the 2 years following the budgetary commitment.</w:t>
      </w:r>
    </w:p>
  </w:footnote>
  <w:footnote w:id="130">
    <w:p w:rsidR="003A1527" w:rsidRDefault="00742A12">
      <w:pPr>
        <w:widowControl w:val="0"/>
        <w:spacing w:after="0" w:line="240" w:lineRule="auto"/>
        <w:ind w:right="-29"/>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study on the </w:t>
      </w:r>
      <w:r>
        <w:rPr>
          <w:rFonts w:ascii="Times New Roman" w:hAnsi="Times New Roman" w:cs="Times New Roman"/>
          <w:spacing w:val="-1"/>
          <w:sz w:val="18"/>
          <w:szCs w:val="18"/>
        </w:rPr>
        <w:t>use of new provisions on simplification du</w:t>
      </w:r>
      <w:r>
        <w:rPr>
          <w:rFonts w:ascii="Times New Roman" w:hAnsi="Times New Roman" w:cs="Times New Roman"/>
          <w:spacing w:val="-1"/>
          <w:sz w:val="18"/>
          <w:szCs w:val="18"/>
        </w:rPr>
        <w:t>ring the early implementation phase of ESI Funds found that, based on current use of simplified costs in the ESF, national authorities' administrative costs would fall by 1.9 % compared with the costs for the 2007-2013 period, while the administrative burd</w:t>
      </w:r>
      <w:r>
        <w:rPr>
          <w:rFonts w:ascii="Times New Roman" w:hAnsi="Times New Roman" w:cs="Times New Roman"/>
          <w:spacing w:val="-1"/>
          <w:sz w:val="18"/>
          <w:szCs w:val="18"/>
        </w:rPr>
        <w:t xml:space="preserve">en for beneficiaries would be reduced by 6 %. </w:t>
      </w:r>
    </w:p>
  </w:footnote>
  <w:footnote w:id="131">
    <w:p w:rsidR="003A1527" w:rsidRDefault="00742A12">
      <w:pPr>
        <w:pStyle w:val="FootnoteText"/>
        <w:spacing w:after="0" w:line="240" w:lineRule="auto"/>
        <w:ind w:left="0" w:firstLine="0"/>
        <w:rPr>
          <w:rFonts w:cs="Times New Roman"/>
          <w:szCs w:val="18"/>
        </w:rPr>
      </w:pPr>
      <w:r>
        <w:rPr>
          <w:rStyle w:val="FootnoteReference"/>
          <w:rFonts w:cs="Times New Roman"/>
          <w:szCs w:val="18"/>
        </w:rPr>
        <w:footnoteRef/>
      </w:r>
      <w:r>
        <w:rPr>
          <w:rFonts w:cs="Times New Roman"/>
          <w:szCs w:val="18"/>
        </w:rPr>
        <w:t xml:space="preserve"> See section 6.12 of the European Court of Auditors 2016 annual report: </w:t>
      </w:r>
      <w:hyperlink r:id="rId26" w:history="1">
        <w:r>
          <w:rPr>
            <w:rStyle w:val="Hyperlink"/>
            <w:rFonts w:cs="Times New Roman"/>
            <w:color w:val="auto"/>
            <w:szCs w:val="18"/>
          </w:rPr>
          <w:t>https://www.eca.europa.eu/en/Pages/DocItem.aspx?did=41732</w:t>
        </w:r>
      </w:hyperlink>
      <w:r>
        <w:rPr>
          <w:rFonts w:cs="Times New Roman"/>
          <w:szCs w:val="18"/>
        </w:rPr>
        <w:t xml:space="preserve"> </w:t>
      </w:r>
    </w:p>
  </w:footnote>
  <w:footnote w:id="132">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As recognised by the high-level group on simplification when concluding on SCOs: </w:t>
      </w:r>
      <w:hyperlink r:id="rId27" w:history="1">
        <w:r>
          <w:rPr>
            <w:rStyle w:val="Hyperlink"/>
            <w:rFonts w:cs="Times New Roman"/>
            <w:color w:val="auto"/>
            <w:szCs w:val="18"/>
          </w:rPr>
          <w:t>https://ec.europa.eu/</w:t>
        </w:r>
        <w:r>
          <w:rPr>
            <w:rStyle w:val="Hyperlink"/>
            <w:rFonts w:cs="Times New Roman"/>
            <w:color w:val="auto"/>
            <w:szCs w:val="18"/>
          </w:rPr>
          <w:t>futurium/en/system/files/ged/hlg_15_0012_00_conclusions_and_recommendations_on_simplified_costs_options_final_1.pdf</w:t>
        </w:r>
      </w:hyperlink>
      <w:r>
        <w:rPr>
          <w:rFonts w:cs="Times New Roman"/>
          <w:szCs w:val="18"/>
        </w:rPr>
        <w:t xml:space="preserve"> </w:t>
      </w:r>
    </w:p>
  </w:footnote>
  <w:footnote w:id="13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‘Omnibus’ regulation revising the CPR and ESF Regulation, status March 2018: agreed by the co-legislators but still undergoing revision b</w:t>
      </w:r>
      <w:r>
        <w:rPr>
          <w:rFonts w:cs="Times New Roman"/>
          <w:szCs w:val="18"/>
        </w:rPr>
        <w:t>y the lawyer-linguists, planned adoption June 2018.</w:t>
      </w:r>
    </w:p>
  </w:footnote>
  <w:footnote w:id="134">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See study to support the impact assessment of human capital investments, DG EMPL (ongoing) </w:t>
      </w:r>
    </w:p>
  </w:footnote>
  <w:footnote w:id="135">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p>
  </w:footnote>
  <w:footnote w:id="136">
    <w:p w:rsidR="003A1527" w:rsidRDefault="00742A12">
      <w:pPr>
        <w:pStyle w:val="FootnoteText"/>
        <w:ind w:left="0" w:firstLine="0"/>
        <w:jc w:val="both"/>
      </w:pPr>
      <w:r>
        <w:rPr>
          <w:rStyle w:val="FootnoteReference"/>
        </w:rPr>
        <w:footnoteRef/>
      </w:r>
      <w:r>
        <w:t xml:space="preserve"> Better Regulation Guidelines, SWD(2017)350: https://ec.europa.eu/info/sites/info/files/better-regulation-guidelines.pdf</w:t>
      </w:r>
    </w:p>
    <w:p w:rsidR="003A1527" w:rsidRDefault="003A1527">
      <w:pPr>
        <w:pStyle w:val="FootnoteText"/>
      </w:pPr>
    </w:p>
  </w:footnote>
  <w:footnote w:id="137">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DG EMPL funds were included in the following four clusters: cohesion; migration; values and mobility; investment, research &amp; innovat</w:t>
      </w:r>
      <w:r>
        <w:rPr>
          <w:rFonts w:cs="Times New Roman"/>
          <w:szCs w:val="18"/>
        </w:rPr>
        <w:t>ion, SMEs &amp; single market.</w:t>
      </w:r>
    </w:p>
  </w:footnote>
  <w:footnote w:id="138">
    <w:p w:rsidR="003A1527" w:rsidRDefault="00742A12">
      <w:pPr>
        <w:pStyle w:val="FootnoteText"/>
        <w:spacing w:after="0" w:line="240" w:lineRule="auto"/>
        <w:ind w:left="0" w:firstLine="0"/>
        <w:rPr>
          <w:rFonts w:cs="Times New Roman"/>
          <w:szCs w:val="18"/>
        </w:rPr>
      </w:pPr>
      <w:r>
        <w:rPr>
          <w:rStyle w:val="FootnoteReference"/>
          <w:rFonts w:cs="Times New Roman"/>
          <w:szCs w:val="18"/>
        </w:rPr>
        <w:footnoteRef/>
      </w:r>
      <w:r>
        <w:rPr>
          <w:rFonts w:cs="Times New Roman"/>
          <w:szCs w:val="18"/>
        </w:rPr>
        <w:t>http://ec.europa.eu/social/main.jsp?langId=en&amp;catId=699&amp;consultId=24&amp;visib=0&amp;furtherConsult=yes&amp;path=cms&amp;preview=cHJldkVtcGxQb3J0YWwhMjAxMjAyMTVwcmV2aWV3</w:t>
      </w:r>
    </w:p>
  </w:footnote>
  <w:footnote w:id="139">
    <w:p w:rsidR="003A1527" w:rsidRDefault="00742A12">
      <w:pPr>
        <w:pStyle w:val="FootnoteText"/>
        <w:spacing w:after="0" w:line="240" w:lineRule="auto"/>
        <w:ind w:left="0" w:firstLine="0"/>
        <w:rPr>
          <w:rFonts w:cs="Times New Roman"/>
          <w:szCs w:val="18"/>
        </w:rPr>
      </w:pPr>
      <w:r>
        <w:rPr>
          <w:rStyle w:val="FootnoteReference"/>
          <w:rFonts w:cs="Times New Roman"/>
          <w:szCs w:val="18"/>
        </w:rPr>
        <w:footnoteRef/>
      </w:r>
      <w:r>
        <w:rPr>
          <w:rFonts w:cs="Times New Roman"/>
          <w:szCs w:val="18"/>
        </w:rPr>
        <w:t xml:space="preserve"> Investing in policy reforms; Pathways to employment; Synergies between E</w:t>
      </w:r>
      <w:r>
        <w:rPr>
          <w:rFonts w:cs="Times New Roman"/>
          <w:szCs w:val="18"/>
        </w:rPr>
        <w:t>MPL funds; Social inclusion, Learning and working beyond borders; New ways of work; Education and skills; Performance, results and partnership.</w:t>
      </w:r>
    </w:p>
  </w:footnote>
  <w:footnote w:id="140">
    <w:p w:rsidR="003A1527" w:rsidRDefault="00742A12">
      <w:pPr>
        <w:pStyle w:val="FootnoteText"/>
        <w:spacing w:after="0" w:line="240" w:lineRule="auto"/>
        <w:rPr>
          <w:rFonts w:cs="Times New Roman"/>
          <w:szCs w:val="18"/>
        </w:rPr>
      </w:pPr>
      <w:r>
        <w:rPr>
          <w:rStyle w:val="FootnoteReference"/>
          <w:rFonts w:cs="Times New Roman"/>
          <w:szCs w:val="18"/>
        </w:rPr>
        <w:footnoteRef/>
      </w:r>
      <w:r>
        <w:rPr>
          <w:rFonts w:cs="Times New Roman"/>
          <w:szCs w:val="18"/>
        </w:rPr>
        <w:t xml:space="preserve"> Around 10% of replies were identified as being part of a campaign.</w:t>
      </w:r>
    </w:p>
  </w:footnote>
  <w:footnote w:id="141">
    <w:p w:rsidR="003A1527" w:rsidRDefault="00742A12">
      <w:pPr>
        <w:pStyle w:val="FootnoteText"/>
        <w:ind w:left="0" w:firstLine="0"/>
        <w:rPr>
          <w:rFonts w:cs="Times New Roman"/>
          <w:szCs w:val="18"/>
        </w:rPr>
      </w:pPr>
      <w:r>
        <w:rPr>
          <w:rStyle w:val="FootnoteReference"/>
          <w:rFonts w:cs="Times New Roman"/>
          <w:szCs w:val="18"/>
        </w:rPr>
        <w:footnoteRef/>
      </w:r>
      <w:r>
        <w:rPr>
          <w:rFonts w:cs="Times New Roman"/>
          <w:szCs w:val="18"/>
        </w:rPr>
        <w:t xml:space="preserve"> Workshop (WS) 1 Investment in policy refo</w:t>
      </w:r>
      <w:r>
        <w:rPr>
          <w:rFonts w:cs="Times New Roman"/>
          <w:szCs w:val="18"/>
        </w:rPr>
        <w:t>rms: EAV and linking funds and Semester; WS2 Pathways to employment; WS3 Social inclusion; WS4 Synergies and complementarities; WS5 Working beyond borders; WS6 New Ways of Work and Work-Life balance; WS7 Education and skills; WS8 Partnership for results.</w:t>
      </w:r>
    </w:p>
  </w:footnote>
  <w:footnote w:id="142">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28" w:history="1">
        <w:r>
          <w:rPr>
            <w:rStyle w:val="Hyperlink"/>
            <w:rFonts w:cs="Times New Roman"/>
            <w:color w:val="auto"/>
            <w:szCs w:val="18"/>
          </w:rPr>
          <w:t>http://ec.europa.eu/social/BlobServlet?docId=16861&amp;langId=en</w:t>
        </w:r>
      </w:hyperlink>
      <w:r>
        <w:rPr>
          <w:rFonts w:cs="Times New Roman"/>
          <w:szCs w:val="18"/>
        </w:rPr>
        <w:t xml:space="preserve">. </w:t>
      </w:r>
    </w:p>
  </w:footnote>
  <w:footnote w:id="143">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i/>
        </w:rPr>
        <w:t>Ex-post evaluation of the 2007-2013 ESF Programmes</w:t>
      </w:r>
      <w:r>
        <w:rPr>
          <w:rFonts w:cs="Times New Roman"/>
          <w:szCs w:val="18"/>
        </w:rPr>
        <w:t>, Commission Staff Working Document (SWD(2016)452 final, 12.12.</w:t>
      </w:r>
      <w:r>
        <w:rPr>
          <w:rFonts w:cs="Times New Roman"/>
          <w:szCs w:val="18"/>
        </w:rPr>
        <w:t>2016)</w:t>
      </w:r>
    </w:p>
  </w:footnote>
  <w:footnote w:id="14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r>
        <w:rPr>
          <w:rFonts w:cs="Times New Roman"/>
          <w:szCs w:val="18"/>
        </w:rPr>
        <w:t xml:space="preserve"> </w:t>
      </w:r>
    </w:p>
  </w:footnote>
  <w:footnote w:id="14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r>
        <w:rPr>
          <w:rFonts w:cs="Times New Roman"/>
          <w:szCs w:val="18"/>
        </w:rPr>
        <w:t xml:space="preserve"> </w:t>
      </w:r>
    </w:p>
  </w:footnote>
  <w:footnote w:id="14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p>
  </w:footnote>
  <w:footnote w:id="147">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Study on the implementation of the provisions in relation to the </w:t>
      </w:r>
      <w:r>
        <w:rPr>
          <w:rFonts w:cs="Times New Roman"/>
          <w:i/>
          <w:szCs w:val="18"/>
        </w:rPr>
        <w:t>ex-ante</w:t>
      </w:r>
      <w:r>
        <w:rPr>
          <w:rFonts w:cs="Times New Roman"/>
          <w:szCs w:val="18"/>
        </w:rPr>
        <w:t xml:space="preserve"> conditionalities during the programming phase of the ESI funds, European Commission (July 2016);</w:t>
      </w:r>
    </w:p>
  </w:footnote>
  <w:footnote w:id="148">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Ex-post evaluation of the 2007-2013 ESF Programmes</w:t>
      </w:r>
      <w:r>
        <w:rPr>
          <w:rFonts w:cs="Times New Roman"/>
          <w:szCs w:val="18"/>
        </w:rPr>
        <w:t xml:space="preserve">, </w:t>
      </w:r>
      <w:r>
        <w:rPr>
          <w:rFonts w:cs="Times New Roman"/>
          <w:szCs w:val="18"/>
        </w:rPr>
        <w:t>Commission Staff Working Document (SWD(2016)452 final, 12.12.2016)</w:t>
      </w:r>
    </w:p>
  </w:footnote>
  <w:footnote w:id="149">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Sixth</w:t>
      </w:r>
      <w:r>
        <w:rPr>
          <w:i/>
        </w:rPr>
        <w:t xml:space="preserve"> report on economic, social and territorial convergence</w:t>
      </w:r>
      <w:r>
        <w:rPr>
          <w:rFonts w:cs="Times New Roman"/>
          <w:szCs w:val="18"/>
        </w:rPr>
        <w:t>, European Commission (2014)</w:t>
      </w:r>
    </w:p>
  </w:footnote>
  <w:footnote w:id="150">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Ex-post evaluation of the 2007-2013 ESF Programmes</w:t>
      </w:r>
      <w:r>
        <w:rPr>
          <w:rFonts w:cs="Times New Roman"/>
          <w:szCs w:val="18"/>
        </w:rPr>
        <w:t xml:space="preserve">, Commission Staff Working Document </w:t>
      </w:r>
      <w:r>
        <w:rPr>
          <w:rFonts w:cs="Times New Roman"/>
          <w:szCs w:val="18"/>
        </w:rPr>
        <w:t>(SWD(2016)452 final, 12.12.2016)</w:t>
      </w:r>
    </w:p>
  </w:footnote>
  <w:footnote w:id="151">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Study on the support of ESI Funds to the implementation of the Country Specific Recommendations and to structural reforms in Member States.</w:t>
      </w:r>
    </w:p>
  </w:footnote>
  <w:footnote w:id="152">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Final conclusions and recommendations of the High Level Group on Simplification</w:t>
      </w:r>
      <w:r>
        <w:rPr>
          <w:rFonts w:cs="Times New Roman"/>
          <w:szCs w:val="18"/>
        </w:rPr>
        <w:t xml:space="preserve"> for post 2020, pp.12-13, </w:t>
      </w:r>
      <w:hyperlink r:id="rId29" w:history="1">
        <w:r>
          <w:rPr>
            <w:rStyle w:val="Hyperlink"/>
            <w:rFonts w:cs="Times New Roman"/>
            <w:color w:val="auto"/>
            <w:szCs w:val="18"/>
          </w:rPr>
          <w:t>http://ec.europa.eu/regional_policy/sources/newsroom/pdf/simplification_proposals.pdf</w:t>
        </w:r>
      </w:hyperlink>
      <w:r>
        <w:rPr>
          <w:rFonts w:cs="Times New Roman"/>
          <w:szCs w:val="18"/>
        </w:rPr>
        <w:t xml:space="preserve">. </w:t>
      </w:r>
    </w:p>
  </w:footnote>
  <w:footnote w:id="153">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Ibid</w:t>
      </w:r>
    </w:p>
  </w:footnote>
  <w:footnote w:id="15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i/>
          <w:szCs w:val="18"/>
        </w:rPr>
        <w:t xml:space="preserve">Ex-post evaluation of the </w:t>
      </w:r>
      <w:r>
        <w:rPr>
          <w:rFonts w:cs="Times New Roman"/>
          <w:i/>
          <w:szCs w:val="18"/>
        </w:rPr>
        <w:t>2007-2013 ESF Programmes</w:t>
      </w:r>
      <w:r>
        <w:rPr>
          <w:rFonts w:cs="Times New Roman"/>
          <w:szCs w:val="18"/>
        </w:rPr>
        <w:t>, Commission Staff Working Document (SWD(2016)452 final, 12.12.2016), Section 6.3.</w:t>
      </w:r>
    </w:p>
  </w:footnote>
  <w:footnote w:id="155">
    <w:p w:rsidR="003A1527" w:rsidRPr="00742A12" w:rsidRDefault="00742A12">
      <w:pPr>
        <w:pStyle w:val="FootnoteText"/>
        <w:spacing w:after="0" w:line="240" w:lineRule="auto"/>
        <w:jc w:val="both"/>
        <w:rPr>
          <w:lang w:val="fr-BE"/>
        </w:rPr>
      </w:pPr>
      <w:r>
        <w:rPr>
          <w:rStyle w:val="FootnoteReference"/>
          <w:rFonts w:cs="Times New Roman"/>
          <w:szCs w:val="18"/>
        </w:rPr>
        <w:footnoteRef/>
      </w:r>
      <w:r w:rsidRPr="00742A12">
        <w:rPr>
          <w:lang w:val="fr-BE"/>
        </w:rPr>
        <w:t xml:space="preserve"> Article 50(5) Common Provisions Regulation (EU) No 1303/2013</w:t>
      </w:r>
    </w:p>
  </w:footnote>
  <w:footnote w:id="156">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i/>
          <w:szCs w:val="18"/>
        </w:rPr>
        <w:t xml:space="preserve">Seventh Report on Economic, Social and Territorial Cohesion, </w:t>
      </w:r>
      <w:r>
        <w:rPr>
          <w:rFonts w:cs="Times New Roman"/>
          <w:szCs w:val="18"/>
        </w:rPr>
        <w:t>European Commission (201</w:t>
      </w:r>
      <w:r>
        <w:rPr>
          <w:rFonts w:cs="Times New Roman"/>
          <w:szCs w:val="18"/>
        </w:rPr>
        <w:t>7),    http://ec.europa.eu/regional_policy/en/information/cohesion-report/</w:t>
      </w:r>
    </w:p>
  </w:footnote>
  <w:footnote w:id="157">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w:t>
      </w:r>
      <w:hyperlink r:id="rId30" w:history="1">
        <w:r>
          <w:rPr>
            <w:rStyle w:val="Hyperlink"/>
            <w:rFonts w:cs="Times New Roman"/>
            <w:color w:val="auto"/>
            <w:szCs w:val="18"/>
          </w:rPr>
          <w:t>http://ec.europa.eu/esf/BlobServlet?docId=457&amp;langId=en</w:t>
        </w:r>
      </w:hyperlink>
      <w:r>
        <w:rPr>
          <w:rFonts w:cs="Times New Roman"/>
          <w:szCs w:val="18"/>
        </w:rPr>
        <w:t xml:space="preserve"> </w:t>
      </w:r>
    </w:p>
  </w:footnote>
  <w:footnote w:id="158">
    <w:p w:rsidR="003A1527" w:rsidRDefault="00742A12">
      <w:pPr>
        <w:pStyle w:val="FootnoteText"/>
        <w:spacing w:after="0" w:line="240" w:lineRule="auto"/>
        <w:ind w:left="0" w:firstLine="0"/>
        <w:rPr>
          <w:rFonts w:cs="Times New Roman"/>
          <w:szCs w:val="18"/>
        </w:rPr>
      </w:pPr>
      <w:r>
        <w:rPr>
          <w:rStyle w:val="FootnoteReference"/>
          <w:rFonts w:cs="Times New Roman"/>
          <w:szCs w:val="18"/>
        </w:rPr>
        <w:footnoteRef/>
      </w:r>
      <w:r>
        <w:rPr>
          <w:rFonts w:cs="Times New Roman"/>
          <w:szCs w:val="18"/>
        </w:rPr>
        <w:t xml:space="preserve"> European Parliament, Committee on Employment and</w:t>
      </w:r>
      <w:r>
        <w:rPr>
          <w:rFonts w:cs="Times New Roman"/>
          <w:szCs w:val="18"/>
        </w:rPr>
        <w:t xml:space="preserve"> Social Affairs, Report on the implementation of the Youth Employment Initiative in the Member States (2017/2039(INI)) </w:t>
      </w:r>
      <w:hyperlink r:id="rId31" w:history="1">
        <w:r>
          <w:rPr>
            <w:rStyle w:val="Hyperlink"/>
            <w:rFonts w:cs="Times New Roman"/>
            <w:color w:val="auto"/>
            <w:szCs w:val="18"/>
          </w:rPr>
          <w:t>http://www.europarl</w:t>
        </w:r>
        <w:r>
          <w:rPr>
            <w:rStyle w:val="Hyperlink"/>
            <w:rFonts w:cs="Times New Roman"/>
            <w:color w:val="auto"/>
            <w:szCs w:val="18"/>
          </w:rPr>
          <w:t>.europa.eu/sides/getDoc.do?pubRef=-//EP//TEXT+REPORT+A8-2017-0406+0+DOC+XML+V0//EN</w:t>
        </w:r>
      </w:hyperlink>
      <w:r>
        <w:rPr>
          <w:rFonts w:cs="Times New Roman"/>
          <w:szCs w:val="18"/>
        </w:rPr>
        <w:t xml:space="preserve">. </w:t>
      </w:r>
    </w:p>
  </w:footnote>
  <w:footnote w:id="159">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Study supporting the impact assessment of human capital investments, European Commission (ongoing).</w:t>
      </w:r>
    </w:p>
  </w:footnote>
  <w:footnote w:id="160">
    <w:p w:rsidR="003A1527" w:rsidRDefault="00742A12">
      <w:pPr>
        <w:pStyle w:val="FootnoteText"/>
        <w:spacing w:after="0"/>
        <w:ind w:left="142" w:hanging="142"/>
        <w:rPr>
          <w:rFonts w:cs="Times New Roman"/>
          <w:szCs w:val="18"/>
        </w:rPr>
      </w:pPr>
      <w:r>
        <w:rPr>
          <w:rStyle w:val="FootnoteReference"/>
          <w:rFonts w:cs="Times New Roman"/>
          <w:szCs w:val="18"/>
        </w:rPr>
        <w:footnoteRef/>
      </w:r>
      <w:r>
        <w:rPr>
          <w:rFonts w:cs="Times New Roman"/>
          <w:szCs w:val="18"/>
        </w:rPr>
        <w:t xml:space="preserve"> </w:t>
      </w:r>
      <w:r>
        <w:rPr>
          <w:i/>
        </w:rPr>
        <w:t xml:space="preserve">The Youth Guarantee and the Youth Employment Initiative </w:t>
      </w:r>
      <w:r>
        <w:rPr>
          <w:rFonts w:cs="Times New Roman"/>
          <w:i/>
          <w:szCs w:val="18"/>
        </w:rPr>
        <w:t>three years</w:t>
      </w:r>
      <w:r>
        <w:rPr>
          <w:rFonts w:cs="Times New Roman"/>
          <w:i/>
          <w:szCs w:val="18"/>
        </w:rPr>
        <w:t xml:space="preserve"> on</w:t>
      </w:r>
      <w:r>
        <w:rPr>
          <w:rFonts w:cs="Times New Roman"/>
          <w:szCs w:val="18"/>
        </w:rPr>
        <w:t>, European Commission (2016), SWD(2016) 323 final</w:t>
      </w:r>
    </w:p>
  </w:footnote>
  <w:footnote w:id="161">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European Court of Auditors (2017), Special report No 5/2017: Youth unemployment – have EU policies made a difference? , available at: </w:t>
      </w:r>
      <w:hyperlink r:id="rId32" w:history="1">
        <w:r>
          <w:rPr>
            <w:rStyle w:val="Hyperlink"/>
            <w:rFonts w:cs="Times New Roman"/>
            <w:color w:val="auto"/>
            <w:szCs w:val="18"/>
          </w:rPr>
          <w:t>https://www.eca.europa.eu/en/Pages/DocItem.aspx?did=41096</w:t>
        </w:r>
      </w:hyperlink>
      <w:r>
        <w:rPr>
          <w:rFonts w:cs="Times New Roman"/>
          <w:szCs w:val="18"/>
        </w:rPr>
        <w:t xml:space="preserve">. </w:t>
      </w:r>
    </w:p>
  </w:footnote>
  <w:footnote w:id="162">
    <w:p w:rsidR="003A1527" w:rsidRDefault="00742A12">
      <w:pPr>
        <w:pStyle w:val="FootnoteText"/>
        <w:spacing w:after="0" w:line="240" w:lineRule="auto"/>
        <w:ind w:left="0" w:hanging="11"/>
        <w:jc w:val="both"/>
        <w:rPr>
          <w:rFonts w:cs="Times New Roman"/>
          <w:szCs w:val="18"/>
        </w:rPr>
      </w:pPr>
      <w:r>
        <w:rPr>
          <w:rStyle w:val="FootnoteReference"/>
          <w:rFonts w:cs="Times New Roman"/>
          <w:szCs w:val="18"/>
        </w:rPr>
        <w:footnoteRef/>
      </w:r>
      <w:r>
        <w:rPr>
          <w:rFonts w:cs="Times New Roman"/>
          <w:szCs w:val="18"/>
        </w:rPr>
        <w:t xml:space="preserve"> Report on the Open public consultation for the FEAD mid-term evaluation, January 2018 available at </w:t>
      </w:r>
      <w:hyperlink r:id="rId33" w:history="1">
        <w:r>
          <w:rPr>
            <w:rStyle w:val="Hyperlink"/>
            <w:rFonts w:cs="Times New Roman"/>
            <w:color w:val="auto"/>
            <w:szCs w:val="18"/>
          </w:rPr>
          <w:t>https://publications.europa.eu/s/f</w:t>
        </w:r>
        <w:r>
          <w:rPr>
            <w:rStyle w:val="Hyperlink"/>
            <w:rFonts w:cs="Times New Roman"/>
            <w:color w:val="auto"/>
            <w:szCs w:val="18"/>
          </w:rPr>
          <w:t>o2y</w:t>
        </w:r>
      </w:hyperlink>
      <w:r>
        <w:rPr>
          <w:rFonts w:cs="Times New Roman"/>
          <w:szCs w:val="18"/>
        </w:rPr>
        <w:t xml:space="preserve"> </w:t>
      </w:r>
    </w:p>
  </w:footnote>
  <w:footnote w:id="163">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http://ec.europa.eu/social/main.jsp?catId=1207&amp;langId=en</w:t>
      </w:r>
    </w:p>
  </w:footnote>
  <w:footnote w:id="164">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EGF mid-term evaluation was subject to scrutiny by the RSB. The RSB has issued a negative opinion on the draft SWD. The RSB's comments have been taken into account to the extent possible</w:t>
      </w:r>
      <w:r>
        <w:rPr>
          <w:rFonts w:cs="Times New Roman"/>
          <w:szCs w:val="18"/>
        </w:rPr>
        <w:t xml:space="preserve"> (see Annex I of the SWD on the EGF mid-term evaluation, SWD(2018)192 final, 16.5.2018). </w:t>
      </w:r>
    </w:p>
  </w:footnote>
  <w:footnote w:id="165">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‘Omnibus’ Regulation, status March 2018: agreed by the co-legislators but still undergoing revision by the lawyer-linguists, planned adoption June 2018</w:t>
      </w:r>
    </w:p>
  </w:footnote>
  <w:footnote w:id="166">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See study </w:t>
      </w:r>
      <w:r>
        <w:rPr>
          <w:rFonts w:cs="Times New Roman"/>
          <w:szCs w:val="18"/>
        </w:rPr>
        <w:t>to support the impact assessment of human capital investments, DG EMPL, ongoing</w:t>
      </w:r>
    </w:p>
  </w:footnote>
  <w:footnote w:id="167">
    <w:p w:rsidR="003A1527" w:rsidRDefault="00742A12">
      <w:pPr>
        <w:pStyle w:val="FootnoteText"/>
        <w:spacing w:after="0" w:line="240" w:lineRule="auto"/>
        <w:jc w:val="both"/>
        <w:rPr>
          <w:rFonts w:cs="Times New Roman"/>
          <w:szCs w:val="18"/>
        </w:rPr>
      </w:pPr>
      <w:r>
        <w:rPr>
          <w:rStyle w:val="FootnoteReference"/>
          <w:rFonts w:cs="Times New Roman"/>
          <w:szCs w:val="18"/>
        </w:rPr>
        <w:footnoteRef/>
      </w:r>
      <w:r>
        <w:rPr>
          <w:rFonts w:cs="Times New Roman"/>
          <w:szCs w:val="18"/>
        </w:rPr>
        <w:t xml:space="preserve"> https://europa.eu/investeu/home_en</w:t>
      </w:r>
    </w:p>
  </w:footnote>
  <w:footnote w:id="168">
    <w:p w:rsidR="003A1527" w:rsidRDefault="00742A12">
      <w:pPr>
        <w:pStyle w:val="FootnoteText"/>
        <w:spacing w:after="0" w:line="240" w:lineRule="auto"/>
        <w:ind w:left="0" w:firstLine="0"/>
        <w:jc w:val="both"/>
        <w:rPr>
          <w:rFonts w:cs="Times New Roman"/>
          <w:szCs w:val="18"/>
        </w:rPr>
      </w:pPr>
      <w:r>
        <w:rPr>
          <w:rStyle w:val="FootnoteReference"/>
          <w:rFonts w:cs="Times New Roman"/>
          <w:szCs w:val="18"/>
        </w:rPr>
        <w:footnoteRef/>
      </w:r>
      <w:r>
        <w:rPr>
          <w:rFonts w:cs="Times New Roman"/>
          <w:szCs w:val="18"/>
        </w:rPr>
        <w:t xml:space="preserve"> The Seal of Excellence is currently awarded to above-quality threshold, unfunded proposals who applied to the SME Instrument, Marie Skłod</w:t>
      </w:r>
      <w:r>
        <w:rPr>
          <w:rFonts w:cs="Times New Roman"/>
          <w:szCs w:val="18"/>
        </w:rPr>
        <w:t>owska-Curie actions (MSCA) Individual Fellowships or Teaming under the Horizon 2020 programme.</w:t>
      </w:r>
    </w:p>
  </w:footnote>
  <w:footnote w:id="169">
    <w:p w:rsidR="003A1527" w:rsidRDefault="00742A12">
      <w:pPr>
        <w:pStyle w:val="FootnoteText"/>
        <w:rPr>
          <w:rFonts w:cs="Times New Roman"/>
          <w:szCs w:val="18"/>
          <w:lang w:val="fr-BE"/>
        </w:rPr>
      </w:pPr>
      <w:r>
        <w:rPr>
          <w:rStyle w:val="FootnoteReference"/>
          <w:rFonts w:cs="Times New Roman"/>
          <w:szCs w:val="18"/>
        </w:rPr>
        <w:footnoteRef/>
      </w:r>
      <w:r>
        <w:rPr>
          <w:rFonts w:cs="Times New Roman"/>
          <w:szCs w:val="18"/>
          <w:lang w:val="fr-BE"/>
        </w:rPr>
        <w:t xml:space="preserve"> Marie Skłodowska-Curie actions (MSCA)</w:t>
      </w:r>
    </w:p>
  </w:footnote>
  <w:footnote w:id="170">
    <w:p w:rsidR="003A1527" w:rsidRDefault="00742A12">
      <w:pPr>
        <w:pStyle w:val="FootnoteText"/>
        <w:ind w:left="0" w:firstLine="0"/>
        <w:jc w:val="both"/>
        <w:rPr>
          <w:rFonts w:cs="Times New Roman"/>
          <w:szCs w:val="18"/>
        </w:rPr>
      </w:pPr>
      <w:r>
        <w:rPr>
          <w:rStyle w:val="FootnoteReference"/>
          <w:rFonts w:cs="Times New Roman"/>
          <w:szCs w:val="18"/>
        </w:rPr>
        <w:footnoteRef/>
      </w:r>
      <w:r>
        <w:rPr>
          <w:rFonts w:cs="Times New Roman"/>
          <w:szCs w:val="18"/>
        </w:rPr>
        <w:t xml:space="preserve"> Article 174 TFEU refers to reducing disparities between the levels of development of various regions, with a particular attention, among others, to rural areas</w:t>
      </w:r>
    </w:p>
  </w:footnote>
  <w:footnote w:id="171">
    <w:p w:rsidR="003A1527" w:rsidRDefault="00742A12">
      <w:pPr>
        <w:pStyle w:val="FootnoteText"/>
        <w:spacing w:after="0" w:line="240" w:lineRule="auto"/>
      </w:pPr>
      <w:r>
        <w:rPr>
          <w:rStyle w:val="FootnoteReference"/>
        </w:rPr>
        <w:footnoteRef/>
      </w:r>
      <w:r>
        <w:t xml:space="preserve"> See at </w:t>
      </w:r>
      <w:hyperlink r:id="rId34" w:history="1">
        <w:r>
          <w:rPr>
            <w:rStyle w:val="Hyperlink"/>
          </w:rPr>
          <w:t>https://ec.europa.eu/health/funding/programme/2014-2020/midterm_evaluation_en</w:t>
        </w:r>
      </w:hyperlink>
    </w:p>
  </w:footnote>
  <w:footnote w:id="172">
    <w:p w:rsidR="003A1527" w:rsidRDefault="00742A12">
      <w:pPr>
        <w:pStyle w:val="FootnoteText"/>
        <w:spacing w:after="0" w:line="240" w:lineRule="auto"/>
        <w:ind w:left="0" w:firstLine="0"/>
      </w:pPr>
      <w:r>
        <w:rPr>
          <w:rStyle w:val="FootnoteReference"/>
        </w:rPr>
        <w:footnoteRef/>
      </w:r>
      <w:r>
        <w:t xml:space="preserve"> This </w:t>
      </w:r>
      <w:r>
        <w:rPr>
          <w:szCs w:val="24"/>
        </w:rPr>
        <w:t>allows for exceptional co-funding up to 80% to all participants in the action under specific criteria mentioned in the legal basis (Regulation (EC) N° 282/2014 , A</w:t>
      </w:r>
      <w:r>
        <w:rPr>
          <w:szCs w:val="24"/>
        </w:rPr>
        <w:t>rticle 7 (3) and in the Annual Work Programmes.</w:t>
      </w:r>
    </w:p>
  </w:footnote>
  <w:footnote w:id="173">
    <w:p w:rsidR="003A1527" w:rsidRDefault="00742A12">
      <w:pPr>
        <w:pStyle w:val="FootnoteText"/>
      </w:pPr>
      <w:r>
        <w:rPr>
          <w:rStyle w:val="FootnoteReference"/>
        </w:rPr>
        <w:footnoteRef/>
      </w:r>
      <w:r>
        <w:t xml:space="preserve"> The results of the consultation activities are presented in the Annex V of the SWD (2017) 331 final of 11.10.2017)</w:t>
      </w:r>
    </w:p>
  </w:footnote>
  <w:footnote w:id="174">
    <w:p w:rsidR="003A1527" w:rsidRDefault="00742A12">
      <w:pPr>
        <w:pStyle w:val="FootnoteText"/>
        <w:spacing w:after="0" w:line="240" w:lineRule="auto"/>
        <w:ind w:left="0" w:firstLine="0"/>
        <w:jc w:val="both"/>
      </w:pPr>
      <w:r>
        <w:rPr>
          <w:rStyle w:val="FootnoteReference"/>
        </w:rPr>
        <w:footnoteRef/>
      </w:r>
      <w:r>
        <w:t xml:space="preserve"> The results of the Open Public Consultation are publicly available on: https://ec.europa.</w:t>
      </w:r>
      <w:r>
        <w:t>eu/health/funding/consultations/midterm_evaluation_en</w:t>
      </w:r>
    </w:p>
  </w:footnote>
  <w:footnote w:id="175">
    <w:p w:rsidR="003A1527" w:rsidRDefault="00742A12">
      <w:pPr>
        <w:pStyle w:val="FootnoteText"/>
        <w:spacing w:after="0" w:line="240" w:lineRule="auto"/>
        <w:ind w:left="0" w:firstLine="0"/>
      </w:pPr>
      <w:r>
        <w:rPr>
          <w:rStyle w:val="FootnoteReference"/>
        </w:rPr>
        <w:footnoteRef/>
      </w:r>
      <w:r>
        <w:t xml:space="preserve"> OJ L86 of 21.3.2014, p. 1-13.</w:t>
      </w:r>
    </w:p>
  </w:footnote>
  <w:footnote w:id="176">
    <w:p w:rsidR="003A1527" w:rsidRDefault="00742A12">
      <w:pPr>
        <w:pStyle w:val="NormalWeb"/>
        <w:spacing w:before="0" w:beforeAutospacing="0" w:after="0" w:afterAutospacing="0" w:line="240" w:lineRule="auto"/>
        <w:jc w:val="both"/>
        <w:rPr>
          <w:rFonts w:ascii="Times New Roman,Bold" w:hAnsi="Times New Roman,Bold"/>
          <w:szCs w:val="18"/>
        </w:rPr>
      </w:pPr>
      <w:r>
        <w:rPr>
          <w:rStyle w:val="FootnoteReference"/>
          <w:sz w:val="18"/>
          <w:szCs w:val="18"/>
        </w:rPr>
        <w:footnoteRef/>
      </w:r>
      <w:r>
        <w:rPr>
          <w:sz w:val="18"/>
          <w:szCs w:val="18"/>
        </w:rPr>
        <w:t xml:space="preserve"> Proposal for a Regulation of the European Parliament and of the Council on</w:t>
      </w:r>
      <w:r>
        <w:rPr>
          <w:rFonts w:ascii="Times New Roman,Bold" w:hAnsi="Times New Roman,Bold" w:hint="eastAsia"/>
          <w:sz w:val="18"/>
          <w:szCs w:val="18"/>
        </w:rPr>
        <w:t xml:space="preserve"> health technology assessment and amending Directive 2011/24/EU </w:t>
      </w:r>
    </w:p>
    <w:p w:rsidR="003A1527" w:rsidRDefault="00742A12">
      <w:pPr>
        <w:pStyle w:val="NormalWeb"/>
        <w:spacing w:before="0" w:beforeAutospacing="0" w:after="0" w:afterAutospacing="0" w:line="240" w:lineRule="auto"/>
        <w:jc w:val="both"/>
        <w:rPr>
          <w:szCs w:val="18"/>
        </w:rPr>
      </w:pPr>
      <w:hyperlink r:id="rId35" w:history="1">
        <w:r>
          <w:rPr>
            <w:rStyle w:val="Hyperlink"/>
            <w:rFonts w:ascii="Times New Roman,Bold" w:hAnsi="Times New Roman,Bold" w:hint="eastAsia"/>
            <w:sz w:val="18"/>
            <w:szCs w:val="18"/>
          </w:rPr>
          <w:t>https://ec.europa.eu/health/sites/health/files/technology_assessment/docs/com2018_51_en.pdf</w:t>
        </w:r>
      </w:hyperlink>
      <w:r>
        <w:rPr>
          <w:rFonts w:ascii="Times New Roman,Bold" w:hAnsi="Times New Roman,Bold" w:hint="eastAsia"/>
          <w:sz w:val="18"/>
          <w:szCs w:val="18"/>
        </w:rPr>
        <w:t xml:space="preserve"> </w:t>
      </w:r>
    </w:p>
  </w:footnote>
  <w:footnote w:id="177">
    <w:p w:rsidR="003A1527" w:rsidRDefault="00742A12">
      <w:pPr>
        <w:pStyle w:val="FootnoteText"/>
        <w:spacing w:after="0" w:line="240" w:lineRule="auto"/>
      </w:pPr>
      <w:r>
        <w:rPr>
          <w:rStyle w:val="FootnoteReference"/>
        </w:rPr>
        <w:footnoteRef/>
      </w:r>
      <w:r>
        <w:t xml:space="preserve"> See above in pp. 9-10. Or See in Annex I of the Regulation (EC) N° 282/2014.</w:t>
      </w:r>
    </w:p>
  </w:footnote>
  <w:footnote w:id="178">
    <w:p w:rsidR="003A1527" w:rsidRDefault="00742A12">
      <w:pPr>
        <w:pStyle w:val="FootnoteText"/>
        <w:spacing w:after="0" w:line="240" w:lineRule="auto"/>
        <w:ind w:left="0" w:firstLine="0"/>
        <w:jc w:val="both"/>
        <w:rPr>
          <w:highlight w:val="yellow"/>
        </w:rPr>
      </w:pPr>
      <w:r>
        <w:rPr>
          <w:rStyle w:val="FootnoteReference"/>
        </w:rPr>
        <w:footnoteRef/>
      </w:r>
      <w:r>
        <w:t xml:space="preserve"> Com</w:t>
      </w:r>
      <w:r>
        <w:t xml:space="preserve">mission Report COM(2017) 586 final and Staff Working Document SWD(2017) 331 final of 11. 10. 2017. All evaluations reports including the external study are available on </w:t>
      </w:r>
      <w:hyperlink r:id="rId36" w:history="1">
        <w:r>
          <w:rPr>
            <w:rStyle w:val="Hyperlink"/>
          </w:rPr>
          <w:t>https://ec.europa.eu/health/funding/programme/2014-2020/midterm_evaluation_en</w:t>
        </w:r>
      </w:hyperlink>
    </w:p>
  </w:footnote>
  <w:footnote w:id="179">
    <w:p w:rsidR="003A1527" w:rsidRDefault="00742A12">
      <w:pPr>
        <w:pStyle w:val="FootnoteText"/>
        <w:spacing w:after="0" w:line="240" w:lineRule="auto"/>
        <w:ind w:left="0" w:firstLine="0"/>
        <w:jc w:val="both"/>
        <w:rPr>
          <w:highlight w:val="yellow"/>
        </w:rPr>
      </w:pPr>
      <w:r>
        <w:rPr>
          <w:rStyle w:val="FootnoteReference"/>
        </w:rPr>
        <w:footnoteRef/>
      </w:r>
      <w:r>
        <w:t xml:space="preserve"> Data-gathering study on the common financial framework for the management of expenditure under Regulation 282/2014</w:t>
      </w:r>
    </w:p>
  </w:footnote>
  <w:footnote w:id="180">
    <w:p w:rsidR="003A1527" w:rsidRDefault="00742A12">
      <w:pPr>
        <w:pStyle w:val="FootnoteText"/>
        <w:spacing w:after="0" w:line="240" w:lineRule="auto"/>
      </w:pPr>
      <w:r>
        <w:rPr>
          <w:rStyle w:val="FootnoteReference"/>
        </w:rPr>
        <w:footnoteRef/>
      </w:r>
      <w:r>
        <w:t xml:space="preserve"> This has to be understood as every potential crisis </w:t>
      </w:r>
      <w:r>
        <w:t>with a health dimension.</w:t>
      </w:r>
    </w:p>
  </w:footnote>
  <w:footnote w:id="181">
    <w:p w:rsidR="003A1527" w:rsidRDefault="00742A12">
      <w:pPr>
        <w:pStyle w:val="FootnoteText"/>
        <w:spacing w:after="0" w:line="240" w:lineRule="auto"/>
        <w:ind w:left="0" w:firstLine="0"/>
        <w:rPr>
          <w:sz w:val="16"/>
          <w:szCs w:val="16"/>
        </w:rPr>
      </w:pPr>
      <w:r>
        <w:rPr>
          <w:rStyle w:val="FootnoteReference"/>
        </w:rPr>
        <w:footnoteRef/>
      </w:r>
      <w:r>
        <w:t xml:space="preserve"> </w:t>
      </w:r>
      <w:r>
        <w:rPr>
          <w:sz w:val="16"/>
          <w:szCs w:val="16"/>
        </w:rPr>
        <w:t xml:space="preserve">COM(2018) 51 final  of 31.01.2018, see at </w:t>
      </w:r>
      <w:hyperlink r:id="rId37" w:history="1">
        <w:r>
          <w:rPr>
            <w:rStyle w:val="Hyperlink"/>
            <w:sz w:val="16"/>
            <w:szCs w:val="16"/>
          </w:rPr>
          <w:t>https://ec.europa.eu/health/sites/health/files/technology_assessment/docs/com2018_51final_en.pdf</w:t>
        </w:r>
      </w:hyperlink>
    </w:p>
  </w:footnote>
  <w:footnote w:id="182">
    <w:p w:rsidR="003A1527" w:rsidRDefault="00742A12">
      <w:pPr>
        <w:pStyle w:val="FootnoteText"/>
        <w:spacing w:after="0" w:line="240" w:lineRule="auto"/>
        <w:ind w:left="0" w:firstLine="0"/>
        <w:rPr>
          <w:sz w:val="16"/>
          <w:szCs w:val="16"/>
        </w:rPr>
      </w:pPr>
      <w:r>
        <w:rPr>
          <w:rStyle w:val="FootnoteReference"/>
          <w:sz w:val="16"/>
          <w:szCs w:val="16"/>
        </w:rPr>
        <w:footnoteRef/>
      </w:r>
      <w:r>
        <w:rPr>
          <w:sz w:val="16"/>
          <w:szCs w:val="16"/>
        </w:rPr>
        <w:t xml:space="preserve"> DG SANTE is in the process of establishing a best practices portal that will allow to make available these and other best practices to interested users and i</w:t>
      </w:r>
      <w:r>
        <w:rPr>
          <w:sz w:val="16"/>
          <w:szCs w:val="16"/>
        </w:rPr>
        <w:t xml:space="preserve">n particular for purposes of implementation with the help of the Steering Group on Promotion and Prevention. </w:t>
      </w:r>
    </w:p>
  </w:footnote>
  <w:footnote w:id="183">
    <w:p w:rsidR="003A1527" w:rsidRDefault="00742A12">
      <w:pPr>
        <w:pStyle w:val="FootnoteText"/>
        <w:spacing w:after="0" w:line="240" w:lineRule="auto"/>
        <w:ind w:left="0" w:firstLine="0"/>
        <w:rPr>
          <w:szCs w:val="18"/>
        </w:rPr>
      </w:pPr>
      <w:r>
        <w:rPr>
          <w:rStyle w:val="FootnoteReference"/>
          <w:szCs w:val="18"/>
        </w:rPr>
        <w:footnoteRef/>
      </w:r>
      <w:r>
        <w:rPr>
          <w:szCs w:val="18"/>
        </w:rPr>
        <w:t xml:space="preserve"> The conditions are defined in Article 7.3 of the Regulation (EU) No 282/2014 of the EP and the Council of 11 March 2014 on the establishment of </w:t>
      </w:r>
      <w:r>
        <w:rPr>
          <w:szCs w:val="18"/>
        </w:rPr>
        <w:t>a third Programme for the Union's action in the field of health (2014-2020)</w:t>
      </w:r>
    </w:p>
  </w:footnote>
  <w:footnote w:id="184">
    <w:p w:rsidR="003A1527" w:rsidRDefault="00742A12">
      <w:pPr>
        <w:pStyle w:val="FootnoteText"/>
        <w:spacing w:after="0" w:line="240" w:lineRule="auto"/>
      </w:pPr>
      <w:r>
        <w:rPr>
          <w:rStyle w:val="FootnoteReference"/>
        </w:rPr>
        <w:footnoteRef/>
      </w:r>
      <w:r>
        <w:t xml:space="preserve"> </w:t>
      </w:r>
      <w:hyperlink r:id="rId38" w:history="1">
        <w:r>
          <w:rPr>
            <w:rStyle w:val="Hyperlink"/>
          </w:rPr>
          <w:t>https://ec.europa.eu/health/state/summary_en</w:t>
        </w:r>
      </w:hyperlink>
    </w:p>
    <w:p w:rsidR="003A1527" w:rsidRDefault="003A1527">
      <w:pPr>
        <w:pStyle w:val="FootnoteText"/>
      </w:pPr>
    </w:p>
  </w:footnote>
  <w:footnote w:id="185">
    <w:p w:rsidR="003A1527" w:rsidRDefault="00742A12">
      <w:pPr>
        <w:pStyle w:val="FootnoteText"/>
      </w:pPr>
      <w:r>
        <w:rPr>
          <w:rStyle w:val="FootnoteReference"/>
        </w:rPr>
        <w:footnoteRef/>
      </w:r>
      <w:r>
        <w:t xml:space="preserve"> </w:t>
      </w:r>
      <w:r>
        <w:rPr>
          <w:sz w:val="16"/>
          <w:szCs w:val="16"/>
        </w:rPr>
        <w:t>This has to be understood as every potential crisis with a health dim</w:t>
      </w:r>
      <w:r>
        <w:rPr>
          <w:sz w:val="16"/>
          <w:szCs w:val="16"/>
        </w:rPr>
        <w:t>ension.</w:t>
      </w:r>
    </w:p>
  </w:footnote>
  <w:footnote w:id="186">
    <w:p w:rsidR="003A1527" w:rsidRDefault="00742A12">
      <w:pPr>
        <w:pStyle w:val="FootnoteText"/>
        <w:rPr>
          <w:sz w:val="14"/>
          <w:szCs w:val="14"/>
        </w:rPr>
      </w:pPr>
      <w:r>
        <w:rPr>
          <w:rStyle w:val="FootnoteReference"/>
        </w:rPr>
        <w:footnoteRef/>
      </w:r>
      <w:r>
        <w:t xml:space="preserve"> </w:t>
      </w:r>
      <w:r>
        <w:rPr>
          <w:sz w:val="14"/>
          <w:szCs w:val="14"/>
        </w:rPr>
        <w:t>To be confirmed by the responsible operational unit</w:t>
      </w:r>
    </w:p>
  </w:footnote>
  <w:footnote w:id="187">
    <w:p w:rsidR="003A1527" w:rsidRDefault="00742A12">
      <w:pPr>
        <w:pStyle w:val="FootnoteText"/>
        <w:rPr>
          <w:sz w:val="14"/>
          <w:szCs w:val="14"/>
        </w:rPr>
      </w:pPr>
      <w:r>
        <w:rPr>
          <w:rStyle w:val="FootnoteReference"/>
        </w:rPr>
        <w:footnoteRef/>
      </w:r>
      <w:r>
        <w:rPr>
          <w:sz w:val="14"/>
          <w:szCs w:val="14"/>
        </w:rPr>
        <w:t xml:space="preserve"> The detailed aggregation methodology for defining the composite indicator from the indicators requires further information and data analysis in order to be finalised</w:t>
      </w:r>
    </w:p>
  </w:footnote>
  <w:footnote w:id="188">
    <w:p w:rsidR="003A1527" w:rsidRDefault="00742A12">
      <w:pPr>
        <w:pStyle w:val="FootnoteText"/>
        <w:spacing w:after="0" w:line="240" w:lineRule="auto"/>
      </w:pPr>
      <w:r>
        <w:rPr>
          <w:rStyle w:val="FootnoteReference"/>
        </w:rPr>
        <w:footnoteRef/>
      </w:r>
      <w:r>
        <w:t xml:space="preserve"> </w:t>
      </w:r>
      <w:r>
        <w:rPr>
          <w:sz w:val="14"/>
          <w:szCs w:val="14"/>
        </w:rPr>
        <w:t>To be confirmed by respo</w:t>
      </w:r>
      <w:r>
        <w:rPr>
          <w:sz w:val="14"/>
          <w:szCs w:val="14"/>
        </w:rPr>
        <w:t xml:space="preserve">nsible operational unit: applicable only before the adoption of HTA legislation. Once HTA legislation is adopted, the relevant indicator will be addressed under the </w:t>
      </w:r>
      <w:r>
        <w:rPr>
          <w:i/>
          <w:sz w:val="14"/>
          <w:szCs w:val="14"/>
        </w:rPr>
        <w:t>Support to EU health legislation</w:t>
      </w:r>
      <w:r>
        <w:rPr>
          <w:sz w:val="14"/>
          <w:szCs w:val="14"/>
        </w:rPr>
        <w:t xml:space="preserve"> specific objective</w:t>
      </w:r>
    </w:p>
  </w:footnote>
  <w:footnote w:id="189">
    <w:p w:rsidR="003A1527" w:rsidRDefault="00742A12">
      <w:pPr>
        <w:pStyle w:val="FootnoteText"/>
        <w:spacing w:after="0" w:line="240" w:lineRule="auto"/>
      </w:pPr>
      <w:r>
        <w:rPr>
          <w:rStyle w:val="FootnoteReference"/>
        </w:rPr>
        <w:footnoteRef/>
      </w:r>
      <w:r>
        <w:rPr>
          <w:sz w:val="14"/>
          <w:szCs w:val="14"/>
        </w:rPr>
        <w:t xml:space="preserve"> Due to lack of experience, the target will be set up in 2020, when more information and data become available</w:t>
      </w:r>
    </w:p>
  </w:footnote>
  <w:footnote w:id="190">
    <w:p w:rsidR="003A1527" w:rsidRDefault="00742A12">
      <w:pPr>
        <w:pStyle w:val="FootnoteText"/>
        <w:spacing w:after="0" w:line="240" w:lineRule="auto"/>
        <w:ind w:left="0" w:firstLine="0"/>
        <w:jc w:val="both"/>
      </w:pPr>
      <w:r>
        <w:rPr>
          <w:rStyle w:val="FootnoteReference"/>
        </w:rPr>
        <w:footnoteRef/>
      </w:r>
      <w:r>
        <w:t xml:space="preserve"> The results of the consultation activities are presented in the Annex V of the SWD (2017) 331 final of 11.10.2017</w:t>
      </w:r>
    </w:p>
  </w:footnote>
  <w:footnote w:id="191">
    <w:p w:rsidR="003A1527" w:rsidRDefault="00742A12">
      <w:pPr>
        <w:pStyle w:val="FootnoteText"/>
        <w:spacing w:after="0" w:line="240" w:lineRule="auto"/>
        <w:ind w:left="0" w:firstLine="0"/>
        <w:jc w:val="both"/>
      </w:pPr>
      <w:r>
        <w:rPr>
          <w:rStyle w:val="FootnoteReference"/>
        </w:rPr>
        <w:footnoteRef/>
      </w:r>
      <w:r>
        <w:t xml:space="preserve"> The results of the Open Pub</w:t>
      </w:r>
      <w:r>
        <w:t xml:space="preserve">lic Consultation are publicly available on: </w:t>
      </w:r>
      <w:hyperlink r:id="rId39" w:history="1">
        <w:r>
          <w:rPr>
            <w:rStyle w:val="Hyperlink"/>
          </w:rPr>
          <w:t>https://ec.europa.eu/health/funding/consultations/midterm_evaluation_en</w:t>
        </w:r>
      </w:hyperlink>
    </w:p>
    <w:p w:rsidR="003A1527" w:rsidRDefault="003A1527">
      <w:pPr>
        <w:pStyle w:val="FootnoteText"/>
        <w:ind w:left="0" w:firstLine="0"/>
        <w:jc w:val="both"/>
      </w:pPr>
    </w:p>
    <w:p w:rsidR="003A1527" w:rsidRDefault="003A1527">
      <w:pPr>
        <w:pStyle w:val="FootnoteText"/>
        <w:ind w:left="0" w:firstLine="0"/>
      </w:pPr>
    </w:p>
  </w:footnote>
  <w:footnote w:id="192">
    <w:p w:rsidR="003A1527" w:rsidRDefault="00742A12">
      <w:pPr>
        <w:pStyle w:val="FootnoteText"/>
        <w:spacing w:after="0" w:line="240" w:lineRule="auto"/>
      </w:pPr>
      <w:r>
        <w:rPr>
          <w:rStyle w:val="FootnoteReference"/>
        </w:rPr>
        <w:footnoteRef/>
      </w:r>
      <w:r>
        <w:t xml:space="preserve"> https://ec.europa.eu/health/sites/health/files/p</w:t>
      </w:r>
      <w:r>
        <w:t>rogramme/docs/2014-2020_evaluation_study_en.pdf</w:t>
      </w:r>
    </w:p>
  </w:footnote>
  <w:footnote w:id="193">
    <w:p w:rsidR="003A1527" w:rsidRDefault="00742A12">
      <w:pPr>
        <w:pStyle w:val="FootnoteText"/>
        <w:spacing w:after="0" w:line="240" w:lineRule="auto"/>
        <w:ind w:left="0" w:firstLine="0"/>
      </w:pPr>
      <w:r>
        <w:rPr>
          <w:rStyle w:val="FootnoteReference"/>
        </w:rPr>
        <w:footnoteRef/>
      </w:r>
      <w:r>
        <w:t>https://ec.europa.eu/health/sites/health/files/preparedness_response/docs/report_decision_serious_crossborder_threats_22102013_en.pdf</w:t>
      </w:r>
    </w:p>
  </w:footnote>
  <w:footnote w:id="194">
    <w:p w:rsidR="003A1527" w:rsidRDefault="00742A12">
      <w:pPr>
        <w:pStyle w:val="FootnoteText"/>
        <w:spacing w:after="0" w:line="240" w:lineRule="auto"/>
      </w:pPr>
      <w:r>
        <w:rPr>
          <w:rStyle w:val="FootnoteReference"/>
        </w:rPr>
        <w:footnoteRef/>
      </w:r>
      <w:r>
        <w:t xml:space="preserve"> https://ec.europa.eu/health/sites/health/files/programme/docs/ex-post_e</w:t>
      </w:r>
      <w:r>
        <w:t>v-hp-2008-13_final-report.pdf</w:t>
      </w:r>
    </w:p>
  </w:footnote>
  <w:footnote w:id="195">
    <w:p w:rsidR="003A1527" w:rsidRDefault="00742A12">
      <w:pPr>
        <w:pStyle w:val="FootnoteText"/>
        <w:spacing w:after="0" w:line="240" w:lineRule="auto"/>
      </w:pPr>
      <w:r>
        <w:rPr>
          <w:rStyle w:val="FootnoteReference"/>
        </w:rPr>
        <w:footnoteRef/>
      </w:r>
      <w:r>
        <w:t xml:space="preserve"> https://ec.europa.eu/health/sites/health/files/programme/docs/mthp_final_report_oct2011_en.pdf</w:t>
      </w:r>
    </w:p>
  </w:footnote>
  <w:footnote w:id="196">
    <w:p w:rsidR="003A1527" w:rsidRDefault="00742A12">
      <w:pPr>
        <w:pStyle w:val="FootnoteText"/>
        <w:spacing w:after="0" w:line="240" w:lineRule="auto"/>
      </w:pPr>
      <w:r>
        <w:rPr>
          <w:rStyle w:val="FootnoteReference"/>
        </w:rPr>
        <w:footnoteRef/>
      </w:r>
      <w:r>
        <w:t xml:space="preserve"> https://ec.europa.eu/health/sites/health/files/programme/docs/ex_post_evaluation_en.pdf</w:t>
      </w:r>
    </w:p>
  </w:footnote>
  <w:footnote w:id="197">
    <w:p w:rsidR="003A1527" w:rsidRDefault="00742A12">
      <w:pPr>
        <w:pStyle w:val="FootnoteText"/>
        <w:spacing w:after="0" w:line="240" w:lineRule="auto"/>
      </w:pPr>
      <w:r>
        <w:rPr>
          <w:rStyle w:val="FootnoteReference"/>
        </w:rPr>
        <w:footnoteRef/>
      </w:r>
      <w:r>
        <w:t xml:space="preserve"> http://ec.europa.eu/health/archive/ph</w:t>
      </w:r>
      <w:r>
        <w:t>_programme/documents/evaluation/php_evaluation_en.pdf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12" w:rsidRPr="00742A12" w:rsidRDefault="00742A12" w:rsidP="00742A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12" w:rsidRPr="00742A12" w:rsidRDefault="00742A12" w:rsidP="00742A12">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p w:rsidR="003A1527" w:rsidRDefault="003A152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12" w:rsidRPr="00742A12" w:rsidRDefault="00742A12" w:rsidP="00742A1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7" w:rsidRDefault="003A1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Bullet3Space"/>
      <w:lvlText w:val=""/>
      <w:lvlJc w:val="left"/>
      <w:pPr>
        <w:tabs>
          <w:tab w:val="num" w:pos="1492"/>
        </w:tabs>
        <w:ind w:left="1492" w:hanging="360"/>
      </w:pPr>
      <w:rPr>
        <w:rFonts w:ascii="Symbol" w:hAnsi="Symbol" w:hint="default"/>
      </w:rPr>
    </w:lvl>
  </w:abstractNum>
  <w:abstractNum w:abstractNumId="1">
    <w:nsid w:val="05E66ADF"/>
    <w:multiLevelType w:val="hybridMultilevel"/>
    <w:tmpl w:val="978AF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A2732"/>
    <w:multiLevelType w:val="hybridMultilevel"/>
    <w:tmpl w:val="DC3C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E24C82"/>
    <w:multiLevelType w:val="multilevel"/>
    <w:tmpl w:val="769A8EEE"/>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4">
    <w:nsid w:val="15FF132F"/>
    <w:multiLevelType w:val="hybridMultilevel"/>
    <w:tmpl w:val="634260E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nsid w:val="17484C0A"/>
    <w:multiLevelType w:val="hybridMultilevel"/>
    <w:tmpl w:val="69204A8E"/>
    <w:lvl w:ilvl="0" w:tplc="7A9E963E">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C2C6FEE"/>
    <w:multiLevelType w:val="hybridMultilevel"/>
    <w:tmpl w:val="8438F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862"/>
        </w:tabs>
        <w:ind w:left="862"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3E7392"/>
    <w:multiLevelType w:val="multilevel"/>
    <w:tmpl w:val="12F24856"/>
    <w:lvl w:ilvl="0">
      <w:start w:val="1"/>
      <w:numFmt w:val="bullet"/>
      <w:lvlText w:val=""/>
      <w:lvlJc w:val="left"/>
      <w:pPr>
        <w:ind w:left="360" w:hanging="360"/>
      </w:pPr>
      <w:rPr>
        <w:rFonts w:ascii="Symbol" w:hAnsi="Symbol" w:hint="default"/>
      </w:rPr>
    </w:lvl>
    <w:lvl w:ilvl="1">
      <w:start w:val="2"/>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9">
    <w:nsid w:val="22E44180"/>
    <w:multiLevelType w:val="multilevel"/>
    <w:tmpl w:val="9F2A8BA2"/>
    <w:name w:val="NumPar"/>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9376879"/>
    <w:multiLevelType w:val="hybridMultilevel"/>
    <w:tmpl w:val="514EA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F614EE"/>
    <w:multiLevelType w:val="hybridMultilevel"/>
    <w:tmpl w:val="7F927682"/>
    <w:lvl w:ilvl="0" w:tplc="3CDAD5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8D6A5E"/>
    <w:multiLevelType w:val="hybridMultilevel"/>
    <w:tmpl w:val="B5E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6C3643"/>
    <w:multiLevelType w:val="hybridMultilevel"/>
    <w:tmpl w:val="DDB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434451"/>
    <w:multiLevelType w:val="hybridMultilevel"/>
    <w:tmpl w:val="316C52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C2CAB"/>
    <w:multiLevelType w:val="hybridMultilevel"/>
    <w:tmpl w:val="951E48A2"/>
    <w:lvl w:ilvl="0" w:tplc="0024CD9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34F764A"/>
    <w:multiLevelType w:val="hybridMultilevel"/>
    <w:tmpl w:val="9FE8FCFC"/>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46C655A1"/>
    <w:multiLevelType w:val="multilevel"/>
    <w:tmpl w:val="7DD00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925FED"/>
    <w:multiLevelType w:val="hybridMultilevel"/>
    <w:tmpl w:val="8DE402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7FF3E18"/>
    <w:multiLevelType w:val="hybridMultilevel"/>
    <w:tmpl w:val="C34A5F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DE1FBC"/>
    <w:multiLevelType w:val="hybridMultilevel"/>
    <w:tmpl w:val="49F23742"/>
    <w:lvl w:ilvl="0" w:tplc="CEECC93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D0F7D29"/>
    <w:multiLevelType w:val="hybridMultilevel"/>
    <w:tmpl w:val="B4664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EF95DA3"/>
    <w:multiLevelType w:val="hybridMultilevel"/>
    <w:tmpl w:val="FEBE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9041EC"/>
    <w:multiLevelType w:val="hybridMultilevel"/>
    <w:tmpl w:val="5666E99A"/>
    <w:lvl w:ilvl="0" w:tplc="1A5ED16A">
      <w:start w:val="1"/>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4690F59"/>
    <w:multiLevelType w:val="hybridMultilevel"/>
    <w:tmpl w:val="5AA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8F261B"/>
    <w:multiLevelType w:val="multilevel"/>
    <w:tmpl w:val="3B42B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B4A6DF1"/>
    <w:multiLevelType w:val="hybridMultilevel"/>
    <w:tmpl w:val="B83C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BF1FF7"/>
    <w:multiLevelType w:val="hybridMultilevel"/>
    <w:tmpl w:val="BDBA151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nsid w:val="5F503A76"/>
    <w:multiLevelType w:val="hybridMultilevel"/>
    <w:tmpl w:val="EF3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11240A0"/>
    <w:multiLevelType w:val="hybridMultilevel"/>
    <w:tmpl w:val="EF16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246950"/>
    <w:multiLevelType w:val="hybridMultilevel"/>
    <w:tmpl w:val="EEC0C8C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204009F"/>
    <w:multiLevelType w:val="hybridMultilevel"/>
    <w:tmpl w:val="190661BE"/>
    <w:lvl w:ilvl="0" w:tplc="08090001">
      <w:start w:val="1"/>
      <w:numFmt w:val="bullet"/>
      <w:lvlText w:val=""/>
      <w:lvlJc w:val="left"/>
      <w:pPr>
        <w:ind w:left="780" w:hanging="360"/>
      </w:pPr>
      <w:rPr>
        <w:rFonts w:ascii="Symbol" w:hAnsi="Symbol" w:hint="default"/>
      </w:rPr>
    </w:lvl>
    <w:lvl w:ilvl="1" w:tplc="53DA44BC">
      <w:numFmt w:val="bullet"/>
      <w:lvlText w:val="-"/>
      <w:lvlJc w:val="left"/>
      <w:pPr>
        <w:ind w:left="1500" w:hanging="360"/>
      </w:pPr>
      <w:rPr>
        <w:rFonts w:ascii="Times New Roman" w:eastAsia="Times New Roman" w:hAnsi="Times New Roman"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2D24F93"/>
    <w:multiLevelType w:val="multilevel"/>
    <w:tmpl w:val="3C7A67F0"/>
    <w:lvl w:ilvl="0">
      <w:start w:val="1"/>
      <w:numFmt w:val="bullet"/>
      <w:pStyle w:val="GROWBulletpoint1"/>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3296052"/>
    <w:multiLevelType w:val="hybridMultilevel"/>
    <w:tmpl w:val="F79CE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234255"/>
    <w:multiLevelType w:val="hybridMultilevel"/>
    <w:tmpl w:val="E6F8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A2535E"/>
    <w:multiLevelType w:val="hybridMultilevel"/>
    <w:tmpl w:val="E27E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24090E"/>
    <w:multiLevelType w:val="hybridMultilevel"/>
    <w:tmpl w:val="BDBA151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9">
    <w:nsid w:val="6FFE2440"/>
    <w:multiLevelType w:val="hybridMultilevel"/>
    <w:tmpl w:val="F82A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40">
    <w:nsid w:val="713E2167"/>
    <w:multiLevelType w:val="hybridMultilevel"/>
    <w:tmpl w:val="2E5E187A"/>
    <w:lvl w:ilvl="0" w:tplc="F4FACB62">
      <w:start w:val="1"/>
      <w:numFmt w:val="bullet"/>
      <w:pStyle w:val="ListBullet21"/>
      <w:lvlText w:val=""/>
      <w:lvlJc w:val="left"/>
      <w:pPr>
        <w:ind w:left="360" w:hanging="360"/>
      </w:pPr>
      <w:rPr>
        <w:rFonts w:ascii="Wingdings" w:hAnsi="Wingdings" w:hint="default"/>
      </w:rPr>
    </w:lvl>
    <w:lvl w:ilvl="1" w:tplc="0C0A0003">
      <w:start w:val="1"/>
      <w:numFmt w:val="bullet"/>
      <w:lvlText w:val="o"/>
      <w:lvlJc w:val="left"/>
      <w:pPr>
        <w:ind w:left="785" w:hanging="360"/>
      </w:pPr>
      <w:rPr>
        <w:rFonts w:ascii="Courier New" w:hAnsi="Courier New" w:cs="Courier New" w:hint="default"/>
      </w:rPr>
    </w:lvl>
    <w:lvl w:ilvl="2" w:tplc="0C0A0005">
      <w:start w:val="1"/>
      <w:numFmt w:val="bullet"/>
      <w:lvlText w:val=""/>
      <w:lvlJc w:val="left"/>
      <w:pPr>
        <w:ind w:left="1211" w:hanging="360"/>
      </w:pPr>
      <w:rPr>
        <w:rFonts w:ascii="Wingdings" w:hAnsi="Wingdings" w:hint="default"/>
      </w:rPr>
    </w:lvl>
    <w:lvl w:ilvl="3" w:tplc="2E2A8750">
      <w:numFmt w:val="bullet"/>
      <w:lvlText w:val="•"/>
      <w:lvlJc w:val="left"/>
      <w:pPr>
        <w:ind w:left="2865" w:hanging="705"/>
      </w:pPr>
      <w:rPr>
        <w:rFonts w:ascii="Times New Roman" w:eastAsia="Calibri" w:hAnsi="Times New Roman" w:cs="Times New Roman"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1">
    <w:nsid w:val="73223639"/>
    <w:multiLevelType w:val="hybridMultilevel"/>
    <w:tmpl w:val="31CCD4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6E50DA"/>
    <w:multiLevelType w:val="hybridMultilevel"/>
    <w:tmpl w:val="17A2EA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73160EA"/>
    <w:multiLevelType w:val="hybridMultilevel"/>
    <w:tmpl w:val="8B84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4F1611"/>
    <w:multiLevelType w:val="hybridMultilevel"/>
    <w:tmpl w:val="C110F8DC"/>
    <w:lvl w:ilvl="0" w:tplc="3098A866">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30"/>
  </w:num>
  <w:num w:numId="3">
    <w:abstractNumId w:val="7"/>
  </w:num>
  <w:num w:numId="4">
    <w:abstractNumId w:val="35"/>
  </w:num>
  <w:num w:numId="5">
    <w:abstractNumId w:val="0"/>
  </w:num>
  <w:num w:numId="6">
    <w:abstractNumId w:val="9"/>
  </w:num>
  <w:num w:numId="7">
    <w:abstractNumId w:val="15"/>
  </w:num>
  <w:num w:numId="8">
    <w:abstractNumId w:val="41"/>
  </w:num>
  <w:num w:numId="9">
    <w:abstractNumId w:val="1"/>
  </w:num>
  <w:num w:numId="10">
    <w:abstractNumId w:val="40"/>
  </w:num>
  <w:num w:numId="11">
    <w:abstractNumId w:val="36"/>
  </w:num>
  <w:num w:numId="12">
    <w:abstractNumId w:val="6"/>
  </w:num>
  <w:num w:numId="13">
    <w:abstractNumId w:val="39"/>
  </w:num>
  <w:num w:numId="14">
    <w:abstractNumId w:val="8"/>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9">
    <w:abstractNumId w:val="3"/>
    <w:lvlOverride w:ilvl="0">
      <w:lvl w:ilvl="0">
        <w:start w:val="1"/>
        <w:numFmt w:val="decimal"/>
        <w:pStyle w:val="AppendixH1"/>
        <w:lvlText w:val="%1 "/>
        <w:lvlJc w:val="left"/>
        <w:pPr>
          <w:ind w:left="454" w:hanging="454"/>
        </w:pPr>
        <w:rPr>
          <w:rFonts w:ascii="Times New Roman" w:hAnsi="Times New Roman" w:hint="default"/>
          <w:b/>
          <w:i w:val="0"/>
          <w:sz w:val="24"/>
        </w:rPr>
      </w:lvl>
    </w:lvlOverride>
  </w:num>
  <w:num w:numId="20">
    <w:abstractNumId w:val="42"/>
  </w:num>
  <w:num w:numId="21">
    <w:abstractNumId w:val="18"/>
  </w:num>
  <w:num w:numId="22">
    <w:abstractNumId w:val="3"/>
  </w:num>
  <w:num w:numId="23">
    <w:abstractNumId w:val="2"/>
  </w:num>
  <w:num w:numId="24">
    <w:abstractNumId w:val="32"/>
  </w:num>
  <w:num w:numId="25">
    <w:abstractNumId w:val="27"/>
  </w:num>
  <w:num w:numId="26">
    <w:abstractNumId w:val="31"/>
  </w:num>
  <w:num w:numId="27">
    <w:abstractNumId w:val="29"/>
  </w:num>
  <w:num w:numId="28">
    <w:abstractNumId w:val="12"/>
  </w:num>
  <w:num w:numId="29">
    <w:abstractNumId w:val="23"/>
  </w:num>
  <w:num w:numId="30">
    <w:abstractNumId w:val="25"/>
  </w:num>
  <w:num w:numId="31">
    <w:abstractNumId w:val="13"/>
  </w:num>
  <w:num w:numId="32">
    <w:abstractNumId w:val="20"/>
  </w:num>
  <w:num w:numId="33">
    <w:abstractNumId w:val="19"/>
  </w:num>
  <w:num w:numId="34">
    <w:abstractNumId w:val="37"/>
  </w:num>
  <w:num w:numId="35">
    <w:abstractNumId w:val="22"/>
  </w:num>
  <w:num w:numId="36">
    <w:abstractNumId w:val="33"/>
  </w:num>
  <w:num w:numId="37">
    <w:abstractNumId w:val="14"/>
  </w:num>
  <w:num w:numId="38">
    <w:abstractNumId w:val="10"/>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4"/>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s-ES_tradnl"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D88E2F1-8137-4FC5-B918-1E9196D040FA"/>
    <w:docVar w:name="LW_COVERPAGE_TYPE" w:val="1"/>
    <w:docVar w:name="LW_CROSSREFERENCE" w:val="{COM(2018) 380 final}_x000a_{COM(2018) 382 final}_x000d__x000a_{SEC(2018) 273 final}"/>
    <w:docVar w:name="LW_DocType" w:val="NORMAL"/>
    <w:docVar w:name="LW_EMISSION" w:val="30.5.2018"/>
    <w:docVar w:name="LW_EMISSION_ISODATE" w:val="2018-05-30"/>
    <w:docVar w:name="LW_EMISSION_LOCATION" w:val="BRX"/>
    <w:docVar w:name="LW_EMISSION_PREFIX" w:val="Brussels,"/>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the Council on the European Social Fund Plus (ESF+)_x000b__x000b_Proposal for a Regulation of the European Parliament and the Council on the European Globalisation Adjustment Fund (EGF)_x000b_"/>
  </w:docVars>
  <w:rsids>
    <w:rsidRoot w:val="003A1527"/>
    <w:rsid w:val="003A1527"/>
    <w:rsid w:val="00742A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GROW H2"/>
    <w:basedOn w:val="Normal"/>
    <w:next w:val="Normal"/>
    <w:link w:val="Heading2Char"/>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GROW H3,T3,Kop 3,h3,Numbered - 3,H3,H31,Headline 3,h31,h32,Sub Paragraph,Voorwoord,ASAPHeading 3,Level 1 - 1,Heading 3 - old,Heading 2.3,1.2.3.,Titles,(Alt+3),(Alt+3)1,(Alt+3)2,(Alt+3)3,(Alt+3)4,(Alt+3)5,(Alt+3)6,(Alt+3)11,(Alt+3)21,(Alt+3)31"/>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4,heading 4,Heading 4 CFMU,Header 4,Numbered 4 (SBC),Heading 4 - SBC,dash,Map Title,H4,Topic Major,RFQ3,l4,4,4heading,heading4,heading,Subhead C,FigureHead,Level 2 - a,Sub Sub Paragraph,Titre 4-esis,mh,subhead 3,subhead 31,h41,subhead 32"/>
    <w:basedOn w:val="Normal"/>
    <w:next w:val="Normal"/>
    <w:link w:val="Heading4Char"/>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GROW H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GROW H2 Char"/>
    <w:basedOn w:val="DefaultParagraphFont"/>
    <w:link w:val="Heading2"/>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GROW H3 Char,T3 Char,Kop 3 Char,h3 Char,Numbered - 3 Char,H3 Char,H31 Char,Headline 3 Char,h31 Char,h32 Char,Sub Paragraph Char,Voorwoord Char,ASAPHeading 3 Char,Level 1 - 1 Char,Heading 3 - old Char,Heading 2.3 Char,1.2.3. Char"/>
    <w:basedOn w:val="DefaultParagraphFont"/>
    <w:link w:val="Heading3"/>
    <w:uiPriority w:val="9"/>
    <w:rPr>
      <w:rFonts w:asciiTheme="majorHAnsi" w:eastAsiaTheme="majorEastAsia" w:hAnsiTheme="majorHAnsi" w:cstheme="majorBidi"/>
      <w:color w:val="1F497D" w:themeColor="text2"/>
      <w:sz w:val="24"/>
      <w:szCs w:val="24"/>
    </w:rPr>
  </w:style>
  <w:style w:type="character" w:customStyle="1" w:styleId="Heading4Char">
    <w:name w:val="Heading 4 Char"/>
    <w:aliases w:val="h4 Char,heading 4 Char,Heading 4 CFMU Char,Header 4 Char,Numbered 4 (SBC) Char,Heading 4 - SBC Char,dash Char,Map Title Char,H4 Char,Topic Major Char,RFQ3 Char,l4 Char,4 Char,4heading Char,heading4 Char,heading Char,Subhead C Char,mh Char"/>
    <w:basedOn w:val="DefaultParagraphFont"/>
    <w:link w:val="Heading4"/>
    <w:rPr>
      <w:rFonts w:asciiTheme="majorHAnsi" w:eastAsiaTheme="majorEastAsia" w:hAnsiTheme="majorHAnsi" w:cstheme="majorBidi"/>
      <w:sz w:val="22"/>
      <w:szCs w:val="22"/>
    </w:rPr>
  </w:style>
  <w:style w:type="paragraph" w:customStyle="1" w:styleId="Text1">
    <w:name w:val="Text 1"/>
    <w:basedOn w:val="Normal"/>
    <w:link w:val="Text1Char"/>
    <w:pPr>
      <w:spacing w:after="240"/>
      <w:ind w:left="482"/>
      <w:jc w:val="both"/>
    </w:pPr>
    <w:rPr>
      <w:rFonts w:ascii="Times New Roman" w:eastAsia="Times New Roman" w:hAnsi="Times New Roman" w:cs="Times New Roman"/>
      <w:sz w:val="24"/>
    </w:rPr>
  </w:style>
  <w:style w:type="paragraph" w:customStyle="1" w:styleId="Text2">
    <w:name w:val="Text 2"/>
    <w:basedOn w:val="Normal"/>
    <w:pPr>
      <w:tabs>
        <w:tab w:val="left" w:pos="2302"/>
      </w:tabs>
      <w:spacing w:after="240"/>
      <w:ind w:left="1202"/>
      <w:jc w:val="both"/>
    </w:pPr>
    <w:rPr>
      <w:rFonts w:ascii="Times New Roman" w:eastAsia="Times New Roman" w:hAnsi="Times New Roman" w:cs="Times New Roman"/>
      <w:sz w:val="24"/>
    </w:rPr>
  </w:style>
  <w:style w:type="paragraph" w:styleId="ListBullet">
    <w:name w:val="List Bullet"/>
    <w:aliases w:val="First Tier Bullet,résumé,rÈsumÈ,Cha,r»sum»,rªsumª,EPEC List Bullet,UL,List Bullet2,List Bullet Char,List Bullet Char1 Char,List Bullet Char Char Char,List Bullet Char1 Char Char Char,List Bullet Char Char Char Char Char"/>
    <w:basedOn w:val="Normal"/>
    <w:pPr>
      <w:numPr>
        <w:numId w:val="1"/>
      </w:numPr>
      <w:spacing w:after="240"/>
      <w:jc w:val="both"/>
    </w:pPr>
    <w:rPr>
      <w:rFonts w:ascii="Times New Roman" w:eastAsia="Times New Roman" w:hAnsi="Times New Roman" w:cs="Times New Roman"/>
      <w:sz w:val="24"/>
    </w:rPr>
  </w:style>
  <w:style w:type="paragraph" w:customStyle="1" w:styleId="ListDash1">
    <w:name w:val="List Dash 1"/>
    <w:basedOn w:val="Text1"/>
    <w:pPr>
      <w:numPr>
        <w:numId w:val="2"/>
      </w:numPr>
    </w:pPr>
  </w:style>
  <w:style w:type="table" w:styleId="TableGrid">
    <w:name w:val="Table Grid"/>
    <w:aliases w:val="Document Table,CV1,Standard table format,Simple table"/>
    <w:basedOn w:val="TableNormal"/>
    <w:uiPriority w:val="5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rFonts w:ascii="Times New Roman" w:eastAsia="Times New Roman" w:hAnsi="Times New Roman" w:cs="Times New Roman"/>
      <w:b/>
      <w:sz w:val="32"/>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right" w:leader="dot" w:pos="8640"/>
      </w:tabs>
      <w:spacing w:before="120"/>
      <w:ind w:left="482" w:right="720" w:hanging="482"/>
      <w:jc w:val="both"/>
    </w:pPr>
    <w:rPr>
      <w:rFonts w:ascii="Times New Roman" w:eastAsia="Times New Roman" w:hAnsi="Times New Roman" w:cs="Times New Roman"/>
      <w:caps/>
    </w:rPr>
  </w:style>
  <w:style w:type="paragraph" w:styleId="TOC2">
    <w:name w:val="toc 2"/>
    <w:basedOn w:val="Normal"/>
    <w:next w:val="Normal"/>
    <w:uiPriority w:val="39"/>
    <w:qFormat/>
    <w:pPr>
      <w:tabs>
        <w:tab w:val="right" w:leader="dot" w:pos="8640"/>
      </w:tabs>
      <w:spacing w:before="60" w:after="60"/>
      <w:ind w:left="1077" w:right="720" w:hanging="595"/>
      <w:jc w:val="both"/>
    </w:pPr>
    <w:rPr>
      <w:rFonts w:ascii="Times New Roman" w:eastAsia="Times New Roman" w:hAnsi="Times New Roman" w:cs="Times New Roman"/>
      <w:sz w:val="24"/>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styleId="FootnoteText">
    <w:name w:val="footnote text"/>
    <w:aliases w:val="footnote,Footnote Text Char Char,Footnote Text Char1 Char Char,Footnote Text Char Char Char Char,Footnote Text Char1 Char Char Char Char,Footnote Text Char Char Char Char Char Char,fn,Footnote Text Char Char1 Char Char,Char,Fußnote,stile 1"/>
    <w:basedOn w:val="Normal"/>
    <w:link w:val="FootnoteTextChar"/>
    <w:uiPriority w:val="99"/>
    <w:unhideWhenUsed/>
    <w:qFormat/>
    <w:pPr>
      <w:ind w:left="720" w:hanging="720"/>
    </w:pPr>
    <w:rPr>
      <w:rFonts w:ascii="Times New Roman" w:hAnsi="Times New Roman"/>
      <w:sz w:val="18"/>
    </w:rPr>
  </w:style>
  <w:style w:type="character" w:customStyle="1" w:styleId="FootnoteTextChar">
    <w:name w:val="Footnote Text Char"/>
    <w:aliases w:val="footnote Char,Footnote Text Char Char Char,Footnote Text Char1 Char Char Char,Footnote Text Char Char Char Char Char,Footnote Text Char1 Char Char Char Char Char,Footnote Text Char Char Char Char Char Char Char,fn Char,Char Char"/>
    <w:basedOn w:val="DefaultParagraphFont"/>
    <w:link w:val="FootnoteText"/>
    <w:uiPriority w:val="99"/>
    <w:qFormat/>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SUPERSCar"/>
    <w:uiPriority w:val="99"/>
    <w:unhideWhenUsed/>
    <w:qFormat/>
    <w:rPr>
      <w:vertAlign w:val="superscript"/>
    </w:rPr>
  </w:style>
  <w:style w:type="paragraph" w:customStyle="1" w:styleId="NormalNoSpace">
    <w:name w:val="NormalNoSpace"/>
    <w:aliases w:val="Body TextNoSpace"/>
    <w:basedOn w:val="Normal"/>
    <w:uiPriority w:val="1"/>
    <w:pPr>
      <w:spacing w:before="80" w:after="80"/>
      <w:jc w:val="both"/>
    </w:pPr>
    <w:rPr>
      <w:rFonts w:ascii="Times New Roman" w:hAnsi="Times New Roman" w:cs="Times New Roman"/>
      <w:color w:val="000000" w:themeColor="text1"/>
      <w:sz w:val="24"/>
      <w:szCs w:val="24"/>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19"/>
    <w:pPr>
      <w:spacing w:after="160" w:line="240" w:lineRule="exact"/>
    </w:pPr>
    <w:rPr>
      <w:vertAlign w:val="superscript"/>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DGEMPLStandard">
    <w:name w:val="DGEMPL_Standard"/>
    <w:link w:val="DGEMPLStandardCarattere"/>
    <w:qFormat/>
    <w:pPr>
      <w:spacing w:before="120"/>
      <w:jc w:val="both"/>
    </w:pPr>
    <w:rPr>
      <w:rFonts w:ascii="Verdana" w:eastAsia="Times New Roman" w:hAnsi="Verdana" w:cs="Times New Roman"/>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Declassification">
    <w:name w:val="Declassification"/>
    <w:basedOn w:val="Normal"/>
    <w:next w:val="Normal"/>
    <w:pPr>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AppelnotedebasdepageCharCharCharCharCharCharChar">
    <w:name w:val="Appel note de bas de page Char Char Char Char Char Char Char"/>
    <w:basedOn w:val="Normal"/>
    <w:uiPriority w:val="99"/>
    <w:pPr>
      <w:jc w:val="both"/>
    </w:pPr>
    <w:rPr>
      <w:rFonts w:ascii="Calibri" w:eastAsia="Calibri" w:hAnsi="Calibri" w:cs="Times New Roman"/>
      <w:vertAlign w:val="superscript"/>
      <w:lang w:eastAsia="en-GB"/>
    </w:rPr>
  </w:style>
  <w:style w:type="paragraph" w:customStyle="1" w:styleId="BodyText2">
    <w:name w:val="Body Text2"/>
    <w:basedOn w:val="Normal"/>
    <w:qFormat/>
    <w:pPr>
      <w:autoSpaceDE w:val="0"/>
      <w:autoSpaceDN w:val="0"/>
      <w:adjustRightInd w:val="0"/>
      <w:spacing w:before="60" w:after="60"/>
      <w:jc w:val="both"/>
    </w:pPr>
    <w:rPr>
      <w:rFonts w:ascii="Times New Roman" w:eastAsia="Calibri" w:hAnsi="Times New Roman" w:cs="Times New Roman"/>
      <w:bCs/>
      <w:noProof/>
      <w:color w:val="000000"/>
      <w:sz w:val="24"/>
      <w:szCs w:val="24"/>
    </w:rPr>
  </w:style>
  <w:style w:type="paragraph" w:customStyle="1" w:styleId="fr">
    <w:name w:val="fr"/>
    <w:aliases w:val="Odwo&lt;0142&gt;anie przypisu,SUPER,BVI fnr Char1 Char,Footnote Reference_LVL6,Footnote Reference_LVL61,Footnote Reference_LVL62,Footnote Reference_LVL63,Footnote Reference_LVL64,Footnote Reference Number Char Char,Times 10 Point Char Char,Char1,o,Style 6"/>
    <w:basedOn w:val="Normal"/>
    <w:next w:val="Normal"/>
    <w:uiPriority w:val="99"/>
    <w:pPr>
      <w:spacing w:after="160" w:line="240" w:lineRule="exact"/>
      <w:jc w:val="both"/>
    </w:pPr>
    <w:rPr>
      <w:rFonts w:ascii="Times New Roman" w:eastAsia="Times New Roman" w:hAnsi="Times New Roman" w:cs="Times New Roman"/>
      <w:vertAlign w:val="superscript"/>
      <w:lang w:eastAsia="en-GB"/>
    </w:rPr>
  </w:style>
  <w:style w:type="paragraph" w:customStyle="1" w:styleId="Heading3NoNumb">
    <w:name w:val="Heading 3NoNumb"/>
    <w:aliases w:val="Heading3NoNumb"/>
    <w:basedOn w:val="Heading3"/>
    <w:next w:val="Normal"/>
    <w:uiPriority w:val="5"/>
    <w:pPr>
      <w:spacing w:before="120" w:after="120"/>
      <w:ind w:left="680" w:hanging="680"/>
    </w:pPr>
    <w:rPr>
      <w:b/>
      <w:bCs/>
      <w:i/>
      <w:lang w:eastAsia="en-GB"/>
    </w:rPr>
  </w:style>
  <w:style w:type="paragraph" w:styleId="Revision">
    <w:name w:val="Revision"/>
    <w:hidden/>
    <w:uiPriority w:val="99"/>
    <w:semiHidden/>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Calibri" w:eastAsia="Calibri" w:hAnsi="Calibri" w:cs="Times New Roman"/>
      <w:vertAlign w:val="superscript"/>
      <w:lang w:val="it-IT" w:eastAsia="it-IT"/>
    </w:rPr>
  </w:style>
  <w:style w:type="paragraph" w:styleId="BodyText">
    <w:name w:val="Body Text"/>
    <w:aliases w:val="Document,Doc,doc,Standard paragraph,BodyText, (Norm),Body Text 12,bt,gl,uvlaka 2,(Norm),heading3,Body Text - Level 2,1body,BodText,body text,Body Txt,Body Text-10,Body Text Char2,Text Char1,Τίτλος Μελέτης,- TF,b.,b,F2 Body Text,Text,- ,Te,-"/>
    <w:basedOn w:val="Normal"/>
    <w:link w:val="BodyTextChar"/>
    <w:uiPriority w:val="99"/>
    <w:qFormat/>
    <w:pPr>
      <w:jc w:val="both"/>
    </w:pPr>
    <w:rPr>
      <w:rFonts w:ascii="Times New Roman" w:eastAsia="Times New Roman" w:hAnsi="Times New Roman" w:cs="Times New Roman"/>
      <w:sz w:val="24"/>
    </w:rPr>
  </w:style>
  <w:style w:type="character" w:customStyle="1" w:styleId="BodyTextChar">
    <w:name w:val="Body Text Char"/>
    <w:aliases w:val="Document Char,Doc Char,doc Char,Standard paragraph Char,BodyText Char, (Norm) Char,Body Text 12 Char,bt Char,gl Char,uvlaka 2 Char,(Norm) Char,heading3 Char,Body Text - Level 2 Char,1body Char,BodText Char,body text Char,Body Txt Char"/>
    <w:basedOn w:val="DefaultParagraphFont"/>
    <w:link w:val="BodyText"/>
    <w:uiPriority w:val="99"/>
    <w:rPr>
      <w:rFonts w:ascii="Times New Roman" w:eastAsia="Times New Roman" w:hAnsi="Times New Roman" w:cs="Times New Roman"/>
      <w:sz w:val="24"/>
      <w:szCs w:val="20"/>
    </w:rPr>
  </w:style>
  <w:style w:type="paragraph" w:styleId="Caption">
    <w:name w:val="caption"/>
    <w:aliases w:val="Table Title,GROW Caption,Caption1 Char Char Char Char Char Char Char Char Tegn Tegn Tegn Tegn Tegn,Caption1 Char Char Char Char Char Char Char Char Tegn Tegn Tegn,Caption1 Char Char Char Char Char Char Char Char Tegn Tegn,Ch"/>
    <w:basedOn w:val="Normal"/>
    <w:next w:val="Normal"/>
    <w:link w:val="CaptionChar"/>
    <w:unhideWhenUsed/>
    <w:qFormat/>
    <w:pPr>
      <w:spacing w:line="240" w:lineRule="auto"/>
    </w:pPr>
    <w:rPr>
      <w:b/>
      <w:bCs/>
      <w:smallCaps/>
      <w:color w:val="595959" w:themeColor="text1" w:themeTint="A6"/>
      <w:spacing w:val="6"/>
    </w:rPr>
  </w:style>
  <w:style w:type="paragraph" w:customStyle="1" w:styleId="Bullet3Space">
    <w:name w:val="Bullet 3 Space"/>
    <w:aliases w:val="Bullet3Last,BTBullet3Last"/>
    <w:basedOn w:val="Normal"/>
    <w:uiPriority w:val="11"/>
    <w:pPr>
      <w:numPr>
        <w:numId w:val="5"/>
      </w:numPr>
      <w:spacing w:before="120"/>
    </w:pPr>
    <w:rPr>
      <w:rFonts w:ascii="Verdana" w:hAnsi="Verdana"/>
      <w:color w:val="000000" w:themeColor="text1"/>
    </w:rPr>
  </w:style>
  <w:style w:type="paragraph" w:customStyle="1" w:styleId="Body">
    <w:name w:val="Body"/>
    <w:basedOn w:val="Normal"/>
    <w:link w:val="BodyChar"/>
    <w:pPr>
      <w:spacing w:after="240"/>
    </w:pPr>
    <w:rPr>
      <w:rFonts w:ascii="Verdana" w:eastAsia="Times New Roman" w:hAnsi="Verdana" w:cs="Times New Roman"/>
      <w:sz w:val="18"/>
    </w:rPr>
  </w:style>
  <w:style w:type="character" w:customStyle="1" w:styleId="BodyChar">
    <w:name w:val="Body Char"/>
    <w:link w:val="Body"/>
    <w:rPr>
      <w:rFonts w:ascii="Verdana" w:eastAsia="Times New Roman" w:hAnsi="Verdana" w:cs="Times New Roman"/>
      <w:sz w:val="18"/>
      <w:szCs w:val="20"/>
    </w:rPr>
  </w:style>
  <w:style w:type="paragraph" w:customStyle="1" w:styleId="NumPar1">
    <w:name w:val="NumPar 1"/>
    <w:basedOn w:val="Normal"/>
    <w:next w:val="Text1"/>
    <w:pPr>
      <w:numPr>
        <w:numId w:val="6"/>
      </w:numPr>
      <w:spacing w:before="120"/>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jc w:val="both"/>
    </w:pPr>
    <w:rPr>
      <w:rFonts w:ascii="Times New Roman" w:hAnsi="Times New Roman" w:cs="Times New Roman"/>
      <w:sz w:val="24"/>
    </w:rPr>
  </w:style>
  <w:style w:type="character" w:customStyle="1" w:styleId="Bodytext20">
    <w:name w:val="Body text (2)"/>
    <w:basedOn w:val="DefaultParagraphFont"/>
    <w:rPr>
      <w:rFonts w:ascii="Times New Roman" w:eastAsia="Times New Roman" w:hAnsi="Times New Roman" w:cs="Times New Roman"/>
      <w:b w:val="0"/>
      <w:bCs w:val="0"/>
      <w:i w:val="0"/>
      <w:iCs w:val="0"/>
      <w:smallCaps w:val="0"/>
      <w:strike w:val="0"/>
      <w:color w:val="1A171C"/>
      <w:spacing w:val="0"/>
      <w:w w:val="100"/>
      <w:position w:val="0"/>
      <w:sz w:val="18"/>
      <w:szCs w:val="18"/>
      <w:u w:val="none"/>
      <w:lang w:val="en-US" w:eastAsia="en-US" w:bidi="en-US"/>
    </w:rPr>
  </w:style>
  <w:style w:type="paragraph" w:styleId="NormalWeb">
    <w:name w:val="Normal (Web)"/>
    <w:basedOn w:val="Normal"/>
    <w:link w:val="NormalWebChar"/>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harCharChar">
    <w:name w:val="Char Char Char"/>
    <w:basedOn w:val="Normal"/>
    <w:uiPriority w:val="99"/>
    <w:pPr>
      <w:spacing w:before="60" w:after="160" w:line="240" w:lineRule="exact"/>
    </w:pPr>
    <w:rPr>
      <w:rFonts w:ascii="EYInterstate Light" w:hAnsi="EYInterstate Light"/>
      <w:sz w:val="16"/>
      <w:vertAlign w:val="superscript"/>
    </w:rPr>
  </w:style>
  <w:style w:type="paragraph" w:customStyle="1" w:styleId="Pa2">
    <w:name w:val="Pa2"/>
    <w:basedOn w:val="Default"/>
    <w:next w:val="Default"/>
    <w:uiPriority w:val="99"/>
    <w:pPr>
      <w:spacing w:line="241" w:lineRule="atLeast"/>
    </w:pPr>
    <w:rPr>
      <w:rFonts w:ascii="Arial" w:eastAsiaTheme="minorHAnsi" w:hAnsi="Arial" w:cs="Arial"/>
      <w:color w:val="auto"/>
      <w:lang w:eastAsia="en-US"/>
    </w:rPr>
  </w:style>
  <w:style w:type="character" w:customStyle="1" w:styleId="CaptionChar">
    <w:name w:val="Caption Char"/>
    <w:aliases w:val="Table Title Char,GROW Caption Char,Caption1 Char Char Char Char Char Char Char Char Tegn Tegn Tegn Tegn Tegn Char,Caption1 Char Char Char Char Char Char Char Char Tegn Tegn Tegn Char,Ch Char"/>
    <w:link w:val="Caption"/>
    <w:rPr>
      <w:b/>
      <w:bCs/>
      <w:smallCaps/>
      <w:color w:val="595959" w:themeColor="text1" w:themeTint="A6"/>
      <w:spacing w:val="6"/>
    </w:rPr>
  </w:style>
  <w:style w:type="paragraph" w:customStyle="1" w:styleId="bullet1">
    <w:name w:val="bullet 1"/>
    <w:basedOn w:val="BodyText"/>
    <w:link w:val="bullet1Carattere"/>
    <w:qFormat/>
    <w:pPr>
      <w:numPr>
        <w:numId w:val="7"/>
      </w:numPr>
      <w:spacing w:after="60"/>
    </w:pPr>
    <w:rPr>
      <w:rFonts w:ascii="Tahoma" w:eastAsia="Calibri" w:hAnsi="Tahoma" w:cs="Tahoma"/>
      <w:bCs/>
      <w:sz w:val="20"/>
    </w:rPr>
  </w:style>
  <w:style w:type="character" w:customStyle="1" w:styleId="bullet1Carattere">
    <w:name w:val="bullet 1 Carattere"/>
    <w:basedOn w:val="BodyTextChar"/>
    <w:link w:val="bullet1"/>
    <w:rPr>
      <w:rFonts w:ascii="Tahoma" w:eastAsia="Calibri" w:hAnsi="Tahoma" w:cs="Tahoma"/>
      <w:bCs/>
      <w:sz w:val="24"/>
      <w:szCs w:val="20"/>
    </w:rPr>
  </w:style>
  <w:style w:type="paragraph" w:customStyle="1" w:styleId="gmail-bodytext1">
    <w:name w:val="gmail-bodytext1"/>
    <w:basedOn w:val="Normal"/>
    <w:uiPriority w:val="99"/>
    <w:pPr>
      <w:spacing w:before="100" w:beforeAutospacing="1" w:after="100" w:afterAutospacing="1"/>
    </w:pPr>
    <w:rPr>
      <w:rFonts w:ascii="Times New Roman" w:hAnsi="Times New Roman" w:cs="Times New Roman"/>
      <w:sz w:val="24"/>
      <w:szCs w:val="24"/>
      <w:lang w:eastAsia="en-GB"/>
    </w:rPr>
  </w:style>
  <w:style w:type="paragraph" w:customStyle="1" w:styleId="gmail-msolistparagraph">
    <w:name w:val="gmail-msolistparagraph"/>
    <w:basedOn w:val="Normal"/>
    <w:uiPriority w:val="99"/>
    <w:pPr>
      <w:spacing w:before="100" w:beforeAutospacing="1" w:after="100" w:afterAutospacing="1"/>
    </w:pPr>
    <w:rPr>
      <w:rFonts w:ascii="Times New Roman" w:hAnsi="Times New Roman" w:cs="Times New Roman"/>
      <w:sz w:val="24"/>
      <w:szCs w:val="24"/>
      <w:lang w:eastAsia="en-GB"/>
    </w:rPr>
  </w:style>
  <w:style w:type="character" w:customStyle="1" w:styleId="Marker1">
    <w:name w:val="Marker1"/>
    <w:basedOn w:val="DefaultParagraphFont"/>
    <w:rPr>
      <w:color w:val="008000"/>
      <w:shd w:val="clear" w:color="auto" w:fill="auto"/>
    </w:rPr>
  </w:style>
  <w:style w:type="character" w:customStyle="1" w:styleId="Bodytext2Exact">
    <w:name w:val="Body text (2) Exact"/>
    <w:basedOn w:val="DefaultParagraphFont"/>
    <w:rPr>
      <w:b w:val="0"/>
      <w:bCs w:val="0"/>
      <w:i w:val="0"/>
      <w:iCs w:val="0"/>
      <w:smallCaps w:val="0"/>
      <w:strike w:val="0"/>
      <w:color w:val="1A171C"/>
      <w:sz w:val="18"/>
      <w:szCs w:val="18"/>
      <w:u w:val="none"/>
    </w:rPr>
  </w:style>
  <w:style w:type="character" w:customStyle="1" w:styleId="ListBullet21Char">
    <w:name w:val="List Bullet 21 Char"/>
    <w:link w:val="ListBullet21"/>
    <w:locked/>
    <w:rPr>
      <w:rFonts w:ascii="Verdana" w:eastAsia="Calibri" w:hAnsi="Verdana"/>
      <w:color w:val="333333"/>
    </w:rPr>
  </w:style>
  <w:style w:type="paragraph" w:customStyle="1" w:styleId="ListBullet21">
    <w:name w:val="List Bullet 21"/>
    <w:basedOn w:val="Normal"/>
    <w:link w:val="ListBullet21Char"/>
    <w:qFormat/>
    <w:pPr>
      <w:numPr>
        <w:numId w:val="10"/>
      </w:numPr>
      <w:jc w:val="both"/>
    </w:pPr>
    <w:rPr>
      <w:rFonts w:ascii="Verdana" w:eastAsia="Calibri" w:hAnsi="Verdana"/>
      <w:color w:val="333333"/>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jc w:val="both"/>
    </w:pPr>
    <w:rPr>
      <w:rFonts w:ascii="Arial" w:hAnsi="Arial" w:cs="Arial"/>
    </w:rPr>
  </w:style>
  <w:style w:type="character" w:styleId="Strong">
    <w:name w:val="Strong"/>
    <w:basedOn w:val="DefaultParagraphFont"/>
    <w:uiPriority w:val="22"/>
    <w:qFormat/>
    <w:rPr>
      <w:b/>
      <w:bCs/>
    </w:rPr>
  </w:style>
  <w:style w:type="paragraph" w:customStyle="1" w:styleId="bodytext21">
    <w:name w:val="bodytext2"/>
    <w:basedOn w:val="Normal"/>
    <w:pPr>
      <w:spacing w:before="40" w:after="40" w:line="260" w:lineRule="atLeast"/>
      <w:jc w:val="both"/>
    </w:pPr>
    <w:rPr>
      <w:rFonts w:ascii="Times New Roman" w:eastAsia="Calibri" w:hAnsi="Times New Roman" w:cs="Times New Roman"/>
      <w:color w:val="000000"/>
      <w:sz w:val="24"/>
      <w:szCs w:val="24"/>
      <w:lang w:eastAsia="en-GB"/>
    </w:rPr>
  </w:style>
  <w:style w:type="paragraph" w:customStyle="1" w:styleId="gmail-paragraph">
    <w:name w:val="gmail-paragraph"/>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customStyle="1" w:styleId="AppendixH1">
    <w:name w:val="Appendix H1"/>
    <w:basedOn w:val="Normal"/>
    <w:link w:val="AppendixH1Char"/>
    <w:qFormat/>
    <w:pPr>
      <w:numPr>
        <w:numId w:val="18"/>
      </w:numPr>
      <w:suppressAutoHyphens/>
      <w:autoSpaceDN w:val="0"/>
      <w:spacing w:after="200" w:line="276" w:lineRule="auto"/>
      <w:textAlignment w:val="baseline"/>
    </w:pPr>
    <w:rPr>
      <w:rFonts w:ascii="Times New Roman" w:eastAsia="Calibri" w:hAnsi="Times New Roman" w:cs="Times New Roman"/>
      <w:b/>
      <w:sz w:val="24"/>
      <w:szCs w:val="24"/>
    </w:rPr>
  </w:style>
  <w:style w:type="paragraph" w:customStyle="1" w:styleId="AppendixH2">
    <w:name w:val="Appendix H2"/>
    <w:basedOn w:val="Normal"/>
    <w:qFormat/>
    <w:pPr>
      <w:numPr>
        <w:ilvl w:val="1"/>
        <w:numId w:val="18"/>
      </w:numPr>
      <w:suppressAutoHyphens/>
      <w:autoSpaceDN w:val="0"/>
      <w:spacing w:after="200" w:line="276" w:lineRule="auto"/>
      <w:ind w:hanging="454"/>
      <w:textAlignment w:val="baseline"/>
    </w:pPr>
    <w:rPr>
      <w:rFonts w:ascii="Times New Roman" w:eastAsia="Calibri" w:hAnsi="Times New Roman" w:cs="Times New Roman"/>
      <w:b/>
      <w:sz w:val="24"/>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rPr>
  </w:style>
  <w:style w:type="paragraph" w:customStyle="1" w:styleId="AppendixH3">
    <w:name w:val="Appendix H3"/>
    <w:basedOn w:val="Normal"/>
    <w:qFormat/>
    <w:pPr>
      <w:numPr>
        <w:ilvl w:val="2"/>
        <w:numId w:val="18"/>
      </w:numPr>
      <w:suppressAutoHyphens/>
      <w:autoSpaceDN w:val="0"/>
      <w:spacing w:after="200" w:line="276" w:lineRule="auto"/>
      <w:textAlignment w:val="baseline"/>
    </w:pPr>
    <w:rPr>
      <w:rFonts w:ascii="Times New Roman" w:eastAsia="Calibri" w:hAnsi="Times New Roman" w:cs="Times New Roman"/>
      <w:i/>
      <w:sz w:val="24"/>
      <w:szCs w:val="24"/>
    </w:rPr>
  </w:style>
  <w:style w:type="numbering" w:customStyle="1" w:styleId="appendix">
    <w:name w:val="appendix"/>
    <w:pPr>
      <w:numPr>
        <w:numId w:val="22"/>
      </w:numPr>
    </w:p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DocumentSubtitleChar">
    <w:name w:val="Document Subtitle Char"/>
    <w:link w:val="DocumentSubtitle"/>
    <w:locked/>
    <w:rPr>
      <w:rFonts w:ascii="Verdana" w:eastAsia="Times New Roman" w:hAnsi="Verdana"/>
      <w:sz w:val="32"/>
      <w:szCs w:val="36"/>
    </w:rPr>
  </w:style>
  <w:style w:type="paragraph" w:customStyle="1" w:styleId="DocumentSubtitle">
    <w:name w:val="Document Subtitle"/>
    <w:basedOn w:val="Normal"/>
    <w:link w:val="DocumentSubtitleChar"/>
    <w:qFormat/>
    <w:pPr>
      <w:spacing w:line="240" w:lineRule="auto"/>
      <w:jc w:val="center"/>
    </w:pPr>
    <w:rPr>
      <w:rFonts w:ascii="Verdana" w:eastAsia="Times New Roman" w:hAnsi="Verdana"/>
      <w:sz w:val="32"/>
      <w:szCs w:val="36"/>
    </w:rPr>
  </w:style>
  <w:style w:type="paragraph" w:customStyle="1" w:styleId="CM1">
    <w:name w:val="CM1"/>
    <w:basedOn w:val="Default"/>
    <w:next w:val="Default"/>
    <w:uiPriority w:val="99"/>
    <w:pPr>
      <w:spacing w:after="0" w:line="240" w:lineRule="auto"/>
    </w:pPr>
    <w:rPr>
      <w:rFonts w:ascii="EUAlbertina" w:eastAsiaTheme="minorEastAsia" w:hAnsi="EUAlbertina" w:cstheme="minorBidi"/>
      <w:color w:val="auto"/>
      <w:lang w:eastAsia="en-US"/>
    </w:rPr>
  </w:style>
  <w:style w:type="paragraph" w:customStyle="1" w:styleId="CM3">
    <w:name w:val="CM3"/>
    <w:basedOn w:val="Default"/>
    <w:next w:val="Default"/>
    <w:uiPriority w:val="99"/>
    <w:pPr>
      <w:spacing w:after="0" w:line="240" w:lineRule="auto"/>
    </w:pPr>
    <w:rPr>
      <w:rFonts w:ascii="EUAlbertina" w:eastAsiaTheme="minorEastAsia" w:hAnsi="EUAlbertina" w:cstheme="minorBidi"/>
      <w:color w:val="auto"/>
      <w:lang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styleId="ListNumber">
    <w:name w:val="List Number"/>
    <w:basedOn w:val="Normal"/>
    <w:unhideWhenUsed/>
    <w:pPr>
      <w:tabs>
        <w:tab w:val="num" w:pos="709"/>
      </w:tabs>
      <w:spacing w:after="240" w:line="240" w:lineRule="auto"/>
      <w:ind w:left="709" w:hanging="709"/>
      <w:jc w:val="both"/>
    </w:pPr>
    <w:rPr>
      <w:rFonts w:ascii="Times New Roman" w:eastAsia="Times New Roman" w:hAnsi="Times New Roman" w:cs="Times New Roman"/>
      <w:sz w:val="24"/>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rPr>
  </w:style>
  <w:style w:type="paragraph" w:styleId="TOC3">
    <w:name w:val="toc 3"/>
    <w:basedOn w:val="Normal"/>
    <w:next w:val="Normal"/>
    <w:autoRedefine/>
    <w:uiPriority w:val="39"/>
    <w:unhideWhenUsed/>
    <w:qFormat/>
    <w:pPr>
      <w:spacing w:after="100" w:line="276" w:lineRule="auto"/>
      <w:ind w:left="440"/>
    </w:pPr>
    <w:rPr>
      <w:rFonts w:eastAsiaTheme="minorHAns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60" w:after="160" w:line="240" w:lineRule="exact"/>
      <w:jc w:val="both"/>
    </w:pPr>
    <w:rPr>
      <w:rFonts w:eastAsiaTheme="minorHAnsi"/>
      <w:sz w:val="22"/>
      <w:szCs w:val="22"/>
      <w:vertAlign w:val="superscript"/>
    </w:rPr>
  </w:style>
  <w:style w:type="table" w:customStyle="1" w:styleId="CV14">
    <w:name w:val="CV14"/>
    <w:basedOn w:val="TableNormal"/>
    <w:next w:val="TableGrid"/>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DefaultParagraphFont"/>
    <w:link w:val="Text1"/>
    <w:locked/>
    <w:rPr>
      <w:rFonts w:ascii="Times New Roman" w:eastAsia="Times New Roman" w:hAnsi="Times New Roman" w:cs="Times New Roman"/>
      <w:sz w:val="24"/>
    </w:rPr>
  </w:style>
  <w:style w:type="character" w:customStyle="1" w:styleId="FootnoteTextChar1Char1CharChar">
    <w:name w:val="Footnote Text Char1 Char1 Char Char"/>
    <w:aliases w:val="Footnote Text Char Char Char1 Char Char"/>
    <w:uiPriority w:val="99"/>
    <w:locked/>
  </w:style>
  <w:style w:type="paragraph" w:customStyle="1" w:styleId="CM4">
    <w:name w:val="CM4"/>
    <w:basedOn w:val="Default"/>
    <w:next w:val="Default"/>
    <w:uiPriority w:val="99"/>
    <w:pPr>
      <w:spacing w:after="0" w:line="240" w:lineRule="auto"/>
    </w:pPr>
    <w:rPr>
      <w:rFonts w:ascii="EUAlbertina" w:eastAsiaTheme="minorHAnsi" w:hAnsi="EUAlbertina" w:cstheme="minorBidi"/>
      <w:color w:val="auto"/>
      <w:lang w:eastAsia="en-US"/>
    </w:rPr>
  </w:style>
  <w:style w:type="paragraph" w:styleId="BodyTextIndent3">
    <w:name w:val="Body Text Indent 3"/>
    <w:basedOn w:val="Normal"/>
    <w:link w:val="BodyTextIndent3Char"/>
    <w:pPr>
      <w:spacing w:line="240" w:lineRule="auto"/>
      <w:ind w:left="283"/>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GROWChar">
    <w:name w:val="Body GROW Char"/>
    <w:basedOn w:val="DefaultParagraphFont"/>
    <w:link w:val="BodyGROW"/>
    <w:locked/>
    <w:rPr>
      <w:rFonts w:ascii="Verdana" w:hAnsi="Verdana"/>
    </w:rPr>
  </w:style>
  <w:style w:type="paragraph" w:customStyle="1" w:styleId="BodyGROW">
    <w:name w:val="Body GROW"/>
    <w:basedOn w:val="Normal"/>
    <w:link w:val="BodyGROWChar"/>
    <w:qFormat/>
    <w:pPr>
      <w:spacing w:after="240" w:line="276" w:lineRule="auto"/>
    </w:pPr>
    <w:rPr>
      <w:rFonts w:ascii="Verdana" w:hAnsi="Verdana"/>
    </w:rPr>
  </w:style>
  <w:style w:type="character" w:customStyle="1" w:styleId="FootnoteGROWChar">
    <w:name w:val="Footnote GROW Char"/>
    <w:basedOn w:val="BodyGROWChar"/>
    <w:link w:val="FootnoteGROW"/>
    <w:locked/>
    <w:rPr>
      <w:rFonts w:ascii="Verdana" w:hAnsi="Verdana"/>
      <w:sz w:val="16"/>
    </w:rPr>
  </w:style>
  <w:style w:type="paragraph" w:customStyle="1" w:styleId="FootnoteGROW">
    <w:name w:val="Footnote GROW"/>
    <w:basedOn w:val="BodyGROW"/>
    <w:link w:val="FootnoteGROWChar"/>
    <w:qFormat/>
    <w:pPr>
      <w:tabs>
        <w:tab w:val="left" w:pos="113"/>
      </w:tabs>
      <w:spacing w:after="120"/>
    </w:pPr>
    <w:rPr>
      <w:sz w:val="16"/>
    </w:rPr>
  </w:style>
  <w:style w:type="character" w:customStyle="1" w:styleId="SourceChar">
    <w:name w:val="Source Char"/>
    <w:basedOn w:val="DefaultParagraphFont"/>
    <w:link w:val="Source"/>
    <w:locked/>
    <w:rPr>
      <w:rFonts w:ascii="Georgia" w:hAnsi="Georgia"/>
      <w:color w:val="1F497D" w:themeColor="text2"/>
      <w:sz w:val="18"/>
      <w:lang w:val="en-US"/>
    </w:rPr>
  </w:style>
  <w:style w:type="paragraph" w:customStyle="1" w:styleId="Source">
    <w:name w:val="Source"/>
    <w:basedOn w:val="Normal"/>
    <w:next w:val="Normal"/>
    <w:link w:val="SourceChar"/>
    <w:qFormat/>
    <w:pPr>
      <w:spacing w:after="360" w:line="276" w:lineRule="auto"/>
    </w:pPr>
    <w:rPr>
      <w:rFonts w:ascii="Georgia" w:hAnsi="Georgia"/>
      <w:color w:val="1F497D" w:themeColor="text2"/>
      <w:sz w:val="18"/>
      <w:lang w:val="en-US"/>
    </w:rPr>
  </w:style>
  <w:style w:type="character" w:customStyle="1" w:styleId="GROWTabletextChar">
    <w:name w:val="GROW Table text Char"/>
    <w:basedOn w:val="DefaultParagraphFont"/>
    <w:link w:val="GROWTabletext"/>
    <w:locked/>
    <w:rPr>
      <w:rFonts w:ascii="Verdana" w:hAnsi="Verdana"/>
      <w:sz w:val="16"/>
      <w:lang w:val="en-US"/>
    </w:rPr>
  </w:style>
  <w:style w:type="paragraph" w:customStyle="1" w:styleId="GROWTabletext">
    <w:name w:val="GROW Table text"/>
    <w:basedOn w:val="BodyText"/>
    <w:link w:val="GROWTabletextChar"/>
    <w:qFormat/>
    <w:pPr>
      <w:spacing w:after="0" w:line="276" w:lineRule="auto"/>
      <w:jc w:val="left"/>
    </w:pPr>
    <w:rPr>
      <w:rFonts w:ascii="Verdana" w:eastAsiaTheme="minorEastAsia" w:hAnsi="Verdana" w:cstheme="minorBidi"/>
      <w:sz w:val="16"/>
      <w:lang w:val="en-US"/>
    </w:rPr>
  </w:style>
  <w:style w:type="table" w:customStyle="1" w:styleId="TechnopolisLight">
    <w:name w:val="Technopolis Light"/>
    <w:basedOn w:val="TableNormal"/>
    <w:uiPriority w:val="99"/>
    <w:pPr>
      <w:spacing w:before="60" w:after="60" w:line="240" w:lineRule="auto"/>
    </w:pPr>
    <w:rPr>
      <w:rFonts w:asciiTheme="majorHAnsi" w:eastAsiaTheme="minorHAnsi" w:hAnsiTheme="majorHAnsi"/>
      <w:sz w:val="16"/>
      <w:szCs w:val="22"/>
      <w:lang w:val="en-US"/>
    </w:rPr>
    <w:tblPr>
      <w:tblBorders>
        <w:insideH w:val="single" w:sz="4" w:space="0" w:color="8064A2" w:themeColor="accent4"/>
        <w:insideV w:val="single" w:sz="4" w:space="0" w:color="8064A2" w:themeColor="accent4"/>
      </w:tblBorders>
      <w:tblCellMar>
        <w:top w:w="57" w:type="dxa"/>
        <w:bottom w:w="57" w:type="dxa"/>
      </w:tblCellMar>
    </w:tblPr>
    <w:tcPr>
      <w:vAlign w:val="center"/>
    </w:tcPr>
    <w:tblStylePr w:type="firstRow">
      <w:rPr>
        <w:i/>
      </w:rPr>
      <w:tblPr/>
      <w:tcPr>
        <w:tcBorders>
          <w:bottom w:val="single" w:sz="4" w:space="0" w:color="4F81BD" w:themeColor="accent1"/>
        </w:tcBorders>
      </w:tcPr>
    </w:tblStylePr>
  </w:style>
  <w:style w:type="table" w:customStyle="1" w:styleId="aDGGROW">
    <w:name w:val="aDG GROW"/>
    <w:basedOn w:val="TableNormal"/>
    <w:uiPriority w:val="99"/>
    <w:pPr>
      <w:spacing w:after="0" w:line="240" w:lineRule="auto"/>
    </w:pPr>
    <w:rPr>
      <w:rFonts w:ascii="Verdana" w:eastAsia="Times New Roman" w:hAnsi="Verdana" w:cs="Times New Roman"/>
      <w:color w:val="000000" w:themeColor="text1"/>
      <w:sz w:val="16"/>
      <w:szCs w:val="24"/>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hint="default"/>
        <w:b/>
        <w:color w:val="EBE9EA" w:themeColor="background1"/>
        <w:sz w:val="16"/>
        <w:szCs w:val="16"/>
      </w:rPr>
      <w:tblPr/>
      <w:tcPr>
        <w:shd w:val="clear" w:color="auto" w:fill="1F497D" w:themeFill="text2"/>
      </w:tcPr>
    </w:tblStylePr>
  </w:style>
  <w:style w:type="table" w:styleId="MediumGrid3-Accent1">
    <w:name w:val="Medium Grid 3 Accent 1"/>
    <w:basedOn w:val="TableNormal"/>
    <w:uiPriority w:val="69"/>
    <w:pPr>
      <w:spacing w:after="0" w:line="240" w:lineRule="auto"/>
    </w:pPr>
    <w:rPr>
      <w:rFonts w:eastAsiaTheme="minorHAnsi"/>
      <w:sz w:val="22"/>
      <w:szCs w:val="22"/>
    </w:rPr>
    <w:tblPr>
      <w:tblStyleRowBandSize w:val="1"/>
      <w:tblStyleColBandSize w:val="1"/>
      <w:tbl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6" w:space="0" w:color="EBE9EA" w:themeColor="background1"/>
        <w:insideV w:val="single" w:sz="6" w:space="0" w:color="EBE9EA" w:themeColor="background1"/>
      </w:tblBorders>
    </w:tblPr>
    <w:tcPr>
      <w:shd w:val="clear" w:color="auto" w:fill="D3DFEE" w:themeFill="accent1" w:themeFillTint="3F"/>
    </w:tcPr>
    <w:tblStylePr w:type="firstRow">
      <w:rPr>
        <w:b/>
        <w:bCs/>
        <w:i w:val="0"/>
        <w:iCs w:val="0"/>
        <w:color w:val="EBE9EA" w:themeColor="background1"/>
      </w:rPr>
      <w:tblPr/>
      <w:tcPr>
        <w:tcBorders>
          <w:top w:val="single" w:sz="8" w:space="0" w:color="EBE9EA" w:themeColor="background1"/>
          <w:left w:val="single" w:sz="8" w:space="0" w:color="EBE9EA" w:themeColor="background1"/>
          <w:bottom w:val="single" w:sz="24"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lastRow">
      <w:rPr>
        <w:b/>
        <w:bCs/>
        <w:i w:val="0"/>
        <w:iCs w:val="0"/>
        <w:color w:val="EBE9EA" w:themeColor="background1"/>
      </w:rPr>
      <w:tblPr/>
      <w:tcPr>
        <w:tcBorders>
          <w:top w:val="single" w:sz="24" w:space="0" w:color="EBE9EA" w:themeColor="background1"/>
          <w:left w:val="single" w:sz="8" w:space="0" w:color="EBE9EA" w:themeColor="background1"/>
          <w:bottom w:val="single" w:sz="8"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firstCol">
      <w:rPr>
        <w:b/>
        <w:bCs/>
        <w:i w:val="0"/>
        <w:iCs w:val="0"/>
        <w:color w:val="EBE9EA" w:themeColor="background1"/>
      </w:rPr>
      <w:tblPr/>
      <w:tcPr>
        <w:tcBorders>
          <w:left w:val="single" w:sz="8" w:space="0" w:color="EBE9EA" w:themeColor="background1"/>
          <w:right w:val="single" w:sz="24" w:space="0" w:color="EBE9EA" w:themeColor="background1"/>
          <w:insideH w:val="nil"/>
          <w:insideV w:val="nil"/>
        </w:tcBorders>
        <w:shd w:val="clear" w:color="auto" w:fill="4F81BD" w:themeFill="accent1"/>
      </w:tcPr>
    </w:tblStylePr>
    <w:tblStylePr w:type="lastCol">
      <w:rPr>
        <w:b/>
        <w:bCs/>
        <w:i w:val="0"/>
        <w:iCs w:val="0"/>
        <w:color w:val="EBE9EA" w:themeColor="background1"/>
      </w:rPr>
      <w:tblPr/>
      <w:tcPr>
        <w:tcBorders>
          <w:top w:val="nil"/>
          <w:left w:val="single" w:sz="24" w:space="0" w:color="EBE9EA" w:themeColor="background1"/>
          <w:bottom w:val="nil"/>
          <w:right w:val="nil"/>
          <w:insideH w:val="nil"/>
          <w:insideV w:val="nil"/>
        </w:tcBorders>
        <w:shd w:val="clear" w:color="auto" w:fill="4F81BD" w:themeFill="accent1"/>
      </w:tcPr>
    </w:tblStylePr>
    <w:tblStylePr w:type="band1Vert">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nil"/>
          <w:insideV w:val="nil"/>
        </w:tcBorders>
        <w:shd w:val="clear" w:color="auto" w:fill="A7BFDE" w:themeFill="accent1" w:themeFillTint="7F"/>
      </w:tcPr>
    </w:tblStylePr>
    <w:tblStylePr w:type="band1Horz">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8" w:space="0" w:color="EBE9EA" w:themeColor="background1"/>
          <w:insideV w:val="single" w:sz="8" w:space="0" w:color="EBE9EA" w:themeColor="background1"/>
        </w:tcBorders>
        <w:shd w:val="clear" w:color="auto" w:fill="A7BFDE" w:themeFill="accent1" w:themeFillTint="7F"/>
      </w:tcPr>
    </w:tblStyle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cs="Times New Roman"/>
      <w:sz w:val="24"/>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rPr>
  </w:style>
  <w:style w:type="paragraph" w:customStyle="1" w:styleId="GROWBulletpoint1">
    <w:name w:val="GROW Bullet point1"/>
    <w:basedOn w:val="BodyGROW"/>
    <w:link w:val="GROWBulletpoint1Char"/>
    <w:qFormat/>
    <w:pPr>
      <w:numPr>
        <w:numId w:val="47"/>
      </w:numPr>
      <w:spacing w:after="120" w:line="240" w:lineRule="auto"/>
      <w:ind w:left="357" w:hanging="357"/>
      <w:jc w:val="both"/>
    </w:pPr>
    <w:rPr>
      <w:rFonts w:cs="Times New Roman"/>
    </w:rPr>
  </w:style>
  <w:style w:type="character" w:customStyle="1" w:styleId="GROWBulletpoint1Char">
    <w:name w:val="GROW Bullet point1 Char"/>
    <w:basedOn w:val="DefaultParagraphFont"/>
    <w:link w:val="GROWBulletpoint1"/>
    <w:rPr>
      <w:rFonts w:ascii="Verdana" w:hAnsi="Verdana" w:cs="Times New Roman"/>
    </w:rPr>
  </w:style>
  <w:style w:type="paragraph" w:customStyle="1" w:styleId="SourceGROW">
    <w:name w:val="Source GROW"/>
    <w:basedOn w:val="BodyGROW"/>
    <w:next w:val="BodyGROW"/>
    <w:link w:val="SourceGROWChar"/>
    <w:qFormat/>
    <w:pPr>
      <w:spacing w:after="360" w:line="240" w:lineRule="auto"/>
      <w:jc w:val="both"/>
    </w:pPr>
    <w:rPr>
      <w:rFonts w:eastAsia="Times New Roman" w:cs="Times New Roman"/>
      <w:color w:val="7A6F75" w:themeColor="background1" w:themeShade="80"/>
      <w:sz w:val="16"/>
    </w:rPr>
  </w:style>
  <w:style w:type="character" w:customStyle="1" w:styleId="SourceGROWChar">
    <w:name w:val="Source GROW Char"/>
    <w:basedOn w:val="BodyTextChar"/>
    <w:link w:val="SourceGROW"/>
    <w:rPr>
      <w:rFonts w:ascii="Verdana" w:eastAsia="Times New Roman" w:hAnsi="Verdana" w:cs="Times New Roman"/>
      <w:color w:val="7A6F75" w:themeColor="background1" w:themeShade="80"/>
      <w:sz w:val="16"/>
      <w:szCs w:val="20"/>
    </w:rPr>
  </w:style>
  <w:style w:type="paragraph" w:styleId="ListContinue">
    <w:name w:val="List Continue"/>
    <w:basedOn w:val="Normal"/>
    <w:uiPriority w:val="99"/>
    <w:semiHidden/>
    <w:unhideWhenUsed/>
    <w:pPr>
      <w:spacing w:line="276" w:lineRule="auto"/>
      <w:ind w:left="283"/>
      <w:contextualSpacing/>
    </w:pPr>
    <w:rPr>
      <w:rFonts w:eastAsiaTheme="minorHAnsi"/>
      <w:sz w:val="22"/>
      <w:szCs w:val="22"/>
    </w:rPr>
  </w:style>
  <w:style w:type="table" w:customStyle="1" w:styleId="MediumGrid3-Accent11">
    <w:name w:val="Medium Grid 3 - Accent 11"/>
    <w:basedOn w:val="TableNormal"/>
    <w:next w:val="MediumGrid3-Accent1"/>
    <w:uiPriority w:val="69"/>
    <w:pPr>
      <w:spacing w:after="0" w:line="240" w:lineRule="auto"/>
    </w:pPr>
    <w:rPr>
      <w:rFonts w:eastAsiaTheme="minorHAnsi"/>
      <w:sz w:val="22"/>
      <w:szCs w:val="22"/>
    </w:rPr>
    <w:tblPr>
      <w:tblStyleRowBandSize w:val="1"/>
      <w:tblStyleColBandSize w:val="1"/>
      <w:tbl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6" w:space="0" w:color="EBE9EA" w:themeColor="background1"/>
        <w:insideV w:val="single" w:sz="6" w:space="0" w:color="EBE9EA" w:themeColor="background1"/>
      </w:tblBorders>
    </w:tblPr>
    <w:tcPr>
      <w:shd w:val="clear" w:color="auto" w:fill="D3DFEE" w:themeFill="accent1" w:themeFillTint="3F"/>
    </w:tcPr>
    <w:tblStylePr w:type="firstRow">
      <w:rPr>
        <w:b/>
        <w:bCs/>
        <w:i w:val="0"/>
        <w:iCs w:val="0"/>
        <w:color w:val="EBE9EA" w:themeColor="background1"/>
      </w:rPr>
      <w:tblPr/>
      <w:tcPr>
        <w:tcBorders>
          <w:top w:val="single" w:sz="8" w:space="0" w:color="EBE9EA" w:themeColor="background1"/>
          <w:left w:val="single" w:sz="8" w:space="0" w:color="EBE9EA" w:themeColor="background1"/>
          <w:bottom w:val="single" w:sz="24"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lastRow">
      <w:rPr>
        <w:b/>
        <w:bCs/>
        <w:i w:val="0"/>
        <w:iCs w:val="0"/>
        <w:color w:val="EBE9EA" w:themeColor="background1"/>
      </w:rPr>
      <w:tblPr/>
      <w:tcPr>
        <w:tcBorders>
          <w:top w:val="single" w:sz="24" w:space="0" w:color="EBE9EA" w:themeColor="background1"/>
          <w:left w:val="single" w:sz="8" w:space="0" w:color="EBE9EA" w:themeColor="background1"/>
          <w:bottom w:val="single" w:sz="8"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firstCol">
      <w:rPr>
        <w:b/>
        <w:bCs/>
        <w:i w:val="0"/>
        <w:iCs w:val="0"/>
        <w:color w:val="EBE9EA" w:themeColor="background1"/>
      </w:rPr>
      <w:tblPr/>
      <w:tcPr>
        <w:tcBorders>
          <w:left w:val="single" w:sz="8" w:space="0" w:color="EBE9EA" w:themeColor="background1"/>
          <w:right w:val="single" w:sz="24" w:space="0" w:color="EBE9EA" w:themeColor="background1"/>
          <w:insideH w:val="nil"/>
          <w:insideV w:val="nil"/>
        </w:tcBorders>
        <w:shd w:val="clear" w:color="auto" w:fill="4F81BD" w:themeFill="accent1"/>
      </w:tcPr>
    </w:tblStylePr>
    <w:tblStylePr w:type="lastCol">
      <w:rPr>
        <w:b/>
        <w:bCs/>
        <w:i w:val="0"/>
        <w:iCs w:val="0"/>
        <w:color w:val="EBE9EA" w:themeColor="background1"/>
      </w:rPr>
      <w:tblPr/>
      <w:tcPr>
        <w:tcBorders>
          <w:top w:val="nil"/>
          <w:left w:val="single" w:sz="24" w:space="0" w:color="EBE9EA" w:themeColor="background1"/>
          <w:bottom w:val="nil"/>
          <w:right w:val="nil"/>
          <w:insideH w:val="nil"/>
          <w:insideV w:val="nil"/>
        </w:tcBorders>
        <w:shd w:val="clear" w:color="auto" w:fill="4F81BD" w:themeFill="accent1"/>
      </w:tcPr>
    </w:tblStylePr>
    <w:tblStylePr w:type="band1Vert">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nil"/>
          <w:insideV w:val="nil"/>
        </w:tcBorders>
        <w:shd w:val="clear" w:color="auto" w:fill="A7BFDE" w:themeFill="accent1" w:themeFillTint="7F"/>
      </w:tcPr>
    </w:tblStylePr>
    <w:tblStylePr w:type="band1Horz">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8" w:space="0" w:color="EBE9EA" w:themeColor="background1"/>
          <w:insideV w:val="single" w:sz="8" w:space="0" w:color="EBE9EA" w:themeColor="background1"/>
        </w:tcBorders>
        <w:shd w:val="clear" w:color="auto" w:fill="A7BFDE" w:themeFill="accent1" w:themeFillTint="7F"/>
      </w:tcPr>
    </w:tblStyle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fr-FR"/>
    </w:rPr>
  </w:style>
  <w:style w:type="character" w:customStyle="1" w:styleId="HTMLPreformattedChar">
    <w:name w:val="HTML Preformatted Char"/>
    <w:basedOn w:val="DefaultParagraphFont"/>
    <w:link w:val="HTMLPreformatted"/>
    <w:uiPriority w:val="99"/>
    <w:semiHidden/>
    <w:rPr>
      <w:rFonts w:ascii="Courier New" w:eastAsiaTheme="minorHAnsi" w:hAnsi="Courier New" w:cs="Courier New"/>
      <w:lang w:eastAsia="fr-FR"/>
    </w:rPr>
  </w:style>
  <w:style w:type="numbering" w:customStyle="1" w:styleId="NoList1">
    <w:name w:val="No List1"/>
    <w:next w:val="NoList"/>
    <w:uiPriority w:val="99"/>
    <w:semiHidden/>
    <w:unhideWhenUsed/>
  </w:style>
  <w:style w:type="character" w:customStyle="1" w:styleId="tgc">
    <w:name w:val="_tgc"/>
    <w:basedOn w:val="DefaultParagraphFont"/>
  </w:style>
  <w:style w:type="character" w:customStyle="1" w:styleId="FootnoteReference1">
    <w:name w:val="Footnote Reference1"/>
    <w:rPr>
      <w:vertAlign w:val="superscript"/>
    </w:rPr>
  </w:style>
  <w:style w:type="character" w:customStyle="1" w:styleId="Funotenzeichen">
    <w:name w:val="Fußnotenzeichen"/>
  </w:style>
  <w:style w:type="table" w:customStyle="1" w:styleId="CV15">
    <w:name w:val="CV15"/>
    <w:basedOn w:val="TableNormal"/>
    <w:next w:val="TableGrid"/>
    <w:uiPriority w:val="5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rPr>
  </w:style>
  <w:style w:type="numbering" w:customStyle="1" w:styleId="NoList2">
    <w:name w:val="No List2"/>
    <w:next w:val="NoList"/>
    <w:uiPriority w:val="99"/>
    <w:semiHidden/>
    <w:unhideWhenUsed/>
  </w:style>
  <w:style w:type="table" w:customStyle="1" w:styleId="CV16">
    <w:name w:val="CV16"/>
    <w:basedOn w:val="TableNormal"/>
    <w:next w:val="TableGrid"/>
    <w:uiPriority w:val="5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0">
    <w:name w:val="text2"/>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TOC4">
    <w:name w:val="toc 4"/>
    <w:basedOn w:val="Normal"/>
    <w:next w:val="Normal"/>
    <w:autoRedefine/>
    <w:uiPriority w:val="39"/>
    <w:unhideWhenUsed/>
    <w:pPr>
      <w:spacing w:after="100" w:line="276" w:lineRule="auto"/>
      <w:ind w:left="660"/>
    </w:pPr>
    <w:rPr>
      <w:sz w:val="22"/>
      <w:szCs w:val="22"/>
      <w:lang w:eastAsia="en-GB"/>
    </w:rPr>
  </w:style>
  <w:style w:type="paragraph" w:styleId="TOC5">
    <w:name w:val="toc 5"/>
    <w:basedOn w:val="Normal"/>
    <w:next w:val="Normal"/>
    <w:autoRedefine/>
    <w:uiPriority w:val="39"/>
    <w:unhideWhenUsed/>
    <w:pPr>
      <w:spacing w:after="100" w:line="276" w:lineRule="auto"/>
      <w:ind w:left="880"/>
    </w:pPr>
    <w:rPr>
      <w:sz w:val="22"/>
      <w:szCs w:val="22"/>
      <w:lang w:eastAsia="en-GB"/>
    </w:rPr>
  </w:style>
  <w:style w:type="paragraph" w:styleId="TOC6">
    <w:name w:val="toc 6"/>
    <w:basedOn w:val="Normal"/>
    <w:next w:val="Normal"/>
    <w:autoRedefine/>
    <w:uiPriority w:val="39"/>
    <w:unhideWhenUsed/>
    <w:pPr>
      <w:spacing w:after="100" w:line="276" w:lineRule="auto"/>
      <w:ind w:left="1100"/>
    </w:pPr>
    <w:rPr>
      <w:sz w:val="22"/>
      <w:szCs w:val="22"/>
      <w:lang w:eastAsia="en-GB"/>
    </w:rPr>
  </w:style>
  <w:style w:type="paragraph" w:styleId="TOC7">
    <w:name w:val="toc 7"/>
    <w:basedOn w:val="Normal"/>
    <w:next w:val="Normal"/>
    <w:autoRedefine/>
    <w:uiPriority w:val="39"/>
    <w:unhideWhenUsed/>
    <w:pPr>
      <w:spacing w:after="100" w:line="276" w:lineRule="auto"/>
      <w:ind w:left="1320"/>
    </w:pPr>
    <w:rPr>
      <w:sz w:val="22"/>
      <w:szCs w:val="22"/>
      <w:lang w:eastAsia="en-GB"/>
    </w:rPr>
  </w:style>
  <w:style w:type="paragraph" w:styleId="TOC8">
    <w:name w:val="toc 8"/>
    <w:basedOn w:val="Normal"/>
    <w:next w:val="Normal"/>
    <w:autoRedefine/>
    <w:uiPriority w:val="39"/>
    <w:unhideWhenUsed/>
    <w:pPr>
      <w:spacing w:after="100" w:line="276" w:lineRule="auto"/>
      <w:ind w:left="1540"/>
    </w:pPr>
    <w:rPr>
      <w:sz w:val="22"/>
      <w:szCs w:val="22"/>
      <w:lang w:eastAsia="en-GB"/>
    </w:rPr>
  </w:style>
  <w:style w:type="paragraph" w:styleId="TOC9">
    <w:name w:val="toc 9"/>
    <w:basedOn w:val="Normal"/>
    <w:next w:val="Normal"/>
    <w:autoRedefine/>
    <w:uiPriority w:val="39"/>
    <w:unhideWhenUsed/>
    <w:pPr>
      <w:spacing w:after="100" w:line="276" w:lineRule="auto"/>
      <w:ind w:left="1760"/>
    </w:pPr>
    <w:rPr>
      <w:sz w:val="22"/>
      <w:szCs w:val="22"/>
      <w:lang w:eastAsia="en-GB"/>
    </w:rPr>
  </w:style>
  <w:style w:type="character" w:customStyle="1" w:styleId="A6">
    <w:name w:val="A6"/>
    <w:uiPriority w:val="99"/>
    <w:rPr>
      <w:rFonts w:cs="Garamond"/>
      <w:color w:val="000000"/>
      <w:sz w:val="22"/>
      <w:szCs w:val="22"/>
    </w:rPr>
  </w:style>
  <w:style w:type="table" w:customStyle="1" w:styleId="Simpletable1">
    <w:name w:val="Simple table1"/>
    <w:basedOn w:val="TableNormal"/>
    <w:next w:val="TableGrid"/>
    <w:uiPriority w:val="5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GROW H2"/>
    <w:basedOn w:val="Normal"/>
    <w:next w:val="Normal"/>
    <w:link w:val="Heading2Char"/>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GROW H3,T3,Kop 3,h3,Numbered - 3,H3,H31,Headline 3,h31,h32,Sub Paragraph,Voorwoord,ASAPHeading 3,Level 1 - 1,Heading 3 - old,Heading 2.3,1.2.3.,Titles,(Alt+3),(Alt+3)1,(Alt+3)2,(Alt+3)3,(Alt+3)4,(Alt+3)5,(Alt+3)6,(Alt+3)11,(Alt+3)21,(Alt+3)31"/>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4,heading 4,Heading 4 CFMU,Header 4,Numbered 4 (SBC),Heading 4 - SBC,dash,Map Title,H4,Topic Major,RFQ3,l4,4,4heading,heading4,heading,Subhead C,FigureHead,Level 2 - a,Sub Sub Paragraph,Titre 4-esis,mh,subhead 3,subhead 31,h41,subhead 32"/>
    <w:basedOn w:val="Normal"/>
    <w:next w:val="Normal"/>
    <w:link w:val="Heading4Char"/>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GROW H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GROW H2 Char"/>
    <w:basedOn w:val="DefaultParagraphFont"/>
    <w:link w:val="Heading2"/>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GROW H3 Char,T3 Char,Kop 3 Char,h3 Char,Numbered - 3 Char,H3 Char,H31 Char,Headline 3 Char,h31 Char,h32 Char,Sub Paragraph Char,Voorwoord Char,ASAPHeading 3 Char,Level 1 - 1 Char,Heading 3 - old Char,Heading 2.3 Char,1.2.3. Char"/>
    <w:basedOn w:val="DefaultParagraphFont"/>
    <w:link w:val="Heading3"/>
    <w:uiPriority w:val="9"/>
    <w:rPr>
      <w:rFonts w:asciiTheme="majorHAnsi" w:eastAsiaTheme="majorEastAsia" w:hAnsiTheme="majorHAnsi" w:cstheme="majorBidi"/>
      <w:color w:val="1F497D" w:themeColor="text2"/>
      <w:sz w:val="24"/>
      <w:szCs w:val="24"/>
    </w:rPr>
  </w:style>
  <w:style w:type="character" w:customStyle="1" w:styleId="Heading4Char">
    <w:name w:val="Heading 4 Char"/>
    <w:aliases w:val="h4 Char,heading 4 Char,Heading 4 CFMU Char,Header 4 Char,Numbered 4 (SBC) Char,Heading 4 - SBC Char,dash Char,Map Title Char,H4 Char,Topic Major Char,RFQ3 Char,l4 Char,4 Char,4heading Char,heading4 Char,heading Char,Subhead C Char,mh Char"/>
    <w:basedOn w:val="DefaultParagraphFont"/>
    <w:link w:val="Heading4"/>
    <w:rPr>
      <w:rFonts w:asciiTheme="majorHAnsi" w:eastAsiaTheme="majorEastAsia" w:hAnsiTheme="majorHAnsi" w:cstheme="majorBidi"/>
      <w:sz w:val="22"/>
      <w:szCs w:val="22"/>
    </w:rPr>
  </w:style>
  <w:style w:type="paragraph" w:customStyle="1" w:styleId="Text1">
    <w:name w:val="Text 1"/>
    <w:basedOn w:val="Normal"/>
    <w:link w:val="Text1Char"/>
    <w:pPr>
      <w:spacing w:after="240"/>
      <w:ind w:left="482"/>
      <w:jc w:val="both"/>
    </w:pPr>
    <w:rPr>
      <w:rFonts w:ascii="Times New Roman" w:eastAsia="Times New Roman" w:hAnsi="Times New Roman" w:cs="Times New Roman"/>
      <w:sz w:val="24"/>
    </w:rPr>
  </w:style>
  <w:style w:type="paragraph" w:customStyle="1" w:styleId="Text2">
    <w:name w:val="Text 2"/>
    <w:basedOn w:val="Normal"/>
    <w:pPr>
      <w:tabs>
        <w:tab w:val="left" w:pos="2302"/>
      </w:tabs>
      <w:spacing w:after="240"/>
      <w:ind w:left="1202"/>
      <w:jc w:val="both"/>
    </w:pPr>
    <w:rPr>
      <w:rFonts w:ascii="Times New Roman" w:eastAsia="Times New Roman" w:hAnsi="Times New Roman" w:cs="Times New Roman"/>
      <w:sz w:val="24"/>
    </w:rPr>
  </w:style>
  <w:style w:type="paragraph" w:styleId="ListBullet">
    <w:name w:val="List Bullet"/>
    <w:aliases w:val="First Tier Bullet,résumé,rÈsumÈ,Cha,r»sum»,rªsumª,EPEC List Bullet,UL,List Bullet2,List Bullet Char,List Bullet Char1 Char,List Bullet Char Char Char,List Bullet Char1 Char Char Char,List Bullet Char Char Char Char Char"/>
    <w:basedOn w:val="Normal"/>
    <w:pPr>
      <w:numPr>
        <w:numId w:val="1"/>
      </w:numPr>
      <w:spacing w:after="240"/>
      <w:jc w:val="both"/>
    </w:pPr>
    <w:rPr>
      <w:rFonts w:ascii="Times New Roman" w:eastAsia="Times New Roman" w:hAnsi="Times New Roman" w:cs="Times New Roman"/>
      <w:sz w:val="24"/>
    </w:rPr>
  </w:style>
  <w:style w:type="paragraph" w:customStyle="1" w:styleId="ListDash1">
    <w:name w:val="List Dash 1"/>
    <w:basedOn w:val="Text1"/>
    <w:pPr>
      <w:numPr>
        <w:numId w:val="2"/>
      </w:numPr>
    </w:pPr>
  </w:style>
  <w:style w:type="table" w:styleId="TableGrid">
    <w:name w:val="Table Grid"/>
    <w:aliases w:val="Document Table,CV1,Standard table format,Simple table"/>
    <w:basedOn w:val="TableNormal"/>
    <w:uiPriority w:val="5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rFonts w:ascii="Times New Roman" w:eastAsia="Times New Roman" w:hAnsi="Times New Roman" w:cs="Times New Roman"/>
      <w:b/>
      <w:sz w:val="32"/>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right" w:leader="dot" w:pos="8640"/>
      </w:tabs>
      <w:spacing w:before="120"/>
      <w:ind w:left="482" w:right="720" w:hanging="482"/>
      <w:jc w:val="both"/>
    </w:pPr>
    <w:rPr>
      <w:rFonts w:ascii="Times New Roman" w:eastAsia="Times New Roman" w:hAnsi="Times New Roman" w:cs="Times New Roman"/>
      <w:caps/>
    </w:rPr>
  </w:style>
  <w:style w:type="paragraph" w:styleId="TOC2">
    <w:name w:val="toc 2"/>
    <w:basedOn w:val="Normal"/>
    <w:next w:val="Normal"/>
    <w:uiPriority w:val="39"/>
    <w:qFormat/>
    <w:pPr>
      <w:tabs>
        <w:tab w:val="right" w:leader="dot" w:pos="8640"/>
      </w:tabs>
      <w:spacing w:before="60" w:after="60"/>
      <w:ind w:left="1077" w:right="720" w:hanging="595"/>
      <w:jc w:val="both"/>
    </w:pPr>
    <w:rPr>
      <w:rFonts w:ascii="Times New Roman" w:eastAsia="Times New Roman" w:hAnsi="Times New Roman" w:cs="Times New Roman"/>
      <w:sz w:val="24"/>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styleId="FootnoteText">
    <w:name w:val="footnote text"/>
    <w:aliases w:val="footnote,Footnote Text Char Char,Footnote Text Char1 Char Char,Footnote Text Char Char Char Char,Footnote Text Char1 Char Char Char Char,Footnote Text Char Char Char Char Char Char,fn,Footnote Text Char Char1 Char Char,Char,Fußnote,stile 1"/>
    <w:basedOn w:val="Normal"/>
    <w:link w:val="FootnoteTextChar"/>
    <w:uiPriority w:val="99"/>
    <w:unhideWhenUsed/>
    <w:qFormat/>
    <w:pPr>
      <w:ind w:left="720" w:hanging="720"/>
    </w:pPr>
    <w:rPr>
      <w:rFonts w:ascii="Times New Roman" w:hAnsi="Times New Roman"/>
      <w:sz w:val="18"/>
    </w:rPr>
  </w:style>
  <w:style w:type="character" w:customStyle="1" w:styleId="FootnoteTextChar">
    <w:name w:val="Footnote Text Char"/>
    <w:aliases w:val="footnote Char,Footnote Text Char Char Char,Footnote Text Char1 Char Char Char,Footnote Text Char Char Char Char Char,Footnote Text Char1 Char Char Char Char Char,Footnote Text Char Char Char Char Char Char Char,fn Char,Char Char"/>
    <w:basedOn w:val="DefaultParagraphFont"/>
    <w:link w:val="FootnoteText"/>
    <w:uiPriority w:val="99"/>
    <w:qFormat/>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SUPERSCar"/>
    <w:uiPriority w:val="99"/>
    <w:unhideWhenUsed/>
    <w:qFormat/>
    <w:rPr>
      <w:vertAlign w:val="superscript"/>
    </w:rPr>
  </w:style>
  <w:style w:type="paragraph" w:customStyle="1" w:styleId="NormalNoSpace">
    <w:name w:val="NormalNoSpace"/>
    <w:aliases w:val="Body TextNoSpace"/>
    <w:basedOn w:val="Normal"/>
    <w:uiPriority w:val="1"/>
    <w:pPr>
      <w:spacing w:before="80" w:after="80"/>
      <w:jc w:val="both"/>
    </w:pPr>
    <w:rPr>
      <w:rFonts w:ascii="Times New Roman" w:hAnsi="Times New Roman" w:cs="Times New Roman"/>
      <w:color w:val="000000" w:themeColor="text1"/>
      <w:sz w:val="24"/>
      <w:szCs w:val="24"/>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19"/>
    <w:pPr>
      <w:spacing w:after="160" w:line="240" w:lineRule="exact"/>
    </w:pPr>
    <w:rPr>
      <w:vertAlign w:val="superscript"/>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DGEMPLStandard">
    <w:name w:val="DGEMPL_Standard"/>
    <w:link w:val="DGEMPLStandardCarattere"/>
    <w:qFormat/>
    <w:pPr>
      <w:spacing w:before="120"/>
      <w:jc w:val="both"/>
    </w:pPr>
    <w:rPr>
      <w:rFonts w:ascii="Verdana" w:eastAsia="Times New Roman" w:hAnsi="Verdana" w:cs="Times New Roman"/>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Declassification">
    <w:name w:val="Declassification"/>
    <w:basedOn w:val="Normal"/>
    <w:next w:val="Normal"/>
    <w:pPr>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AppelnotedebasdepageCharCharCharCharCharCharChar">
    <w:name w:val="Appel note de bas de page Char Char Char Char Char Char Char"/>
    <w:basedOn w:val="Normal"/>
    <w:uiPriority w:val="99"/>
    <w:pPr>
      <w:jc w:val="both"/>
    </w:pPr>
    <w:rPr>
      <w:rFonts w:ascii="Calibri" w:eastAsia="Calibri" w:hAnsi="Calibri" w:cs="Times New Roman"/>
      <w:vertAlign w:val="superscript"/>
      <w:lang w:eastAsia="en-GB"/>
    </w:rPr>
  </w:style>
  <w:style w:type="paragraph" w:customStyle="1" w:styleId="BodyText2">
    <w:name w:val="Body Text2"/>
    <w:basedOn w:val="Normal"/>
    <w:qFormat/>
    <w:pPr>
      <w:autoSpaceDE w:val="0"/>
      <w:autoSpaceDN w:val="0"/>
      <w:adjustRightInd w:val="0"/>
      <w:spacing w:before="60" w:after="60"/>
      <w:jc w:val="both"/>
    </w:pPr>
    <w:rPr>
      <w:rFonts w:ascii="Times New Roman" w:eastAsia="Calibri" w:hAnsi="Times New Roman" w:cs="Times New Roman"/>
      <w:bCs/>
      <w:noProof/>
      <w:color w:val="000000"/>
      <w:sz w:val="24"/>
      <w:szCs w:val="24"/>
    </w:rPr>
  </w:style>
  <w:style w:type="paragraph" w:customStyle="1" w:styleId="fr">
    <w:name w:val="fr"/>
    <w:aliases w:val="Odwo&lt;0142&gt;anie przypisu,SUPER,BVI fnr Char1 Char,Footnote Reference_LVL6,Footnote Reference_LVL61,Footnote Reference_LVL62,Footnote Reference_LVL63,Footnote Reference_LVL64,Footnote Reference Number Char Char,Times 10 Point Char Char,Char1,o,Style 6"/>
    <w:basedOn w:val="Normal"/>
    <w:next w:val="Normal"/>
    <w:uiPriority w:val="99"/>
    <w:pPr>
      <w:spacing w:after="160" w:line="240" w:lineRule="exact"/>
      <w:jc w:val="both"/>
    </w:pPr>
    <w:rPr>
      <w:rFonts w:ascii="Times New Roman" w:eastAsia="Times New Roman" w:hAnsi="Times New Roman" w:cs="Times New Roman"/>
      <w:vertAlign w:val="superscript"/>
      <w:lang w:eastAsia="en-GB"/>
    </w:rPr>
  </w:style>
  <w:style w:type="paragraph" w:customStyle="1" w:styleId="Heading3NoNumb">
    <w:name w:val="Heading 3NoNumb"/>
    <w:aliases w:val="Heading3NoNumb"/>
    <w:basedOn w:val="Heading3"/>
    <w:next w:val="Normal"/>
    <w:uiPriority w:val="5"/>
    <w:pPr>
      <w:spacing w:before="120" w:after="120"/>
      <w:ind w:left="680" w:hanging="680"/>
    </w:pPr>
    <w:rPr>
      <w:b/>
      <w:bCs/>
      <w:i/>
      <w:lang w:eastAsia="en-GB"/>
    </w:rPr>
  </w:style>
  <w:style w:type="paragraph" w:styleId="Revision">
    <w:name w:val="Revision"/>
    <w:hidden/>
    <w:uiPriority w:val="99"/>
    <w:semiHidden/>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Calibri" w:eastAsia="Calibri" w:hAnsi="Calibri" w:cs="Times New Roman"/>
      <w:vertAlign w:val="superscript"/>
      <w:lang w:val="it-IT" w:eastAsia="it-IT"/>
    </w:rPr>
  </w:style>
  <w:style w:type="paragraph" w:styleId="BodyText">
    <w:name w:val="Body Text"/>
    <w:aliases w:val="Document,Doc,doc,Standard paragraph,BodyText, (Norm),Body Text 12,bt,gl,uvlaka 2,(Norm),heading3,Body Text - Level 2,1body,BodText,body text,Body Txt,Body Text-10,Body Text Char2,Text Char1,Τίτλος Μελέτης,- TF,b.,b,F2 Body Text,Text,- ,Te,-"/>
    <w:basedOn w:val="Normal"/>
    <w:link w:val="BodyTextChar"/>
    <w:uiPriority w:val="99"/>
    <w:qFormat/>
    <w:pPr>
      <w:jc w:val="both"/>
    </w:pPr>
    <w:rPr>
      <w:rFonts w:ascii="Times New Roman" w:eastAsia="Times New Roman" w:hAnsi="Times New Roman" w:cs="Times New Roman"/>
      <w:sz w:val="24"/>
    </w:rPr>
  </w:style>
  <w:style w:type="character" w:customStyle="1" w:styleId="BodyTextChar">
    <w:name w:val="Body Text Char"/>
    <w:aliases w:val="Document Char,Doc Char,doc Char,Standard paragraph Char,BodyText Char, (Norm) Char,Body Text 12 Char,bt Char,gl Char,uvlaka 2 Char,(Norm) Char,heading3 Char,Body Text - Level 2 Char,1body Char,BodText Char,body text Char,Body Txt Char"/>
    <w:basedOn w:val="DefaultParagraphFont"/>
    <w:link w:val="BodyText"/>
    <w:uiPriority w:val="99"/>
    <w:rPr>
      <w:rFonts w:ascii="Times New Roman" w:eastAsia="Times New Roman" w:hAnsi="Times New Roman" w:cs="Times New Roman"/>
      <w:sz w:val="24"/>
      <w:szCs w:val="20"/>
    </w:rPr>
  </w:style>
  <w:style w:type="paragraph" w:styleId="Caption">
    <w:name w:val="caption"/>
    <w:aliases w:val="Table Title,GROW Caption,Caption1 Char Char Char Char Char Char Char Char Tegn Tegn Tegn Tegn Tegn,Caption1 Char Char Char Char Char Char Char Char Tegn Tegn Tegn,Caption1 Char Char Char Char Char Char Char Char Tegn Tegn,Ch"/>
    <w:basedOn w:val="Normal"/>
    <w:next w:val="Normal"/>
    <w:link w:val="CaptionChar"/>
    <w:unhideWhenUsed/>
    <w:qFormat/>
    <w:pPr>
      <w:spacing w:line="240" w:lineRule="auto"/>
    </w:pPr>
    <w:rPr>
      <w:b/>
      <w:bCs/>
      <w:smallCaps/>
      <w:color w:val="595959" w:themeColor="text1" w:themeTint="A6"/>
      <w:spacing w:val="6"/>
    </w:rPr>
  </w:style>
  <w:style w:type="paragraph" w:customStyle="1" w:styleId="Bullet3Space">
    <w:name w:val="Bullet 3 Space"/>
    <w:aliases w:val="Bullet3Last,BTBullet3Last"/>
    <w:basedOn w:val="Normal"/>
    <w:uiPriority w:val="11"/>
    <w:pPr>
      <w:numPr>
        <w:numId w:val="5"/>
      </w:numPr>
      <w:spacing w:before="120"/>
    </w:pPr>
    <w:rPr>
      <w:rFonts w:ascii="Verdana" w:hAnsi="Verdana"/>
      <w:color w:val="000000" w:themeColor="text1"/>
    </w:rPr>
  </w:style>
  <w:style w:type="paragraph" w:customStyle="1" w:styleId="Body">
    <w:name w:val="Body"/>
    <w:basedOn w:val="Normal"/>
    <w:link w:val="BodyChar"/>
    <w:pPr>
      <w:spacing w:after="240"/>
    </w:pPr>
    <w:rPr>
      <w:rFonts w:ascii="Verdana" w:eastAsia="Times New Roman" w:hAnsi="Verdana" w:cs="Times New Roman"/>
      <w:sz w:val="18"/>
    </w:rPr>
  </w:style>
  <w:style w:type="character" w:customStyle="1" w:styleId="BodyChar">
    <w:name w:val="Body Char"/>
    <w:link w:val="Body"/>
    <w:rPr>
      <w:rFonts w:ascii="Verdana" w:eastAsia="Times New Roman" w:hAnsi="Verdana" w:cs="Times New Roman"/>
      <w:sz w:val="18"/>
      <w:szCs w:val="20"/>
    </w:rPr>
  </w:style>
  <w:style w:type="paragraph" w:customStyle="1" w:styleId="NumPar1">
    <w:name w:val="NumPar 1"/>
    <w:basedOn w:val="Normal"/>
    <w:next w:val="Text1"/>
    <w:pPr>
      <w:numPr>
        <w:numId w:val="6"/>
      </w:numPr>
      <w:spacing w:before="120"/>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jc w:val="both"/>
    </w:pPr>
    <w:rPr>
      <w:rFonts w:ascii="Times New Roman" w:hAnsi="Times New Roman" w:cs="Times New Roman"/>
      <w:sz w:val="24"/>
    </w:rPr>
  </w:style>
  <w:style w:type="character" w:customStyle="1" w:styleId="Bodytext20">
    <w:name w:val="Body text (2)"/>
    <w:basedOn w:val="DefaultParagraphFont"/>
    <w:rPr>
      <w:rFonts w:ascii="Times New Roman" w:eastAsia="Times New Roman" w:hAnsi="Times New Roman" w:cs="Times New Roman"/>
      <w:b w:val="0"/>
      <w:bCs w:val="0"/>
      <w:i w:val="0"/>
      <w:iCs w:val="0"/>
      <w:smallCaps w:val="0"/>
      <w:strike w:val="0"/>
      <w:color w:val="1A171C"/>
      <w:spacing w:val="0"/>
      <w:w w:val="100"/>
      <w:position w:val="0"/>
      <w:sz w:val="18"/>
      <w:szCs w:val="18"/>
      <w:u w:val="none"/>
      <w:lang w:val="en-US" w:eastAsia="en-US" w:bidi="en-US"/>
    </w:rPr>
  </w:style>
  <w:style w:type="paragraph" w:styleId="NormalWeb">
    <w:name w:val="Normal (Web)"/>
    <w:basedOn w:val="Normal"/>
    <w:link w:val="NormalWebChar"/>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harCharChar">
    <w:name w:val="Char Char Char"/>
    <w:basedOn w:val="Normal"/>
    <w:uiPriority w:val="99"/>
    <w:pPr>
      <w:spacing w:before="60" w:after="160" w:line="240" w:lineRule="exact"/>
    </w:pPr>
    <w:rPr>
      <w:rFonts w:ascii="EYInterstate Light" w:hAnsi="EYInterstate Light"/>
      <w:sz w:val="16"/>
      <w:vertAlign w:val="superscript"/>
    </w:rPr>
  </w:style>
  <w:style w:type="paragraph" w:customStyle="1" w:styleId="Pa2">
    <w:name w:val="Pa2"/>
    <w:basedOn w:val="Default"/>
    <w:next w:val="Default"/>
    <w:uiPriority w:val="99"/>
    <w:pPr>
      <w:spacing w:line="241" w:lineRule="atLeast"/>
    </w:pPr>
    <w:rPr>
      <w:rFonts w:ascii="Arial" w:eastAsiaTheme="minorHAnsi" w:hAnsi="Arial" w:cs="Arial"/>
      <w:color w:val="auto"/>
      <w:lang w:eastAsia="en-US"/>
    </w:rPr>
  </w:style>
  <w:style w:type="character" w:customStyle="1" w:styleId="CaptionChar">
    <w:name w:val="Caption Char"/>
    <w:aliases w:val="Table Title Char,GROW Caption Char,Caption1 Char Char Char Char Char Char Char Char Tegn Tegn Tegn Tegn Tegn Char,Caption1 Char Char Char Char Char Char Char Char Tegn Tegn Tegn Char,Ch Char"/>
    <w:link w:val="Caption"/>
    <w:rPr>
      <w:b/>
      <w:bCs/>
      <w:smallCaps/>
      <w:color w:val="595959" w:themeColor="text1" w:themeTint="A6"/>
      <w:spacing w:val="6"/>
    </w:rPr>
  </w:style>
  <w:style w:type="paragraph" w:customStyle="1" w:styleId="bullet1">
    <w:name w:val="bullet 1"/>
    <w:basedOn w:val="BodyText"/>
    <w:link w:val="bullet1Carattere"/>
    <w:qFormat/>
    <w:pPr>
      <w:numPr>
        <w:numId w:val="7"/>
      </w:numPr>
      <w:spacing w:after="60"/>
    </w:pPr>
    <w:rPr>
      <w:rFonts w:ascii="Tahoma" w:eastAsia="Calibri" w:hAnsi="Tahoma" w:cs="Tahoma"/>
      <w:bCs/>
      <w:sz w:val="20"/>
    </w:rPr>
  </w:style>
  <w:style w:type="character" w:customStyle="1" w:styleId="bullet1Carattere">
    <w:name w:val="bullet 1 Carattere"/>
    <w:basedOn w:val="BodyTextChar"/>
    <w:link w:val="bullet1"/>
    <w:rPr>
      <w:rFonts w:ascii="Tahoma" w:eastAsia="Calibri" w:hAnsi="Tahoma" w:cs="Tahoma"/>
      <w:bCs/>
      <w:sz w:val="24"/>
      <w:szCs w:val="20"/>
    </w:rPr>
  </w:style>
  <w:style w:type="paragraph" w:customStyle="1" w:styleId="gmail-bodytext1">
    <w:name w:val="gmail-bodytext1"/>
    <w:basedOn w:val="Normal"/>
    <w:uiPriority w:val="99"/>
    <w:pPr>
      <w:spacing w:before="100" w:beforeAutospacing="1" w:after="100" w:afterAutospacing="1"/>
    </w:pPr>
    <w:rPr>
      <w:rFonts w:ascii="Times New Roman" w:hAnsi="Times New Roman" w:cs="Times New Roman"/>
      <w:sz w:val="24"/>
      <w:szCs w:val="24"/>
      <w:lang w:eastAsia="en-GB"/>
    </w:rPr>
  </w:style>
  <w:style w:type="paragraph" w:customStyle="1" w:styleId="gmail-msolistparagraph">
    <w:name w:val="gmail-msolistparagraph"/>
    <w:basedOn w:val="Normal"/>
    <w:uiPriority w:val="99"/>
    <w:pPr>
      <w:spacing w:before="100" w:beforeAutospacing="1" w:after="100" w:afterAutospacing="1"/>
    </w:pPr>
    <w:rPr>
      <w:rFonts w:ascii="Times New Roman" w:hAnsi="Times New Roman" w:cs="Times New Roman"/>
      <w:sz w:val="24"/>
      <w:szCs w:val="24"/>
      <w:lang w:eastAsia="en-GB"/>
    </w:rPr>
  </w:style>
  <w:style w:type="character" w:customStyle="1" w:styleId="Marker1">
    <w:name w:val="Marker1"/>
    <w:basedOn w:val="DefaultParagraphFont"/>
    <w:rPr>
      <w:color w:val="008000"/>
      <w:shd w:val="clear" w:color="auto" w:fill="auto"/>
    </w:rPr>
  </w:style>
  <w:style w:type="character" w:customStyle="1" w:styleId="Bodytext2Exact">
    <w:name w:val="Body text (2) Exact"/>
    <w:basedOn w:val="DefaultParagraphFont"/>
    <w:rPr>
      <w:b w:val="0"/>
      <w:bCs w:val="0"/>
      <w:i w:val="0"/>
      <w:iCs w:val="0"/>
      <w:smallCaps w:val="0"/>
      <w:strike w:val="0"/>
      <w:color w:val="1A171C"/>
      <w:sz w:val="18"/>
      <w:szCs w:val="18"/>
      <w:u w:val="none"/>
    </w:rPr>
  </w:style>
  <w:style w:type="character" w:customStyle="1" w:styleId="ListBullet21Char">
    <w:name w:val="List Bullet 21 Char"/>
    <w:link w:val="ListBullet21"/>
    <w:locked/>
    <w:rPr>
      <w:rFonts w:ascii="Verdana" w:eastAsia="Calibri" w:hAnsi="Verdana"/>
      <w:color w:val="333333"/>
    </w:rPr>
  </w:style>
  <w:style w:type="paragraph" w:customStyle="1" w:styleId="ListBullet21">
    <w:name w:val="List Bullet 21"/>
    <w:basedOn w:val="Normal"/>
    <w:link w:val="ListBullet21Char"/>
    <w:qFormat/>
    <w:pPr>
      <w:numPr>
        <w:numId w:val="10"/>
      </w:numPr>
      <w:jc w:val="both"/>
    </w:pPr>
    <w:rPr>
      <w:rFonts w:ascii="Verdana" w:eastAsia="Calibri" w:hAnsi="Verdana"/>
      <w:color w:val="333333"/>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jc w:val="both"/>
    </w:pPr>
    <w:rPr>
      <w:rFonts w:ascii="Arial" w:hAnsi="Arial" w:cs="Arial"/>
    </w:rPr>
  </w:style>
  <w:style w:type="character" w:styleId="Strong">
    <w:name w:val="Strong"/>
    <w:basedOn w:val="DefaultParagraphFont"/>
    <w:uiPriority w:val="22"/>
    <w:qFormat/>
    <w:rPr>
      <w:b/>
      <w:bCs/>
    </w:rPr>
  </w:style>
  <w:style w:type="paragraph" w:customStyle="1" w:styleId="bodytext21">
    <w:name w:val="bodytext2"/>
    <w:basedOn w:val="Normal"/>
    <w:pPr>
      <w:spacing w:before="40" w:after="40" w:line="260" w:lineRule="atLeast"/>
      <w:jc w:val="both"/>
    </w:pPr>
    <w:rPr>
      <w:rFonts w:ascii="Times New Roman" w:eastAsia="Calibri" w:hAnsi="Times New Roman" w:cs="Times New Roman"/>
      <w:color w:val="000000"/>
      <w:sz w:val="24"/>
      <w:szCs w:val="24"/>
      <w:lang w:eastAsia="en-GB"/>
    </w:rPr>
  </w:style>
  <w:style w:type="paragraph" w:customStyle="1" w:styleId="gmail-paragraph">
    <w:name w:val="gmail-paragraph"/>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customStyle="1" w:styleId="AppendixH1">
    <w:name w:val="Appendix H1"/>
    <w:basedOn w:val="Normal"/>
    <w:link w:val="AppendixH1Char"/>
    <w:qFormat/>
    <w:pPr>
      <w:numPr>
        <w:numId w:val="18"/>
      </w:numPr>
      <w:suppressAutoHyphens/>
      <w:autoSpaceDN w:val="0"/>
      <w:spacing w:after="200" w:line="276" w:lineRule="auto"/>
      <w:textAlignment w:val="baseline"/>
    </w:pPr>
    <w:rPr>
      <w:rFonts w:ascii="Times New Roman" w:eastAsia="Calibri" w:hAnsi="Times New Roman" w:cs="Times New Roman"/>
      <w:b/>
      <w:sz w:val="24"/>
      <w:szCs w:val="24"/>
    </w:rPr>
  </w:style>
  <w:style w:type="paragraph" w:customStyle="1" w:styleId="AppendixH2">
    <w:name w:val="Appendix H2"/>
    <w:basedOn w:val="Normal"/>
    <w:qFormat/>
    <w:pPr>
      <w:numPr>
        <w:ilvl w:val="1"/>
        <w:numId w:val="18"/>
      </w:numPr>
      <w:suppressAutoHyphens/>
      <w:autoSpaceDN w:val="0"/>
      <w:spacing w:after="200" w:line="276" w:lineRule="auto"/>
      <w:ind w:hanging="454"/>
      <w:textAlignment w:val="baseline"/>
    </w:pPr>
    <w:rPr>
      <w:rFonts w:ascii="Times New Roman" w:eastAsia="Calibri" w:hAnsi="Times New Roman" w:cs="Times New Roman"/>
      <w:b/>
      <w:sz w:val="24"/>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rPr>
  </w:style>
  <w:style w:type="paragraph" w:customStyle="1" w:styleId="AppendixH3">
    <w:name w:val="Appendix H3"/>
    <w:basedOn w:val="Normal"/>
    <w:qFormat/>
    <w:pPr>
      <w:numPr>
        <w:ilvl w:val="2"/>
        <w:numId w:val="18"/>
      </w:numPr>
      <w:suppressAutoHyphens/>
      <w:autoSpaceDN w:val="0"/>
      <w:spacing w:after="200" w:line="276" w:lineRule="auto"/>
      <w:textAlignment w:val="baseline"/>
    </w:pPr>
    <w:rPr>
      <w:rFonts w:ascii="Times New Roman" w:eastAsia="Calibri" w:hAnsi="Times New Roman" w:cs="Times New Roman"/>
      <w:i/>
      <w:sz w:val="24"/>
      <w:szCs w:val="24"/>
    </w:rPr>
  </w:style>
  <w:style w:type="numbering" w:customStyle="1" w:styleId="appendix">
    <w:name w:val="appendix"/>
    <w:pPr>
      <w:numPr>
        <w:numId w:val="22"/>
      </w:numPr>
    </w:p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DocumentSubtitleChar">
    <w:name w:val="Document Subtitle Char"/>
    <w:link w:val="DocumentSubtitle"/>
    <w:locked/>
    <w:rPr>
      <w:rFonts w:ascii="Verdana" w:eastAsia="Times New Roman" w:hAnsi="Verdana"/>
      <w:sz w:val="32"/>
      <w:szCs w:val="36"/>
    </w:rPr>
  </w:style>
  <w:style w:type="paragraph" w:customStyle="1" w:styleId="DocumentSubtitle">
    <w:name w:val="Document Subtitle"/>
    <w:basedOn w:val="Normal"/>
    <w:link w:val="DocumentSubtitleChar"/>
    <w:qFormat/>
    <w:pPr>
      <w:spacing w:line="240" w:lineRule="auto"/>
      <w:jc w:val="center"/>
    </w:pPr>
    <w:rPr>
      <w:rFonts w:ascii="Verdana" w:eastAsia="Times New Roman" w:hAnsi="Verdana"/>
      <w:sz w:val="32"/>
      <w:szCs w:val="36"/>
    </w:rPr>
  </w:style>
  <w:style w:type="paragraph" w:customStyle="1" w:styleId="CM1">
    <w:name w:val="CM1"/>
    <w:basedOn w:val="Default"/>
    <w:next w:val="Default"/>
    <w:uiPriority w:val="99"/>
    <w:pPr>
      <w:spacing w:after="0" w:line="240" w:lineRule="auto"/>
    </w:pPr>
    <w:rPr>
      <w:rFonts w:ascii="EUAlbertina" w:eastAsiaTheme="minorEastAsia" w:hAnsi="EUAlbertina" w:cstheme="minorBidi"/>
      <w:color w:val="auto"/>
      <w:lang w:eastAsia="en-US"/>
    </w:rPr>
  </w:style>
  <w:style w:type="paragraph" w:customStyle="1" w:styleId="CM3">
    <w:name w:val="CM3"/>
    <w:basedOn w:val="Default"/>
    <w:next w:val="Default"/>
    <w:uiPriority w:val="99"/>
    <w:pPr>
      <w:spacing w:after="0" w:line="240" w:lineRule="auto"/>
    </w:pPr>
    <w:rPr>
      <w:rFonts w:ascii="EUAlbertina" w:eastAsiaTheme="minorEastAsia" w:hAnsi="EUAlbertina" w:cstheme="minorBidi"/>
      <w:color w:val="auto"/>
      <w:lang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styleId="ListNumber">
    <w:name w:val="List Number"/>
    <w:basedOn w:val="Normal"/>
    <w:unhideWhenUsed/>
    <w:pPr>
      <w:tabs>
        <w:tab w:val="num" w:pos="709"/>
      </w:tabs>
      <w:spacing w:after="240" w:line="240" w:lineRule="auto"/>
      <w:ind w:left="709" w:hanging="709"/>
      <w:jc w:val="both"/>
    </w:pPr>
    <w:rPr>
      <w:rFonts w:ascii="Times New Roman" w:eastAsia="Times New Roman" w:hAnsi="Times New Roman" w:cs="Times New Roman"/>
      <w:sz w:val="24"/>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rPr>
  </w:style>
  <w:style w:type="paragraph" w:styleId="TOC3">
    <w:name w:val="toc 3"/>
    <w:basedOn w:val="Normal"/>
    <w:next w:val="Normal"/>
    <w:autoRedefine/>
    <w:uiPriority w:val="39"/>
    <w:unhideWhenUsed/>
    <w:qFormat/>
    <w:pPr>
      <w:spacing w:after="100" w:line="276" w:lineRule="auto"/>
      <w:ind w:left="440"/>
    </w:pPr>
    <w:rPr>
      <w:rFonts w:eastAsiaTheme="minorHAns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60" w:after="160" w:line="240" w:lineRule="exact"/>
      <w:jc w:val="both"/>
    </w:pPr>
    <w:rPr>
      <w:rFonts w:eastAsiaTheme="minorHAnsi"/>
      <w:sz w:val="22"/>
      <w:szCs w:val="22"/>
      <w:vertAlign w:val="superscript"/>
    </w:rPr>
  </w:style>
  <w:style w:type="table" w:customStyle="1" w:styleId="CV14">
    <w:name w:val="CV14"/>
    <w:basedOn w:val="TableNormal"/>
    <w:next w:val="TableGrid"/>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DefaultParagraphFont"/>
    <w:link w:val="Text1"/>
    <w:locked/>
    <w:rPr>
      <w:rFonts w:ascii="Times New Roman" w:eastAsia="Times New Roman" w:hAnsi="Times New Roman" w:cs="Times New Roman"/>
      <w:sz w:val="24"/>
    </w:rPr>
  </w:style>
  <w:style w:type="character" w:customStyle="1" w:styleId="FootnoteTextChar1Char1CharChar">
    <w:name w:val="Footnote Text Char1 Char1 Char Char"/>
    <w:aliases w:val="Footnote Text Char Char Char1 Char Char"/>
    <w:uiPriority w:val="99"/>
    <w:locked/>
  </w:style>
  <w:style w:type="paragraph" w:customStyle="1" w:styleId="CM4">
    <w:name w:val="CM4"/>
    <w:basedOn w:val="Default"/>
    <w:next w:val="Default"/>
    <w:uiPriority w:val="99"/>
    <w:pPr>
      <w:spacing w:after="0" w:line="240" w:lineRule="auto"/>
    </w:pPr>
    <w:rPr>
      <w:rFonts w:ascii="EUAlbertina" w:eastAsiaTheme="minorHAnsi" w:hAnsi="EUAlbertina" w:cstheme="minorBidi"/>
      <w:color w:val="auto"/>
      <w:lang w:eastAsia="en-US"/>
    </w:rPr>
  </w:style>
  <w:style w:type="paragraph" w:styleId="BodyTextIndent3">
    <w:name w:val="Body Text Indent 3"/>
    <w:basedOn w:val="Normal"/>
    <w:link w:val="BodyTextIndent3Char"/>
    <w:pPr>
      <w:spacing w:line="240" w:lineRule="auto"/>
      <w:ind w:left="283"/>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GROWChar">
    <w:name w:val="Body GROW Char"/>
    <w:basedOn w:val="DefaultParagraphFont"/>
    <w:link w:val="BodyGROW"/>
    <w:locked/>
    <w:rPr>
      <w:rFonts w:ascii="Verdana" w:hAnsi="Verdana"/>
    </w:rPr>
  </w:style>
  <w:style w:type="paragraph" w:customStyle="1" w:styleId="BodyGROW">
    <w:name w:val="Body GROW"/>
    <w:basedOn w:val="Normal"/>
    <w:link w:val="BodyGROWChar"/>
    <w:qFormat/>
    <w:pPr>
      <w:spacing w:after="240" w:line="276" w:lineRule="auto"/>
    </w:pPr>
    <w:rPr>
      <w:rFonts w:ascii="Verdana" w:hAnsi="Verdana"/>
    </w:rPr>
  </w:style>
  <w:style w:type="character" w:customStyle="1" w:styleId="FootnoteGROWChar">
    <w:name w:val="Footnote GROW Char"/>
    <w:basedOn w:val="BodyGROWChar"/>
    <w:link w:val="FootnoteGROW"/>
    <w:locked/>
    <w:rPr>
      <w:rFonts w:ascii="Verdana" w:hAnsi="Verdana"/>
      <w:sz w:val="16"/>
    </w:rPr>
  </w:style>
  <w:style w:type="paragraph" w:customStyle="1" w:styleId="FootnoteGROW">
    <w:name w:val="Footnote GROW"/>
    <w:basedOn w:val="BodyGROW"/>
    <w:link w:val="FootnoteGROWChar"/>
    <w:qFormat/>
    <w:pPr>
      <w:tabs>
        <w:tab w:val="left" w:pos="113"/>
      </w:tabs>
      <w:spacing w:after="120"/>
    </w:pPr>
    <w:rPr>
      <w:sz w:val="16"/>
    </w:rPr>
  </w:style>
  <w:style w:type="character" w:customStyle="1" w:styleId="SourceChar">
    <w:name w:val="Source Char"/>
    <w:basedOn w:val="DefaultParagraphFont"/>
    <w:link w:val="Source"/>
    <w:locked/>
    <w:rPr>
      <w:rFonts w:ascii="Georgia" w:hAnsi="Georgia"/>
      <w:color w:val="1F497D" w:themeColor="text2"/>
      <w:sz w:val="18"/>
      <w:lang w:val="en-US"/>
    </w:rPr>
  </w:style>
  <w:style w:type="paragraph" w:customStyle="1" w:styleId="Source">
    <w:name w:val="Source"/>
    <w:basedOn w:val="Normal"/>
    <w:next w:val="Normal"/>
    <w:link w:val="SourceChar"/>
    <w:qFormat/>
    <w:pPr>
      <w:spacing w:after="360" w:line="276" w:lineRule="auto"/>
    </w:pPr>
    <w:rPr>
      <w:rFonts w:ascii="Georgia" w:hAnsi="Georgia"/>
      <w:color w:val="1F497D" w:themeColor="text2"/>
      <w:sz w:val="18"/>
      <w:lang w:val="en-US"/>
    </w:rPr>
  </w:style>
  <w:style w:type="character" w:customStyle="1" w:styleId="GROWTabletextChar">
    <w:name w:val="GROW Table text Char"/>
    <w:basedOn w:val="DefaultParagraphFont"/>
    <w:link w:val="GROWTabletext"/>
    <w:locked/>
    <w:rPr>
      <w:rFonts w:ascii="Verdana" w:hAnsi="Verdana"/>
      <w:sz w:val="16"/>
      <w:lang w:val="en-US"/>
    </w:rPr>
  </w:style>
  <w:style w:type="paragraph" w:customStyle="1" w:styleId="GROWTabletext">
    <w:name w:val="GROW Table text"/>
    <w:basedOn w:val="BodyText"/>
    <w:link w:val="GROWTabletextChar"/>
    <w:qFormat/>
    <w:pPr>
      <w:spacing w:after="0" w:line="276" w:lineRule="auto"/>
      <w:jc w:val="left"/>
    </w:pPr>
    <w:rPr>
      <w:rFonts w:ascii="Verdana" w:eastAsiaTheme="minorEastAsia" w:hAnsi="Verdana" w:cstheme="minorBidi"/>
      <w:sz w:val="16"/>
      <w:lang w:val="en-US"/>
    </w:rPr>
  </w:style>
  <w:style w:type="table" w:customStyle="1" w:styleId="TechnopolisLight">
    <w:name w:val="Technopolis Light"/>
    <w:basedOn w:val="TableNormal"/>
    <w:uiPriority w:val="99"/>
    <w:pPr>
      <w:spacing w:before="60" w:after="60" w:line="240" w:lineRule="auto"/>
    </w:pPr>
    <w:rPr>
      <w:rFonts w:asciiTheme="majorHAnsi" w:eastAsiaTheme="minorHAnsi" w:hAnsiTheme="majorHAnsi"/>
      <w:sz w:val="16"/>
      <w:szCs w:val="22"/>
      <w:lang w:val="en-US"/>
    </w:rPr>
    <w:tblPr>
      <w:tblBorders>
        <w:insideH w:val="single" w:sz="4" w:space="0" w:color="8064A2" w:themeColor="accent4"/>
        <w:insideV w:val="single" w:sz="4" w:space="0" w:color="8064A2" w:themeColor="accent4"/>
      </w:tblBorders>
      <w:tblCellMar>
        <w:top w:w="57" w:type="dxa"/>
        <w:bottom w:w="57" w:type="dxa"/>
      </w:tblCellMar>
    </w:tblPr>
    <w:tcPr>
      <w:vAlign w:val="center"/>
    </w:tcPr>
    <w:tblStylePr w:type="firstRow">
      <w:rPr>
        <w:i/>
      </w:rPr>
      <w:tblPr/>
      <w:tcPr>
        <w:tcBorders>
          <w:bottom w:val="single" w:sz="4" w:space="0" w:color="4F81BD" w:themeColor="accent1"/>
        </w:tcBorders>
      </w:tcPr>
    </w:tblStylePr>
  </w:style>
  <w:style w:type="table" w:customStyle="1" w:styleId="aDGGROW">
    <w:name w:val="aDG GROW"/>
    <w:basedOn w:val="TableNormal"/>
    <w:uiPriority w:val="99"/>
    <w:pPr>
      <w:spacing w:after="0" w:line="240" w:lineRule="auto"/>
    </w:pPr>
    <w:rPr>
      <w:rFonts w:ascii="Verdana" w:eastAsia="Times New Roman" w:hAnsi="Verdana" w:cs="Times New Roman"/>
      <w:color w:val="000000" w:themeColor="text1"/>
      <w:sz w:val="16"/>
      <w:szCs w:val="24"/>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hint="default"/>
        <w:b/>
        <w:color w:val="EBE9EA" w:themeColor="background1"/>
        <w:sz w:val="16"/>
        <w:szCs w:val="16"/>
      </w:rPr>
      <w:tblPr/>
      <w:tcPr>
        <w:shd w:val="clear" w:color="auto" w:fill="1F497D" w:themeFill="text2"/>
      </w:tcPr>
    </w:tblStylePr>
  </w:style>
  <w:style w:type="table" w:styleId="MediumGrid3-Accent1">
    <w:name w:val="Medium Grid 3 Accent 1"/>
    <w:basedOn w:val="TableNormal"/>
    <w:uiPriority w:val="69"/>
    <w:pPr>
      <w:spacing w:after="0" w:line="240" w:lineRule="auto"/>
    </w:pPr>
    <w:rPr>
      <w:rFonts w:eastAsiaTheme="minorHAnsi"/>
      <w:sz w:val="22"/>
      <w:szCs w:val="22"/>
    </w:rPr>
    <w:tblPr>
      <w:tblStyleRowBandSize w:val="1"/>
      <w:tblStyleColBandSize w:val="1"/>
      <w:tbl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6" w:space="0" w:color="EBE9EA" w:themeColor="background1"/>
        <w:insideV w:val="single" w:sz="6" w:space="0" w:color="EBE9EA" w:themeColor="background1"/>
      </w:tblBorders>
    </w:tblPr>
    <w:tcPr>
      <w:shd w:val="clear" w:color="auto" w:fill="D3DFEE" w:themeFill="accent1" w:themeFillTint="3F"/>
    </w:tcPr>
    <w:tblStylePr w:type="firstRow">
      <w:rPr>
        <w:b/>
        <w:bCs/>
        <w:i w:val="0"/>
        <w:iCs w:val="0"/>
        <w:color w:val="EBE9EA" w:themeColor="background1"/>
      </w:rPr>
      <w:tblPr/>
      <w:tcPr>
        <w:tcBorders>
          <w:top w:val="single" w:sz="8" w:space="0" w:color="EBE9EA" w:themeColor="background1"/>
          <w:left w:val="single" w:sz="8" w:space="0" w:color="EBE9EA" w:themeColor="background1"/>
          <w:bottom w:val="single" w:sz="24"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lastRow">
      <w:rPr>
        <w:b/>
        <w:bCs/>
        <w:i w:val="0"/>
        <w:iCs w:val="0"/>
        <w:color w:val="EBE9EA" w:themeColor="background1"/>
      </w:rPr>
      <w:tblPr/>
      <w:tcPr>
        <w:tcBorders>
          <w:top w:val="single" w:sz="24" w:space="0" w:color="EBE9EA" w:themeColor="background1"/>
          <w:left w:val="single" w:sz="8" w:space="0" w:color="EBE9EA" w:themeColor="background1"/>
          <w:bottom w:val="single" w:sz="8"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firstCol">
      <w:rPr>
        <w:b/>
        <w:bCs/>
        <w:i w:val="0"/>
        <w:iCs w:val="0"/>
        <w:color w:val="EBE9EA" w:themeColor="background1"/>
      </w:rPr>
      <w:tblPr/>
      <w:tcPr>
        <w:tcBorders>
          <w:left w:val="single" w:sz="8" w:space="0" w:color="EBE9EA" w:themeColor="background1"/>
          <w:right w:val="single" w:sz="24" w:space="0" w:color="EBE9EA" w:themeColor="background1"/>
          <w:insideH w:val="nil"/>
          <w:insideV w:val="nil"/>
        </w:tcBorders>
        <w:shd w:val="clear" w:color="auto" w:fill="4F81BD" w:themeFill="accent1"/>
      </w:tcPr>
    </w:tblStylePr>
    <w:tblStylePr w:type="lastCol">
      <w:rPr>
        <w:b/>
        <w:bCs/>
        <w:i w:val="0"/>
        <w:iCs w:val="0"/>
        <w:color w:val="EBE9EA" w:themeColor="background1"/>
      </w:rPr>
      <w:tblPr/>
      <w:tcPr>
        <w:tcBorders>
          <w:top w:val="nil"/>
          <w:left w:val="single" w:sz="24" w:space="0" w:color="EBE9EA" w:themeColor="background1"/>
          <w:bottom w:val="nil"/>
          <w:right w:val="nil"/>
          <w:insideH w:val="nil"/>
          <w:insideV w:val="nil"/>
        </w:tcBorders>
        <w:shd w:val="clear" w:color="auto" w:fill="4F81BD" w:themeFill="accent1"/>
      </w:tcPr>
    </w:tblStylePr>
    <w:tblStylePr w:type="band1Vert">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nil"/>
          <w:insideV w:val="nil"/>
        </w:tcBorders>
        <w:shd w:val="clear" w:color="auto" w:fill="A7BFDE" w:themeFill="accent1" w:themeFillTint="7F"/>
      </w:tcPr>
    </w:tblStylePr>
    <w:tblStylePr w:type="band1Horz">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8" w:space="0" w:color="EBE9EA" w:themeColor="background1"/>
          <w:insideV w:val="single" w:sz="8" w:space="0" w:color="EBE9EA" w:themeColor="background1"/>
        </w:tcBorders>
        <w:shd w:val="clear" w:color="auto" w:fill="A7BFDE" w:themeFill="accent1" w:themeFillTint="7F"/>
      </w:tcPr>
    </w:tblStyle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cs="Times New Roman"/>
      <w:sz w:val="24"/>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rPr>
  </w:style>
  <w:style w:type="paragraph" w:customStyle="1" w:styleId="GROWBulletpoint1">
    <w:name w:val="GROW Bullet point1"/>
    <w:basedOn w:val="BodyGROW"/>
    <w:link w:val="GROWBulletpoint1Char"/>
    <w:qFormat/>
    <w:pPr>
      <w:numPr>
        <w:numId w:val="47"/>
      </w:numPr>
      <w:spacing w:after="120" w:line="240" w:lineRule="auto"/>
      <w:ind w:left="357" w:hanging="357"/>
      <w:jc w:val="both"/>
    </w:pPr>
    <w:rPr>
      <w:rFonts w:cs="Times New Roman"/>
    </w:rPr>
  </w:style>
  <w:style w:type="character" w:customStyle="1" w:styleId="GROWBulletpoint1Char">
    <w:name w:val="GROW Bullet point1 Char"/>
    <w:basedOn w:val="DefaultParagraphFont"/>
    <w:link w:val="GROWBulletpoint1"/>
    <w:rPr>
      <w:rFonts w:ascii="Verdana" w:hAnsi="Verdana" w:cs="Times New Roman"/>
    </w:rPr>
  </w:style>
  <w:style w:type="paragraph" w:customStyle="1" w:styleId="SourceGROW">
    <w:name w:val="Source GROW"/>
    <w:basedOn w:val="BodyGROW"/>
    <w:next w:val="BodyGROW"/>
    <w:link w:val="SourceGROWChar"/>
    <w:qFormat/>
    <w:pPr>
      <w:spacing w:after="360" w:line="240" w:lineRule="auto"/>
      <w:jc w:val="both"/>
    </w:pPr>
    <w:rPr>
      <w:rFonts w:eastAsia="Times New Roman" w:cs="Times New Roman"/>
      <w:color w:val="7A6F75" w:themeColor="background1" w:themeShade="80"/>
      <w:sz w:val="16"/>
    </w:rPr>
  </w:style>
  <w:style w:type="character" w:customStyle="1" w:styleId="SourceGROWChar">
    <w:name w:val="Source GROW Char"/>
    <w:basedOn w:val="BodyTextChar"/>
    <w:link w:val="SourceGROW"/>
    <w:rPr>
      <w:rFonts w:ascii="Verdana" w:eastAsia="Times New Roman" w:hAnsi="Verdana" w:cs="Times New Roman"/>
      <w:color w:val="7A6F75" w:themeColor="background1" w:themeShade="80"/>
      <w:sz w:val="16"/>
      <w:szCs w:val="20"/>
    </w:rPr>
  </w:style>
  <w:style w:type="paragraph" w:styleId="ListContinue">
    <w:name w:val="List Continue"/>
    <w:basedOn w:val="Normal"/>
    <w:uiPriority w:val="99"/>
    <w:semiHidden/>
    <w:unhideWhenUsed/>
    <w:pPr>
      <w:spacing w:line="276" w:lineRule="auto"/>
      <w:ind w:left="283"/>
      <w:contextualSpacing/>
    </w:pPr>
    <w:rPr>
      <w:rFonts w:eastAsiaTheme="minorHAnsi"/>
      <w:sz w:val="22"/>
      <w:szCs w:val="22"/>
    </w:rPr>
  </w:style>
  <w:style w:type="table" w:customStyle="1" w:styleId="MediumGrid3-Accent11">
    <w:name w:val="Medium Grid 3 - Accent 11"/>
    <w:basedOn w:val="TableNormal"/>
    <w:next w:val="MediumGrid3-Accent1"/>
    <w:uiPriority w:val="69"/>
    <w:pPr>
      <w:spacing w:after="0" w:line="240" w:lineRule="auto"/>
    </w:pPr>
    <w:rPr>
      <w:rFonts w:eastAsiaTheme="minorHAnsi"/>
      <w:sz w:val="22"/>
      <w:szCs w:val="22"/>
    </w:rPr>
    <w:tblPr>
      <w:tblStyleRowBandSize w:val="1"/>
      <w:tblStyleColBandSize w:val="1"/>
      <w:tbl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6" w:space="0" w:color="EBE9EA" w:themeColor="background1"/>
        <w:insideV w:val="single" w:sz="6" w:space="0" w:color="EBE9EA" w:themeColor="background1"/>
      </w:tblBorders>
    </w:tblPr>
    <w:tcPr>
      <w:shd w:val="clear" w:color="auto" w:fill="D3DFEE" w:themeFill="accent1" w:themeFillTint="3F"/>
    </w:tcPr>
    <w:tblStylePr w:type="firstRow">
      <w:rPr>
        <w:b/>
        <w:bCs/>
        <w:i w:val="0"/>
        <w:iCs w:val="0"/>
        <w:color w:val="EBE9EA" w:themeColor="background1"/>
      </w:rPr>
      <w:tblPr/>
      <w:tcPr>
        <w:tcBorders>
          <w:top w:val="single" w:sz="8" w:space="0" w:color="EBE9EA" w:themeColor="background1"/>
          <w:left w:val="single" w:sz="8" w:space="0" w:color="EBE9EA" w:themeColor="background1"/>
          <w:bottom w:val="single" w:sz="24"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lastRow">
      <w:rPr>
        <w:b/>
        <w:bCs/>
        <w:i w:val="0"/>
        <w:iCs w:val="0"/>
        <w:color w:val="EBE9EA" w:themeColor="background1"/>
      </w:rPr>
      <w:tblPr/>
      <w:tcPr>
        <w:tcBorders>
          <w:top w:val="single" w:sz="24" w:space="0" w:color="EBE9EA" w:themeColor="background1"/>
          <w:left w:val="single" w:sz="8" w:space="0" w:color="EBE9EA" w:themeColor="background1"/>
          <w:bottom w:val="single" w:sz="8" w:space="0" w:color="EBE9EA" w:themeColor="background1"/>
          <w:right w:val="single" w:sz="8" w:space="0" w:color="EBE9EA" w:themeColor="background1"/>
          <w:insideH w:val="nil"/>
          <w:insideV w:val="single" w:sz="8" w:space="0" w:color="EBE9EA" w:themeColor="background1"/>
        </w:tcBorders>
        <w:shd w:val="clear" w:color="auto" w:fill="4F81BD" w:themeFill="accent1"/>
      </w:tcPr>
    </w:tblStylePr>
    <w:tblStylePr w:type="firstCol">
      <w:rPr>
        <w:b/>
        <w:bCs/>
        <w:i w:val="0"/>
        <w:iCs w:val="0"/>
        <w:color w:val="EBE9EA" w:themeColor="background1"/>
      </w:rPr>
      <w:tblPr/>
      <w:tcPr>
        <w:tcBorders>
          <w:left w:val="single" w:sz="8" w:space="0" w:color="EBE9EA" w:themeColor="background1"/>
          <w:right w:val="single" w:sz="24" w:space="0" w:color="EBE9EA" w:themeColor="background1"/>
          <w:insideH w:val="nil"/>
          <w:insideV w:val="nil"/>
        </w:tcBorders>
        <w:shd w:val="clear" w:color="auto" w:fill="4F81BD" w:themeFill="accent1"/>
      </w:tcPr>
    </w:tblStylePr>
    <w:tblStylePr w:type="lastCol">
      <w:rPr>
        <w:b/>
        <w:bCs/>
        <w:i w:val="0"/>
        <w:iCs w:val="0"/>
        <w:color w:val="EBE9EA" w:themeColor="background1"/>
      </w:rPr>
      <w:tblPr/>
      <w:tcPr>
        <w:tcBorders>
          <w:top w:val="nil"/>
          <w:left w:val="single" w:sz="24" w:space="0" w:color="EBE9EA" w:themeColor="background1"/>
          <w:bottom w:val="nil"/>
          <w:right w:val="nil"/>
          <w:insideH w:val="nil"/>
          <w:insideV w:val="nil"/>
        </w:tcBorders>
        <w:shd w:val="clear" w:color="auto" w:fill="4F81BD" w:themeFill="accent1"/>
      </w:tcPr>
    </w:tblStylePr>
    <w:tblStylePr w:type="band1Vert">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nil"/>
          <w:insideV w:val="nil"/>
        </w:tcBorders>
        <w:shd w:val="clear" w:color="auto" w:fill="A7BFDE" w:themeFill="accent1" w:themeFillTint="7F"/>
      </w:tcPr>
    </w:tblStylePr>
    <w:tblStylePr w:type="band1Horz">
      <w:tblPr/>
      <w:tcPr>
        <w:tcBorders>
          <w:top w:val="single" w:sz="8" w:space="0" w:color="EBE9EA" w:themeColor="background1"/>
          <w:left w:val="single" w:sz="8" w:space="0" w:color="EBE9EA" w:themeColor="background1"/>
          <w:bottom w:val="single" w:sz="8" w:space="0" w:color="EBE9EA" w:themeColor="background1"/>
          <w:right w:val="single" w:sz="8" w:space="0" w:color="EBE9EA" w:themeColor="background1"/>
          <w:insideH w:val="single" w:sz="8" w:space="0" w:color="EBE9EA" w:themeColor="background1"/>
          <w:insideV w:val="single" w:sz="8" w:space="0" w:color="EBE9EA" w:themeColor="background1"/>
        </w:tcBorders>
        <w:shd w:val="clear" w:color="auto" w:fill="A7BFDE" w:themeFill="accent1" w:themeFillTint="7F"/>
      </w:tcPr>
    </w:tblStyle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fr-FR"/>
    </w:rPr>
  </w:style>
  <w:style w:type="character" w:customStyle="1" w:styleId="HTMLPreformattedChar">
    <w:name w:val="HTML Preformatted Char"/>
    <w:basedOn w:val="DefaultParagraphFont"/>
    <w:link w:val="HTMLPreformatted"/>
    <w:uiPriority w:val="99"/>
    <w:semiHidden/>
    <w:rPr>
      <w:rFonts w:ascii="Courier New" w:eastAsiaTheme="minorHAnsi" w:hAnsi="Courier New" w:cs="Courier New"/>
      <w:lang w:eastAsia="fr-FR"/>
    </w:rPr>
  </w:style>
  <w:style w:type="numbering" w:customStyle="1" w:styleId="NoList1">
    <w:name w:val="No List1"/>
    <w:next w:val="NoList"/>
    <w:uiPriority w:val="99"/>
    <w:semiHidden/>
    <w:unhideWhenUsed/>
  </w:style>
  <w:style w:type="character" w:customStyle="1" w:styleId="tgc">
    <w:name w:val="_tgc"/>
    <w:basedOn w:val="DefaultParagraphFont"/>
  </w:style>
  <w:style w:type="character" w:customStyle="1" w:styleId="FootnoteReference1">
    <w:name w:val="Footnote Reference1"/>
    <w:rPr>
      <w:vertAlign w:val="superscript"/>
    </w:rPr>
  </w:style>
  <w:style w:type="character" w:customStyle="1" w:styleId="Funotenzeichen">
    <w:name w:val="Fußnotenzeichen"/>
  </w:style>
  <w:style w:type="table" w:customStyle="1" w:styleId="CV15">
    <w:name w:val="CV15"/>
    <w:basedOn w:val="TableNormal"/>
    <w:next w:val="TableGrid"/>
    <w:uiPriority w:val="5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rPr>
  </w:style>
  <w:style w:type="numbering" w:customStyle="1" w:styleId="NoList2">
    <w:name w:val="No List2"/>
    <w:next w:val="NoList"/>
    <w:uiPriority w:val="99"/>
    <w:semiHidden/>
    <w:unhideWhenUsed/>
  </w:style>
  <w:style w:type="table" w:customStyle="1" w:styleId="CV16">
    <w:name w:val="CV16"/>
    <w:basedOn w:val="TableNormal"/>
    <w:next w:val="TableGrid"/>
    <w:uiPriority w:val="5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0">
    <w:name w:val="text2"/>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TOC4">
    <w:name w:val="toc 4"/>
    <w:basedOn w:val="Normal"/>
    <w:next w:val="Normal"/>
    <w:autoRedefine/>
    <w:uiPriority w:val="39"/>
    <w:unhideWhenUsed/>
    <w:pPr>
      <w:spacing w:after="100" w:line="276" w:lineRule="auto"/>
      <w:ind w:left="660"/>
    </w:pPr>
    <w:rPr>
      <w:sz w:val="22"/>
      <w:szCs w:val="22"/>
      <w:lang w:eastAsia="en-GB"/>
    </w:rPr>
  </w:style>
  <w:style w:type="paragraph" w:styleId="TOC5">
    <w:name w:val="toc 5"/>
    <w:basedOn w:val="Normal"/>
    <w:next w:val="Normal"/>
    <w:autoRedefine/>
    <w:uiPriority w:val="39"/>
    <w:unhideWhenUsed/>
    <w:pPr>
      <w:spacing w:after="100" w:line="276" w:lineRule="auto"/>
      <w:ind w:left="880"/>
    </w:pPr>
    <w:rPr>
      <w:sz w:val="22"/>
      <w:szCs w:val="22"/>
      <w:lang w:eastAsia="en-GB"/>
    </w:rPr>
  </w:style>
  <w:style w:type="paragraph" w:styleId="TOC6">
    <w:name w:val="toc 6"/>
    <w:basedOn w:val="Normal"/>
    <w:next w:val="Normal"/>
    <w:autoRedefine/>
    <w:uiPriority w:val="39"/>
    <w:unhideWhenUsed/>
    <w:pPr>
      <w:spacing w:after="100" w:line="276" w:lineRule="auto"/>
      <w:ind w:left="1100"/>
    </w:pPr>
    <w:rPr>
      <w:sz w:val="22"/>
      <w:szCs w:val="22"/>
      <w:lang w:eastAsia="en-GB"/>
    </w:rPr>
  </w:style>
  <w:style w:type="paragraph" w:styleId="TOC7">
    <w:name w:val="toc 7"/>
    <w:basedOn w:val="Normal"/>
    <w:next w:val="Normal"/>
    <w:autoRedefine/>
    <w:uiPriority w:val="39"/>
    <w:unhideWhenUsed/>
    <w:pPr>
      <w:spacing w:after="100" w:line="276" w:lineRule="auto"/>
      <w:ind w:left="1320"/>
    </w:pPr>
    <w:rPr>
      <w:sz w:val="22"/>
      <w:szCs w:val="22"/>
      <w:lang w:eastAsia="en-GB"/>
    </w:rPr>
  </w:style>
  <w:style w:type="paragraph" w:styleId="TOC8">
    <w:name w:val="toc 8"/>
    <w:basedOn w:val="Normal"/>
    <w:next w:val="Normal"/>
    <w:autoRedefine/>
    <w:uiPriority w:val="39"/>
    <w:unhideWhenUsed/>
    <w:pPr>
      <w:spacing w:after="100" w:line="276" w:lineRule="auto"/>
      <w:ind w:left="1540"/>
    </w:pPr>
    <w:rPr>
      <w:sz w:val="22"/>
      <w:szCs w:val="22"/>
      <w:lang w:eastAsia="en-GB"/>
    </w:rPr>
  </w:style>
  <w:style w:type="paragraph" w:styleId="TOC9">
    <w:name w:val="toc 9"/>
    <w:basedOn w:val="Normal"/>
    <w:next w:val="Normal"/>
    <w:autoRedefine/>
    <w:uiPriority w:val="39"/>
    <w:unhideWhenUsed/>
    <w:pPr>
      <w:spacing w:after="100" w:line="276" w:lineRule="auto"/>
      <w:ind w:left="1760"/>
    </w:pPr>
    <w:rPr>
      <w:sz w:val="22"/>
      <w:szCs w:val="22"/>
      <w:lang w:eastAsia="en-GB"/>
    </w:rPr>
  </w:style>
  <w:style w:type="character" w:customStyle="1" w:styleId="A6">
    <w:name w:val="A6"/>
    <w:uiPriority w:val="99"/>
    <w:rPr>
      <w:rFonts w:cs="Garamond"/>
      <w:color w:val="000000"/>
      <w:sz w:val="22"/>
      <w:szCs w:val="22"/>
    </w:rPr>
  </w:style>
  <w:style w:type="table" w:customStyle="1" w:styleId="Simpletable1">
    <w:name w:val="Simple table1"/>
    <w:basedOn w:val="TableNormal"/>
    <w:next w:val="TableGrid"/>
    <w:uiPriority w:val="5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008">
      <w:bodyDiv w:val="1"/>
      <w:marLeft w:val="0"/>
      <w:marRight w:val="0"/>
      <w:marTop w:val="0"/>
      <w:marBottom w:val="0"/>
      <w:divBdr>
        <w:top w:val="none" w:sz="0" w:space="0" w:color="auto"/>
        <w:left w:val="none" w:sz="0" w:space="0" w:color="auto"/>
        <w:bottom w:val="none" w:sz="0" w:space="0" w:color="auto"/>
        <w:right w:val="none" w:sz="0" w:space="0" w:color="auto"/>
      </w:divBdr>
    </w:div>
    <w:div w:id="56785148">
      <w:bodyDiv w:val="1"/>
      <w:marLeft w:val="0"/>
      <w:marRight w:val="0"/>
      <w:marTop w:val="0"/>
      <w:marBottom w:val="0"/>
      <w:divBdr>
        <w:top w:val="none" w:sz="0" w:space="0" w:color="auto"/>
        <w:left w:val="none" w:sz="0" w:space="0" w:color="auto"/>
        <w:bottom w:val="none" w:sz="0" w:space="0" w:color="auto"/>
        <w:right w:val="none" w:sz="0" w:space="0" w:color="auto"/>
      </w:divBdr>
    </w:div>
    <w:div w:id="94177003">
      <w:bodyDiv w:val="1"/>
      <w:marLeft w:val="0"/>
      <w:marRight w:val="0"/>
      <w:marTop w:val="0"/>
      <w:marBottom w:val="0"/>
      <w:divBdr>
        <w:top w:val="none" w:sz="0" w:space="0" w:color="auto"/>
        <w:left w:val="none" w:sz="0" w:space="0" w:color="auto"/>
        <w:bottom w:val="none" w:sz="0" w:space="0" w:color="auto"/>
        <w:right w:val="none" w:sz="0" w:space="0" w:color="auto"/>
      </w:divBdr>
    </w:div>
    <w:div w:id="140463365">
      <w:bodyDiv w:val="1"/>
      <w:marLeft w:val="0"/>
      <w:marRight w:val="0"/>
      <w:marTop w:val="0"/>
      <w:marBottom w:val="0"/>
      <w:divBdr>
        <w:top w:val="none" w:sz="0" w:space="0" w:color="auto"/>
        <w:left w:val="none" w:sz="0" w:space="0" w:color="auto"/>
        <w:bottom w:val="none" w:sz="0" w:space="0" w:color="auto"/>
        <w:right w:val="none" w:sz="0" w:space="0" w:color="auto"/>
      </w:divBdr>
    </w:div>
    <w:div w:id="158274123">
      <w:bodyDiv w:val="1"/>
      <w:marLeft w:val="0"/>
      <w:marRight w:val="0"/>
      <w:marTop w:val="0"/>
      <w:marBottom w:val="0"/>
      <w:divBdr>
        <w:top w:val="none" w:sz="0" w:space="0" w:color="auto"/>
        <w:left w:val="none" w:sz="0" w:space="0" w:color="auto"/>
        <w:bottom w:val="none" w:sz="0" w:space="0" w:color="auto"/>
        <w:right w:val="none" w:sz="0" w:space="0" w:color="auto"/>
      </w:divBdr>
    </w:div>
    <w:div w:id="206186379">
      <w:bodyDiv w:val="1"/>
      <w:marLeft w:val="0"/>
      <w:marRight w:val="0"/>
      <w:marTop w:val="0"/>
      <w:marBottom w:val="0"/>
      <w:divBdr>
        <w:top w:val="none" w:sz="0" w:space="0" w:color="auto"/>
        <w:left w:val="none" w:sz="0" w:space="0" w:color="auto"/>
        <w:bottom w:val="none" w:sz="0" w:space="0" w:color="auto"/>
        <w:right w:val="none" w:sz="0" w:space="0" w:color="auto"/>
      </w:divBdr>
    </w:div>
    <w:div w:id="340356344">
      <w:bodyDiv w:val="1"/>
      <w:marLeft w:val="0"/>
      <w:marRight w:val="0"/>
      <w:marTop w:val="0"/>
      <w:marBottom w:val="0"/>
      <w:divBdr>
        <w:top w:val="none" w:sz="0" w:space="0" w:color="auto"/>
        <w:left w:val="none" w:sz="0" w:space="0" w:color="auto"/>
        <w:bottom w:val="none" w:sz="0" w:space="0" w:color="auto"/>
        <w:right w:val="none" w:sz="0" w:space="0" w:color="auto"/>
      </w:divBdr>
    </w:div>
    <w:div w:id="414664544">
      <w:bodyDiv w:val="1"/>
      <w:marLeft w:val="0"/>
      <w:marRight w:val="0"/>
      <w:marTop w:val="0"/>
      <w:marBottom w:val="0"/>
      <w:divBdr>
        <w:top w:val="none" w:sz="0" w:space="0" w:color="auto"/>
        <w:left w:val="none" w:sz="0" w:space="0" w:color="auto"/>
        <w:bottom w:val="none" w:sz="0" w:space="0" w:color="auto"/>
        <w:right w:val="none" w:sz="0" w:space="0" w:color="auto"/>
      </w:divBdr>
    </w:div>
    <w:div w:id="427391104">
      <w:bodyDiv w:val="1"/>
      <w:marLeft w:val="0"/>
      <w:marRight w:val="0"/>
      <w:marTop w:val="0"/>
      <w:marBottom w:val="0"/>
      <w:divBdr>
        <w:top w:val="none" w:sz="0" w:space="0" w:color="auto"/>
        <w:left w:val="none" w:sz="0" w:space="0" w:color="auto"/>
        <w:bottom w:val="none" w:sz="0" w:space="0" w:color="auto"/>
        <w:right w:val="none" w:sz="0" w:space="0" w:color="auto"/>
      </w:divBdr>
    </w:div>
    <w:div w:id="448862519">
      <w:bodyDiv w:val="1"/>
      <w:marLeft w:val="0"/>
      <w:marRight w:val="0"/>
      <w:marTop w:val="0"/>
      <w:marBottom w:val="0"/>
      <w:divBdr>
        <w:top w:val="none" w:sz="0" w:space="0" w:color="auto"/>
        <w:left w:val="none" w:sz="0" w:space="0" w:color="auto"/>
        <w:bottom w:val="none" w:sz="0" w:space="0" w:color="auto"/>
        <w:right w:val="none" w:sz="0" w:space="0" w:color="auto"/>
      </w:divBdr>
    </w:div>
    <w:div w:id="469710263">
      <w:bodyDiv w:val="1"/>
      <w:marLeft w:val="0"/>
      <w:marRight w:val="0"/>
      <w:marTop w:val="0"/>
      <w:marBottom w:val="0"/>
      <w:divBdr>
        <w:top w:val="none" w:sz="0" w:space="0" w:color="auto"/>
        <w:left w:val="none" w:sz="0" w:space="0" w:color="auto"/>
        <w:bottom w:val="none" w:sz="0" w:space="0" w:color="auto"/>
        <w:right w:val="none" w:sz="0" w:space="0" w:color="auto"/>
      </w:divBdr>
    </w:div>
    <w:div w:id="482626901">
      <w:bodyDiv w:val="1"/>
      <w:marLeft w:val="0"/>
      <w:marRight w:val="0"/>
      <w:marTop w:val="0"/>
      <w:marBottom w:val="0"/>
      <w:divBdr>
        <w:top w:val="none" w:sz="0" w:space="0" w:color="auto"/>
        <w:left w:val="none" w:sz="0" w:space="0" w:color="auto"/>
        <w:bottom w:val="none" w:sz="0" w:space="0" w:color="auto"/>
        <w:right w:val="none" w:sz="0" w:space="0" w:color="auto"/>
      </w:divBdr>
    </w:div>
    <w:div w:id="483010740">
      <w:bodyDiv w:val="1"/>
      <w:marLeft w:val="0"/>
      <w:marRight w:val="0"/>
      <w:marTop w:val="0"/>
      <w:marBottom w:val="0"/>
      <w:divBdr>
        <w:top w:val="none" w:sz="0" w:space="0" w:color="auto"/>
        <w:left w:val="none" w:sz="0" w:space="0" w:color="auto"/>
        <w:bottom w:val="none" w:sz="0" w:space="0" w:color="auto"/>
        <w:right w:val="none" w:sz="0" w:space="0" w:color="auto"/>
      </w:divBdr>
    </w:div>
    <w:div w:id="485627592">
      <w:bodyDiv w:val="1"/>
      <w:marLeft w:val="0"/>
      <w:marRight w:val="0"/>
      <w:marTop w:val="0"/>
      <w:marBottom w:val="0"/>
      <w:divBdr>
        <w:top w:val="none" w:sz="0" w:space="0" w:color="auto"/>
        <w:left w:val="none" w:sz="0" w:space="0" w:color="auto"/>
        <w:bottom w:val="none" w:sz="0" w:space="0" w:color="auto"/>
        <w:right w:val="none" w:sz="0" w:space="0" w:color="auto"/>
      </w:divBdr>
    </w:div>
    <w:div w:id="493230714">
      <w:bodyDiv w:val="1"/>
      <w:marLeft w:val="0"/>
      <w:marRight w:val="0"/>
      <w:marTop w:val="0"/>
      <w:marBottom w:val="0"/>
      <w:divBdr>
        <w:top w:val="none" w:sz="0" w:space="0" w:color="auto"/>
        <w:left w:val="none" w:sz="0" w:space="0" w:color="auto"/>
        <w:bottom w:val="none" w:sz="0" w:space="0" w:color="auto"/>
        <w:right w:val="none" w:sz="0" w:space="0" w:color="auto"/>
      </w:divBdr>
    </w:div>
    <w:div w:id="494106724">
      <w:bodyDiv w:val="1"/>
      <w:marLeft w:val="0"/>
      <w:marRight w:val="0"/>
      <w:marTop w:val="0"/>
      <w:marBottom w:val="0"/>
      <w:divBdr>
        <w:top w:val="none" w:sz="0" w:space="0" w:color="auto"/>
        <w:left w:val="none" w:sz="0" w:space="0" w:color="auto"/>
        <w:bottom w:val="none" w:sz="0" w:space="0" w:color="auto"/>
        <w:right w:val="none" w:sz="0" w:space="0" w:color="auto"/>
      </w:divBdr>
    </w:div>
    <w:div w:id="531648500">
      <w:bodyDiv w:val="1"/>
      <w:marLeft w:val="0"/>
      <w:marRight w:val="0"/>
      <w:marTop w:val="0"/>
      <w:marBottom w:val="0"/>
      <w:divBdr>
        <w:top w:val="none" w:sz="0" w:space="0" w:color="auto"/>
        <w:left w:val="none" w:sz="0" w:space="0" w:color="auto"/>
        <w:bottom w:val="none" w:sz="0" w:space="0" w:color="auto"/>
        <w:right w:val="none" w:sz="0" w:space="0" w:color="auto"/>
      </w:divBdr>
    </w:div>
    <w:div w:id="550306897">
      <w:bodyDiv w:val="1"/>
      <w:marLeft w:val="0"/>
      <w:marRight w:val="0"/>
      <w:marTop w:val="0"/>
      <w:marBottom w:val="0"/>
      <w:divBdr>
        <w:top w:val="none" w:sz="0" w:space="0" w:color="auto"/>
        <w:left w:val="none" w:sz="0" w:space="0" w:color="auto"/>
        <w:bottom w:val="none" w:sz="0" w:space="0" w:color="auto"/>
        <w:right w:val="none" w:sz="0" w:space="0" w:color="auto"/>
      </w:divBdr>
    </w:div>
    <w:div w:id="590890617">
      <w:bodyDiv w:val="1"/>
      <w:marLeft w:val="0"/>
      <w:marRight w:val="0"/>
      <w:marTop w:val="0"/>
      <w:marBottom w:val="0"/>
      <w:divBdr>
        <w:top w:val="none" w:sz="0" w:space="0" w:color="auto"/>
        <w:left w:val="none" w:sz="0" w:space="0" w:color="auto"/>
        <w:bottom w:val="none" w:sz="0" w:space="0" w:color="auto"/>
        <w:right w:val="none" w:sz="0" w:space="0" w:color="auto"/>
      </w:divBdr>
    </w:div>
    <w:div w:id="649477713">
      <w:bodyDiv w:val="1"/>
      <w:marLeft w:val="0"/>
      <w:marRight w:val="0"/>
      <w:marTop w:val="0"/>
      <w:marBottom w:val="0"/>
      <w:divBdr>
        <w:top w:val="none" w:sz="0" w:space="0" w:color="auto"/>
        <w:left w:val="none" w:sz="0" w:space="0" w:color="auto"/>
        <w:bottom w:val="none" w:sz="0" w:space="0" w:color="auto"/>
        <w:right w:val="none" w:sz="0" w:space="0" w:color="auto"/>
      </w:divBdr>
    </w:div>
    <w:div w:id="681858289">
      <w:bodyDiv w:val="1"/>
      <w:marLeft w:val="0"/>
      <w:marRight w:val="0"/>
      <w:marTop w:val="0"/>
      <w:marBottom w:val="0"/>
      <w:divBdr>
        <w:top w:val="none" w:sz="0" w:space="0" w:color="auto"/>
        <w:left w:val="none" w:sz="0" w:space="0" w:color="auto"/>
        <w:bottom w:val="none" w:sz="0" w:space="0" w:color="auto"/>
        <w:right w:val="none" w:sz="0" w:space="0" w:color="auto"/>
      </w:divBdr>
    </w:div>
    <w:div w:id="693306103">
      <w:bodyDiv w:val="1"/>
      <w:marLeft w:val="0"/>
      <w:marRight w:val="0"/>
      <w:marTop w:val="0"/>
      <w:marBottom w:val="0"/>
      <w:divBdr>
        <w:top w:val="none" w:sz="0" w:space="0" w:color="auto"/>
        <w:left w:val="none" w:sz="0" w:space="0" w:color="auto"/>
        <w:bottom w:val="none" w:sz="0" w:space="0" w:color="auto"/>
        <w:right w:val="none" w:sz="0" w:space="0" w:color="auto"/>
      </w:divBdr>
    </w:div>
    <w:div w:id="697126955">
      <w:bodyDiv w:val="1"/>
      <w:marLeft w:val="0"/>
      <w:marRight w:val="0"/>
      <w:marTop w:val="0"/>
      <w:marBottom w:val="0"/>
      <w:divBdr>
        <w:top w:val="none" w:sz="0" w:space="0" w:color="auto"/>
        <w:left w:val="none" w:sz="0" w:space="0" w:color="auto"/>
        <w:bottom w:val="none" w:sz="0" w:space="0" w:color="auto"/>
        <w:right w:val="none" w:sz="0" w:space="0" w:color="auto"/>
      </w:divBdr>
    </w:div>
    <w:div w:id="772941494">
      <w:bodyDiv w:val="1"/>
      <w:marLeft w:val="0"/>
      <w:marRight w:val="0"/>
      <w:marTop w:val="0"/>
      <w:marBottom w:val="0"/>
      <w:divBdr>
        <w:top w:val="none" w:sz="0" w:space="0" w:color="auto"/>
        <w:left w:val="none" w:sz="0" w:space="0" w:color="auto"/>
        <w:bottom w:val="none" w:sz="0" w:space="0" w:color="auto"/>
        <w:right w:val="none" w:sz="0" w:space="0" w:color="auto"/>
      </w:divBdr>
    </w:div>
    <w:div w:id="793980383">
      <w:bodyDiv w:val="1"/>
      <w:marLeft w:val="0"/>
      <w:marRight w:val="0"/>
      <w:marTop w:val="0"/>
      <w:marBottom w:val="0"/>
      <w:divBdr>
        <w:top w:val="none" w:sz="0" w:space="0" w:color="auto"/>
        <w:left w:val="none" w:sz="0" w:space="0" w:color="auto"/>
        <w:bottom w:val="none" w:sz="0" w:space="0" w:color="auto"/>
        <w:right w:val="none" w:sz="0" w:space="0" w:color="auto"/>
      </w:divBdr>
    </w:div>
    <w:div w:id="822702080">
      <w:bodyDiv w:val="1"/>
      <w:marLeft w:val="0"/>
      <w:marRight w:val="0"/>
      <w:marTop w:val="0"/>
      <w:marBottom w:val="0"/>
      <w:divBdr>
        <w:top w:val="none" w:sz="0" w:space="0" w:color="auto"/>
        <w:left w:val="none" w:sz="0" w:space="0" w:color="auto"/>
        <w:bottom w:val="none" w:sz="0" w:space="0" w:color="auto"/>
        <w:right w:val="none" w:sz="0" w:space="0" w:color="auto"/>
      </w:divBdr>
    </w:div>
    <w:div w:id="825902262">
      <w:bodyDiv w:val="1"/>
      <w:marLeft w:val="0"/>
      <w:marRight w:val="0"/>
      <w:marTop w:val="0"/>
      <w:marBottom w:val="0"/>
      <w:divBdr>
        <w:top w:val="none" w:sz="0" w:space="0" w:color="auto"/>
        <w:left w:val="none" w:sz="0" w:space="0" w:color="auto"/>
        <w:bottom w:val="none" w:sz="0" w:space="0" w:color="auto"/>
        <w:right w:val="none" w:sz="0" w:space="0" w:color="auto"/>
      </w:divBdr>
    </w:div>
    <w:div w:id="866065482">
      <w:bodyDiv w:val="1"/>
      <w:marLeft w:val="0"/>
      <w:marRight w:val="0"/>
      <w:marTop w:val="0"/>
      <w:marBottom w:val="0"/>
      <w:divBdr>
        <w:top w:val="none" w:sz="0" w:space="0" w:color="auto"/>
        <w:left w:val="none" w:sz="0" w:space="0" w:color="auto"/>
        <w:bottom w:val="none" w:sz="0" w:space="0" w:color="auto"/>
        <w:right w:val="none" w:sz="0" w:space="0" w:color="auto"/>
      </w:divBdr>
    </w:div>
    <w:div w:id="871259347">
      <w:bodyDiv w:val="1"/>
      <w:marLeft w:val="0"/>
      <w:marRight w:val="0"/>
      <w:marTop w:val="0"/>
      <w:marBottom w:val="0"/>
      <w:divBdr>
        <w:top w:val="none" w:sz="0" w:space="0" w:color="auto"/>
        <w:left w:val="none" w:sz="0" w:space="0" w:color="auto"/>
        <w:bottom w:val="none" w:sz="0" w:space="0" w:color="auto"/>
        <w:right w:val="none" w:sz="0" w:space="0" w:color="auto"/>
      </w:divBdr>
    </w:div>
    <w:div w:id="893855938">
      <w:bodyDiv w:val="1"/>
      <w:marLeft w:val="0"/>
      <w:marRight w:val="0"/>
      <w:marTop w:val="0"/>
      <w:marBottom w:val="0"/>
      <w:divBdr>
        <w:top w:val="none" w:sz="0" w:space="0" w:color="auto"/>
        <w:left w:val="none" w:sz="0" w:space="0" w:color="auto"/>
        <w:bottom w:val="none" w:sz="0" w:space="0" w:color="auto"/>
        <w:right w:val="none" w:sz="0" w:space="0" w:color="auto"/>
      </w:divBdr>
    </w:div>
    <w:div w:id="920145328">
      <w:bodyDiv w:val="1"/>
      <w:marLeft w:val="0"/>
      <w:marRight w:val="0"/>
      <w:marTop w:val="0"/>
      <w:marBottom w:val="0"/>
      <w:divBdr>
        <w:top w:val="none" w:sz="0" w:space="0" w:color="auto"/>
        <w:left w:val="none" w:sz="0" w:space="0" w:color="auto"/>
        <w:bottom w:val="none" w:sz="0" w:space="0" w:color="auto"/>
        <w:right w:val="none" w:sz="0" w:space="0" w:color="auto"/>
      </w:divBdr>
    </w:div>
    <w:div w:id="941839390">
      <w:bodyDiv w:val="1"/>
      <w:marLeft w:val="0"/>
      <w:marRight w:val="0"/>
      <w:marTop w:val="0"/>
      <w:marBottom w:val="0"/>
      <w:divBdr>
        <w:top w:val="none" w:sz="0" w:space="0" w:color="auto"/>
        <w:left w:val="none" w:sz="0" w:space="0" w:color="auto"/>
        <w:bottom w:val="none" w:sz="0" w:space="0" w:color="auto"/>
        <w:right w:val="none" w:sz="0" w:space="0" w:color="auto"/>
      </w:divBdr>
    </w:div>
    <w:div w:id="986665488">
      <w:bodyDiv w:val="1"/>
      <w:marLeft w:val="0"/>
      <w:marRight w:val="0"/>
      <w:marTop w:val="0"/>
      <w:marBottom w:val="0"/>
      <w:divBdr>
        <w:top w:val="none" w:sz="0" w:space="0" w:color="auto"/>
        <w:left w:val="none" w:sz="0" w:space="0" w:color="auto"/>
        <w:bottom w:val="none" w:sz="0" w:space="0" w:color="auto"/>
        <w:right w:val="none" w:sz="0" w:space="0" w:color="auto"/>
      </w:divBdr>
    </w:div>
    <w:div w:id="995960833">
      <w:bodyDiv w:val="1"/>
      <w:marLeft w:val="0"/>
      <w:marRight w:val="0"/>
      <w:marTop w:val="0"/>
      <w:marBottom w:val="0"/>
      <w:divBdr>
        <w:top w:val="none" w:sz="0" w:space="0" w:color="auto"/>
        <w:left w:val="none" w:sz="0" w:space="0" w:color="auto"/>
        <w:bottom w:val="none" w:sz="0" w:space="0" w:color="auto"/>
        <w:right w:val="none" w:sz="0" w:space="0" w:color="auto"/>
      </w:divBdr>
    </w:div>
    <w:div w:id="1034233410">
      <w:bodyDiv w:val="1"/>
      <w:marLeft w:val="0"/>
      <w:marRight w:val="0"/>
      <w:marTop w:val="0"/>
      <w:marBottom w:val="0"/>
      <w:divBdr>
        <w:top w:val="none" w:sz="0" w:space="0" w:color="auto"/>
        <w:left w:val="none" w:sz="0" w:space="0" w:color="auto"/>
        <w:bottom w:val="none" w:sz="0" w:space="0" w:color="auto"/>
        <w:right w:val="none" w:sz="0" w:space="0" w:color="auto"/>
      </w:divBdr>
    </w:div>
    <w:div w:id="1042050706">
      <w:bodyDiv w:val="1"/>
      <w:marLeft w:val="0"/>
      <w:marRight w:val="0"/>
      <w:marTop w:val="0"/>
      <w:marBottom w:val="0"/>
      <w:divBdr>
        <w:top w:val="none" w:sz="0" w:space="0" w:color="auto"/>
        <w:left w:val="none" w:sz="0" w:space="0" w:color="auto"/>
        <w:bottom w:val="none" w:sz="0" w:space="0" w:color="auto"/>
        <w:right w:val="none" w:sz="0" w:space="0" w:color="auto"/>
      </w:divBdr>
    </w:div>
    <w:div w:id="1054936667">
      <w:bodyDiv w:val="1"/>
      <w:marLeft w:val="0"/>
      <w:marRight w:val="0"/>
      <w:marTop w:val="0"/>
      <w:marBottom w:val="0"/>
      <w:divBdr>
        <w:top w:val="none" w:sz="0" w:space="0" w:color="auto"/>
        <w:left w:val="none" w:sz="0" w:space="0" w:color="auto"/>
        <w:bottom w:val="none" w:sz="0" w:space="0" w:color="auto"/>
        <w:right w:val="none" w:sz="0" w:space="0" w:color="auto"/>
      </w:divBdr>
    </w:div>
    <w:div w:id="1084840335">
      <w:bodyDiv w:val="1"/>
      <w:marLeft w:val="0"/>
      <w:marRight w:val="0"/>
      <w:marTop w:val="0"/>
      <w:marBottom w:val="0"/>
      <w:divBdr>
        <w:top w:val="none" w:sz="0" w:space="0" w:color="auto"/>
        <w:left w:val="none" w:sz="0" w:space="0" w:color="auto"/>
        <w:bottom w:val="none" w:sz="0" w:space="0" w:color="auto"/>
        <w:right w:val="none" w:sz="0" w:space="0" w:color="auto"/>
      </w:divBdr>
    </w:div>
    <w:div w:id="1097794673">
      <w:bodyDiv w:val="1"/>
      <w:marLeft w:val="0"/>
      <w:marRight w:val="0"/>
      <w:marTop w:val="0"/>
      <w:marBottom w:val="0"/>
      <w:divBdr>
        <w:top w:val="none" w:sz="0" w:space="0" w:color="auto"/>
        <w:left w:val="none" w:sz="0" w:space="0" w:color="auto"/>
        <w:bottom w:val="none" w:sz="0" w:space="0" w:color="auto"/>
        <w:right w:val="none" w:sz="0" w:space="0" w:color="auto"/>
      </w:divBdr>
    </w:div>
    <w:div w:id="1181164374">
      <w:bodyDiv w:val="1"/>
      <w:marLeft w:val="0"/>
      <w:marRight w:val="0"/>
      <w:marTop w:val="0"/>
      <w:marBottom w:val="0"/>
      <w:divBdr>
        <w:top w:val="none" w:sz="0" w:space="0" w:color="auto"/>
        <w:left w:val="none" w:sz="0" w:space="0" w:color="auto"/>
        <w:bottom w:val="none" w:sz="0" w:space="0" w:color="auto"/>
        <w:right w:val="none" w:sz="0" w:space="0" w:color="auto"/>
      </w:divBdr>
    </w:div>
    <w:div w:id="1217084889">
      <w:bodyDiv w:val="1"/>
      <w:marLeft w:val="0"/>
      <w:marRight w:val="0"/>
      <w:marTop w:val="0"/>
      <w:marBottom w:val="0"/>
      <w:divBdr>
        <w:top w:val="none" w:sz="0" w:space="0" w:color="auto"/>
        <w:left w:val="none" w:sz="0" w:space="0" w:color="auto"/>
        <w:bottom w:val="none" w:sz="0" w:space="0" w:color="auto"/>
        <w:right w:val="none" w:sz="0" w:space="0" w:color="auto"/>
      </w:divBdr>
    </w:div>
    <w:div w:id="1226186387">
      <w:bodyDiv w:val="1"/>
      <w:marLeft w:val="0"/>
      <w:marRight w:val="0"/>
      <w:marTop w:val="0"/>
      <w:marBottom w:val="0"/>
      <w:divBdr>
        <w:top w:val="none" w:sz="0" w:space="0" w:color="auto"/>
        <w:left w:val="none" w:sz="0" w:space="0" w:color="auto"/>
        <w:bottom w:val="none" w:sz="0" w:space="0" w:color="auto"/>
        <w:right w:val="none" w:sz="0" w:space="0" w:color="auto"/>
      </w:divBdr>
    </w:div>
    <w:div w:id="1266498950">
      <w:bodyDiv w:val="1"/>
      <w:marLeft w:val="0"/>
      <w:marRight w:val="0"/>
      <w:marTop w:val="0"/>
      <w:marBottom w:val="0"/>
      <w:divBdr>
        <w:top w:val="none" w:sz="0" w:space="0" w:color="auto"/>
        <w:left w:val="none" w:sz="0" w:space="0" w:color="auto"/>
        <w:bottom w:val="none" w:sz="0" w:space="0" w:color="auto"/>
        <w:right w:val="none" w:sz="0" w:space="0" w:color="auto"/>
      </w:divBdr>
    </w:div>
    <w:div w:id="1271622603">
      <w:bodyDiv w:val="1"/>
      <w:marLeft w:val="0"/>
      <w:marRight w:val="0"/>
      <w:marTop w:val="0"/>
      <w:marBottom w:val="0"/>
      <w:divBdr>
        <w:top w:val="none" w:sz="0" w:space="0" w:color="auto"/>
        <w:left w:val="none" w:sz="0" w:space="0" w:color="auto"/>
        <w:bottom w:val="none" w:sz="0" w:space="0" w:color="auto"/>
        <w:right w:val="none" w:sz="0" w:space="0" w:color="auto"/>
      </w:divBdr>
    </w:div>
    <w:div w:id="1308242066">
      <w:bodyDiv w:val="1"/>
      <w:marLeft w:val="0"/>
      <w:marRight w:val="0"/>
      <w:marTop w:val="0"/>
      <w:marBottom w:val="0"/>
      <w:divBdr>
        <w:top w:val="none" w:sz="0" w:space="0" w:color="auto"/>
        <w:left w:val="none" w:sz="0" w:space="0" w:color="auto"/>
        <w:bottom w:val="none" w:sz="0" w:space="0" w:color="auto"/>
        <w:right w:val="none" w:sz="0" w:space="0" w:color="auto"/>
      </w:divBdr>
    </w:div>
    <w:div w:id="1311865797">
      <w:bodyDiv w:val="1"/>
      <w:marLeft w:val="0"/>
      <w:marRight w:val="0"/>
      <w:marTop w:val="0"/>
      <w:marBottom w:val="0"/>
      <w:divBdr>
        <w:top w:val="none" w:sz="0" w:space="0" w:color="auto"/>
        <w:left w:val="none" w:sz="0" w:space="0" w:color="auto"/>
        <w:bottom w:val="none" w:sz="0" w:space="0" w:color="auto"/>
        <w:right w:val="none" w:sz="0" w:space="0" w:color="auto"/>
      </w:divBdr>
    </w:div>
    <w:div w:id="1319460664">
      <w:bodyDiv w:val="1"/>
      <w:marLeft w:val="0"/>
      <w:marRight w:val="0"/>
      <w:marTop w:val="0"/>
      <w:marBottom w:val="0"/>
      <w:divBdr>
        <w:top w:val="none" w:sz="0" w:space="0" w:color="auto"/>
        <w:left w:val="none" w:sz="0" w:space="0" w:color="auto"/>
        <w:bottom w:val="none" w:sz="0" w:space="0" w:color="auto"/>
        <w:right w:val="none" w:sz="0" w:space="0" w:color="auto"/>
      </w:divBdr>
    </w:div>
    <w:div w:id="1344477580">
      <w:bodyDiv w:val="1"/>
      <w:marLeft w:val="0"/>
      <w:marRight w:val="0"/>
      <w:marTop w:val="0"/>
      <w:marBottom w:val="0"/>
      <w:divBdr>
        <w:top w:val="none" w:sz="0" w:space="0" w:color="auto"/>
        <w:left w:val="none" w:sz="0" w:space="0" w:color="auto"/>
        <w:bottom w:val="none" w:sz="0" w:space="0" w:color="auto"/>
        <w:right w:val="none" w:sz="0" w:space="0" w:color="auto"/>
      </w:divBdr>
    </w:div>
    <w:div w:id="1407024360">
      <w:bodyDiv w:val="1"/>
      <w:marLeft w:val="0"/>
      <w:marRight w:val="0"/>
      <w:marTop w:val="0"/>
      <w:marBottom w:val="0"/>
      <w:divBdr>
        <w:top w:val="none" w:sz="0" w:space="0" w:color="auto"/>
        <w:left w:val="none" w:sz="0" w:space="0" w:color="auto"/>
        <w:bottom w:val="none" w:sz="0" w:space="0" w:color="auto"/>
        <w:right w:val="none" w:sz="0" w:space="0" w:color="auto"/>
      </w:divBdr>
    </w:div>
    <w:div w:id="1495730199">
      <w:bodyDiv w:val="1"/>
      <w:marLeft w:val="0"/>
      <w:marRight w:val="0"/>
      <w:marTop w:val="0"/>
      <w:marBottom w:val="0"/>
      <w:divBdr>
        <w:top w:val="none" w:sz="0" w:space="0" w:color="auto"/>
        <w:left w:val="none" w:sz="0" w:space="0" w:color="auto"/>
        <w:bottom w:val="none" w:sz="0" w:space="0" w:color="auto"/>
        <w:right w:val="none" w:sz="0" w:space="0" w:color="auto"/>
      </w:divBdr>
    </w:div>
    <w:div w:id="1511599117">
      <w:bodyDiv w:val="1"/>
      <w:marLeft w:val="0"/>
      <w:marRight w:val="0"/>
      <w:marTop w:val="0"/>
      <w:marBottom w:val="0"/>
      <w:divBdr>
        <w:top w:val="none" w:sz="0" w:space="0" w:color="auto"/>
        <w:left w:val="none" w:sz="0" w:space="0" w:color="auto"/>
        <w:bottom w:val="none" w:sz="0" w:space="0" w:color="auto"/>
        <w:right w:val="none" w:sz="0" w:space="0" w:color="auto"/>
      </w:divBdr>
    </w:div>
    <w:div w:id="1565680654">
      <w:bodyDiv w:val="1"/>
      <w:marLeft w:val="0"/>
      <w:marRight w:val="0"/>
      <w:marTop w:val="0"/>
      <w:marBottom w:val="0"/>
      <w:divBdr>
        <w:top w:val="none" w:sz="0" w:space="0" w:color="auto"/>
        <w:left w:val="none" w:sz="0" w:space="0" w:color="auto"/>
        <w:bottom w:val="none" w:sz="0" w:space="0" w:color="auto"/>
        <w:right w:val="none" w:sz="0" w:space="0" w:color="auto"/>
      </w:divBdr>
    </w:div>
    <w:div w:id="1576741573">
      <w:bodyDiv w:val="1"/>
      <w:marLeft w:val="0"/>
      <w:marRight w:val="0"/>
      <w:marTop w:val="0"/>
      <w:marBottom w:val="0"/>
      <w:divBdr>
        <w:top w:val="none" w:sz="0" w:space="0" w:color="auto"/>
        <w:left w:val="none" w:sz="0" w:space="0" w:color="auto"/>
        <w:bottom w:val="none" w:sz="0" w:space="0" w:color="auto"/>
        <w:right w:val="none" w:sz="0" w:space="0" w:color="auto"/>
      </w:divBdr>
    </w:div>
    <w:div w:id="1591113357">
      <w:bodyDiv w:val="1"/>
      <w:marLeft w:val="0"/>
      <w:marRight w:val="0"/>
      <w:marTop w:val="0"/>
      <w:marBottom w:val="0"/>
      <w:divBdr>
        <w:top w:val="none" w:sz="0" w:space="0" w:color="auto"/>
        <w:left w:val="none" w:sz="0" w:space="0" w:color="auto"/>
        <w:bottom w:val="none" w:sz="0" w:space="0" w:color="auto"/>
        <w:right w:val="none" w:sz="0" w:space="0" w:color="auto"/>
      </w:divBdr>
    </w:div>
    <w:div w:id="1608348593">
      <w:bodyDiv w:val="1"/>
      <w:marLeft w:val="0"/>
      <w:marRight w:val="0"/>
      <w:marTop w:val="0"/>
      <w:marBottom w:val="0"/>
      <w:divBdr>
        <w:top w:val="none" w:sz="0" w:space="0" w:color="auto"/>
        <w:left w:val="none" w:sz="0" w:space="0" w:color="auto"/>
        <w:bottom w:val="none" w:sz="0" w:space="0" w:color="auto"/>
        <w:right w:val="none" w:sz="0" w:space="0" w:color="auto"/>
      </w:divBdr>
    </w:div>
    <w:div w:id="1624531157">
      <w:bodyDiv w:val="1"/>
      <w:marLeft w:val="0"/>
      <w:marRight w:val="0"/>
      <w:marTop w:val="0"/>
      <w:marBottom w:val="0"/>
      <w:divBdr>
        <w:top w:val="none" w:sz="0" w:space="0" w:color="auto"/>
        <w:left w:val="none" w:sz="0" w:space="0" w:color="auto"/>
        <w:bottom w:val="none" w:sz="0" w:space="0" w:color="auto"/>
        <w:right w:val="none" w:sz="0" w:space="0" w:color="auto"/>
      </w:divBdr>
    </w:div>
    <w:div w:id="1627809521">
      <w:bodyDiv w:val="1"/>
      <w:marLeft w:val="0"/>
      <w:marRight w:val="0"/>
      <w:marTop w:val="0"/>
      <w:marBottom w:val="0"/>
      <w:divBdr>
        <w:top w:val="none" w:sz="0" w:space="0" w:color="auto"/>
        <w:left w:val="none" w:sz="0" w:space="0" w:color="auto"/>
        <w:bottom w:val="none" w:sz="0" w:space="0" w:color="auto"/>
        <w:right w:val="none" w:sz="0" w:space="0" w:color="auto"/>
      </w:divBdr>
    </w:div>
    <w:div w:id="1647852562">
      <w:bodyDiv w:val="1"/>
      <w:marLeft w:val="0"/>
      <w:marRight w:val="0"/>
      <w:marTop w:val="0"/>
      <w:marBottom w:val="0"/>
      <w:divBdr>
        <w:top w:val="none" w:sz="0" w:space="0" w:color="auto"/>
        <w:left w:val="none" w:sz="0" w:space="0" w:color="auto"/>
        <w:bottom w:val="none" w:sz="0" w:space="0" w:color="auto"/>
        <w:right w:val="none" w:sz="0" w:space="0" w:color="auto"/>
      </w:divBdr>
    </w:div>
    <w:div w:id="1653480458">
      <w:bodyDiv w:val="1"/>
      <w:marLeft w:val="0"/>
      <w:marRight w:val="0"/>
      <w:marTop w:val="0"/>
      <w:marBottom w:val="0"/>
      <w:divBdr>
        <w:top w:val="none" w:sz="0" w:space="0" w:color="auto"/>
        <w:left w:val="none" w:sz="0" w:space="0" w:color="auto"/>
        <w:bottom w:val="none" w:sz="0" w:space="0" w:color="auto"/>
        <w:right w:val="none" w:sz="0" w:space="0" w:color="auto"/>
      </w:divBdr>
    </w:div>
    <w:div w:id="1655911391">
      <w:bodyDiv w:val="1"/>
      <w:marLeft w:val="0"/>
      <w:marRight w:val="0"/>
      <w:marTop w:val="0"/>
      <w:marBottom w:val="0"/>
      <w:divBdr>
        <w:top w:val="none" w:sz="0" w:space="0" w:color="auto"/>
        <w:left w:val="none" w:sz="0" w:space="0" w:color="auto"/>
        <w:bottom w:val="none" w:sz="0" w:space="0" w:color="auto"/>
        <w:right w:val="none" w:sz="0" w:space="0" w:color="auto"/>
      </w:divBdr>
    </w:div>
    <w:div w:id="1680816658">
      <w:bodyDiv w:val="1"/>
      <w:marLeft w:val="0"/>
      <w:marRight w:val="0"/>
      <w:marTop w:val="0"/>
      <w:marBottom w:val="0"/>
      <w:divBdr>
        <w:top w:val="none" w:sz="0" w:space="0" w:color="auto"/>
        <w:left w:val="none" w:sz="0" w:space="0" w:color="auto"/>
        <w:bottom w:val="none" w:sz="0" w:space="0" w:color="auto"/>
        <w:right w:val="none" w:sz="0" w:space="0" w:color="auto"/>
      </w:divBdr>
    </w:div>
    <w:div w:id="1691371899">
      <w:bodyDiv w:val="1"/>
      <w:marLeft w:val="0"/>
      <w:marRight w:val="0"/>
      <w:marTop w:val="0"/>
      <w:marBottom w:val="0"/>
      <w:divBdr>
        <w:top w:val="none" w:sz="0" w:space="0" w:color="auto"/>
        <w:left w:val="none" w:sz="0" w:space="0" w:color="auto"/>
        <w:bottom w:val="none" w:sz="0" w:space="0" w:color="auto"/>
        <w:right w:val="none" w:sz="0" w:space="0" w:color="auto"/>
      </w:divBdr>
    </w:div>
    <w:div w:id="1737900986">
      <w:bodyDiv w:val="1"/>
      <w:marLeft w:val="0"/>
      <w:marRight w:val="0"/>
      <w:marTop w:val="0"/>
      <w:marBottom w:val="0"/>
      <w:divBdr>
        <w:top w:val="none" w:sz="0" w:space="0" w:color="auto"/>
        <w:left w:val="none" w:sz="0" w:space="0" w:color="auto"/>
        <w:bottom w:val="none" w:sz="0" w:space="0" w:color="auto"/>
        <w:right w:val="none" w:sz="0" w:space="0" w:color="auto"/>
      </w:divBdr>
      <w:divsChild>
        <w:div w:id="1732001252">
          <w:marLeft w:val="0"/>
          <w:marRight w:val="0"/>
          <w:marTop w:val="0"/>
          <w:marBottom w:val="0"/>
          <w:divBdr>
            <w:top w:val="none" w:sz="0" w:space="0" w:color="auto"/>
            <w:left w:val="none" w:sz="0" w:space="0" w:color="auto"/>
            <w:bottom w:val="none" w:sz="0" w:space="0" w:color="auto"/>
            <w:right w:val="none" w:sz="0" w:space="0" w:color="auto"/>
          </w:divBdr>
          <w:divsChild>
            <w:div w:id="1264535610">
              <w:marLeft w:val="0"/>
              <w:marRight w:val="0"/>
              <w:marTop w:val="0"/>
              <w:marBottom w:val="0"/>
              <w:divBdr>
                <w:top w:val="none" w:sz="0" w:space="0" w:color="auto"/>
                <w:left w:val="none" w:sz="0" w:space="0" w:color="auto"/>
                <w:bottom w:val="none" w:sz="0" w:space="0" w:color="auto"/>
                <w:right w:val="none" w:sz="0" w:space="0" w:color="auto"/>
              </w:divBdr>
              <w:divsChild>
                <w:div w:id="1762604084">
                  <w:marLeft w:val="0"/>
                  <w:marRight w:val="0"/>
                  <w:marTop w:val="0"/>
                  <w:marBottom w:val="0"/>
                  <w:divBdr>
                    <w:top w:val="none" w:sz="0" w:space="0" w:color="auto"/>
                    <w:left w:val="none" w:sz="0" w:space="0" w:color="auto"/>
                    <w:bottom w:val="none" w:sz="0" w:space="0" w:color="auto"/>
                    <w:right w:val="none" w:sz="0" w:space="0" w:color="auto"/>
                  </w:divBdr>
                  <w:divsChild>
                    <w:div w:id="37440290">
                      <w:marLeft w:val="0"/>
                      <w:marRight w:val="0"/>
                      <w:marTop w:val="0"/>
                      <w:marBottom w:val="0"/>
                      <w:divBdr>
                        <w:top w:val="none" w:sz="0" w:space="0" w:color="auto"/>
                        <w:left w:val="none" w:sz="0" w:space="0" w:color="auto"/>
                        <w:bottom w:val="none" w:sz="0" w:space="0" w:color="auto"/>
                        <w:right w:val="none" w:sz="0" w:space="0" w:color="auto"/>
                      </w:divBdr>
                      <w:divsChild>
                        <w:div w:id="1453213147">
                          <w:marLeft w:val="0"/>
                          <w:marRight w:val="0"/>
                          <w:marTop w:val="0"/>
                          <w:marBottom w:val="0"/>
                          <w:divBdr>
                            <w:top w:val="none" w:sz="0" w:space="0" w:color="auto"/>
                            <w:left w:val="none" w:sz="0" w:space="0" w:color="auto"/>
                            <w:bottom w:val="none" w:sz="0" w:space="0" w:color="auto"/>
                            <w:right w:val="none" w:sz="0" w:space="0" w:color="auto"/>
                          </w:divBdr>
                          <w:divsChild>
                            <w:div w:id="965239110">
                              <w:marLeft w:val="0"/>
                              <w:marRight w:val="0"/>
                              <w:marTop w:val="0"/>
                              <w:marBottom w:val="0"/>
                              <w:divBdr>
                                <w:top w:val="none" w:sz="0" w:space="0" w:color="auto"/>
                                <w:left w:val="none" w:sz="0" w:space="0" w:color="auto"/>
                                <w:bottom w:val="none" w:sz="0" w:space="0" w:color="auto"/>
                                <w:right w:val="none" w:sz="0" w:space="0" w:color="auto"/>
                              </w:divBdr>
                              <w:divsChild>
                                <w:div w:id="104546320">
                                  <w:marLeft w:val="0"/>
                                  <w:marRight w:val="0"/>
                                  <w:marTop w:val="0"/>
                                  <w:marBottom w:val="0"/>
                                  <w:divBdr>
                                    <w:top w:val="none" w:sz="0" w:space="0" w:color="auto"/>
                                    <w:left w:val="none" w:sz="0" w:space="0" w:color="auto"/>
                                    <w:bottom w:val="none" w:sz="0" w:space="0" w:color="auto"/>
                                    <w:right w:val="none" w:sz="0" w:space="0" w:color="auto"/>
                                  </w:divBdr>
                                  <w:divsChild>
                                    <w:div w:id="1338732202">
                                      <w:marLeft w:val="0"/>
                                      <w:marRight w:val="0"/>
                                      <w:marTop w:val="0"/>
                                      <w:marBottom w:val="0"/>
                                      <w:divBdr>
                                        <w:top w:val="none" w:sz="0" w:space="0" w:color="auto"/>
                                        <w:left w:val="none" w:sz="0" w:space="0" w:color="auto"/>
                                        <w:bottom w:val="none" w:sz="0" w:space="0" w:color="auto"/>
                                        <w:right w:val="none" w:sz="0" w:space="0" w:color="auto"/>
                                      </w:divBdr>
                                      <w:divsChild>
                                        <w:div w:id="2066098224">
                                          <w:marLeft w:val="0"/>
                                          <w:marRight w:val="0"/>
                                          <w:marTop w:val="0"/>
                                          <w:marBottom w:val="0"/>
                                          <w:divBdr>
                                            <w:top w:val="none" w:sz="0" w:space="0" w:color="auto"/>
                                            <w:left w:val="none" w:sz="0" w:space="0" w:color="auto"/>
                                            <w:bottom w:val="none" w:sz="0" w:space="0" w:color="auto"/>
                                            <w:right w:val="none" w:sz="0" w:space="0" w:color="auto"/>
                                          </w:divBdr>
                                          <w:divsChild>
                                            <w:div w:id="109977265">
                                              <w:marLeft w:val="0"/>
                                              <w:marRight w:val="0"/>
                                              <w:marTop w:val="0"/>
                                              <w:marBottom w:val="0"/>
                                              <w:divBdr>
                                                <w:top w:val="none" w:sz="0" w:space="0" w:color="auto"/>
                                                <w:left w:val="none" w:sz="0" w:space="0" w:color="auto"/>
                                                <w:bottom w:val="none" w:sz="0" w:space="0" w:color="auto"/>
                                                <w:right w:val="none" w:sz="0" w:space="0" w:color="auto"/>
                                              </w:divBdr>
                                              <w:divsChild>
                                                <w:div w:id="1936280398">
                                                  <w:marLeft w:val="0"/>
                                                  <w:marRight w:val="0"/>
                                                  <w:marTop w:val="0"/>
                                                  <w:marBottom w:val="0"/>
                                                  <w:divBdr>
                                                    <w:top w:val="none" w:sz="0" w:space="0" w:color="auto"/>
                                                    <w:left w:val="none" w:sz="0" w:space="0" w:color="auto"/>
                                                    <w:bottom w:val="none" w:sz="0" w:space="0" w:color="auto"/>
                                                    <w:right w:val="none" w:sz="0" w:space="0" w:color="auto"/>
                                                  </w:divBdr>
                                                  <w:divsChild>
                                                    <w:div w:id="788544693">
                                                      <w:marLeft w:val="0"/>
                                                      <w:marRight w:val="0"/>
                                                      <w:marTop w:val="0"/>
                                                      <w:marBottom w:val="0"/>
                                                      <w:divBdr>
                                                        <w:top w:val="none" w:sz="0" w:space="0" w:color="auto"/>
                                                        <w:left w:val="none" w:sz="0" w:space="0" w:color="auto"/>
                                                        <w:bottom w:val="none" w:sz="0" w:space="0" w:color="auto"/>
                                                        <w:right w:val="none" w:sz="0" w:space="0" w:color="auto"/>
                                                      </w:divBdr>
                                                      <w:divsChild>
                                                        <w:div w:id="1868373776">
                                                          <w:marLeft w:val="0"/>
                                                          <w:marRight w:val="0"/>
                                                          <w:marTop w:val="0"/>
                                                          <w:marBottom w:val="0"/>
                                                          <w:divBdr>
                                                            <w:top w:val="none" w:sz="0" w:space="0" w:color="auto"/>
                                                            <w:left w:val="none" w:sz="0" w:space="0" w:color="auto"/>
                                                            <w:bottom w:val="none" w:sz="0" w:space="0" w:color="auto"/>
                                                            <w:right w:val="none" w:sz="0" w:space="0" w:color="auto"/>
                                                          </w:divBdr>
                                                          <w:divsChild>
                                                            <w:div w:id="1105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171079">
      <w:bodyDiv w:val="1"/>
      <w:marLeft w:val="0"/>
      <w:marRight w:val="0"/>
      <w:marTop w:val="0"/>
      <w:marBottom w:val="0"/>
      <w:divBdr>
        <w:top w:val="none" w:sz="0" w:space="0" w:color="auto"/>
        <w:left w:val="none" w:sz="0" w:space="0" w:color="auto"/>
        <w:bottom w:val="none" w:sz="0" w:space="0" w:color="auto"/>
        <w:right w:val="none" w:sz="0" w:space="0" w:color="auto"/>
      </w:divBdr>
    </w:div>
    <w:div w:id="1761372660">
      <w:bodyDiv w:val="1"/>
      <w:marLeft w:val="0"/>
      <w:marRight w:val="0"/>
      <w:marTop w:val="0"/>
      <w:marBottom w:val="0"/>
      <w:divBdr>
        <w:top w:val="none" w:sz="0" w:space="0" w:color="auto"/>
        <w:left w:val="none" w:sz="0" w:space="0" w:color="auto"/>
        <w:bottom w:val="none" w:sz="0" w:space="0" w:color="auto"/>
        <w:right w:val="none" w:sz="0" w:space="0" w:color="auto"/>
      </w:divBdr>
    </w:div>
    <w:div w:id="1776443885">
      <w:bodyDiv w:val="1"/>
      <w:marLeft w:val="0"/>
      <w:marRight w:val="0"/>
      <w:marTop w:val="0"/>
      <w:marBottom w:val="0"/>
      <w:divBdr>
        <w:top w:val="none" w:sz="0" w:space="0" w:color="auto"/>
        <w:left w:val="none" w:sz="0" w:space="0" w:color="auto"/>
        <w:bottom w:val="none" w:sz="0" w:space="0" w:color="auto"/>
        <w:right w:val="none" w:sz="0" w:space="0" w:color="auto"/>
      </w:divBdr>
    </w:div>
    <w:div w:id="1832326192">
      <w:bodyDiv w:val="1"/>
      <w:marLeft w:val="0"/>
      <w:marRight w:val="0"/>
      <w:marTop w:val="0"/>
      <w:marBottom w:val="0"/>
      <w:divBdr>
        <w:top w:val="none" w:sz="0" w:space="0" w:color="auto"/>
        <w:left w:val="none" w:sz="0" w:space="0" w:color="auto"/>
        <w:bottom w:val="none" w:sz="0" w:space="0" w:color="auto"/>
        <w:right w:val="none" w:sz="0" w:space="0" w:color="auto"/>
      </w:divBdr>
    </w:div>
    <w:div w:id="1845439202">
      <w:bodyDiv w:val="1"/>
      <w:marLeft w:val="0"/>
      <w:marRight w:val="0"/>
      <w:marTop w:val="0"/>
      <w:marBottom w:val="0"/>
      <w:divBdr>
        <w:top w:val="none" w:sz="0" w:space="0" w:color="auto"/>
        <w:left w:val="none" w:sz="0" w:space="0" w:color="auto"/>
        <w:bottom w:val="none" w:sz="0" w:space="0" w:color="auto"/>
        <w:right w:val="none" w:sz="0" w:space="0" w:color="auto"/>
      </w:divBdr>
    </w:div>
    <w:div w:id="1851724261">
      <w:bodyDiv w:val="1"/>
      <w:marLeft w:val="0"/>
      <w:marRight w:val="0"/>
      <w:marTop w:val="0"/>
      <w:marBottom w:val="0"/>
      <w:divBdr>
        <w:top w:val="none" w:sz="0" w:space="0" w:color="auto"/>
        <w:left w:val="none" w:sz="0" w:space="0" w:color="auto"/>
        <w:bottom w:val="none" w:sz="0" w:space="0" w:color="auto"/>
        <w:right w:val="none" w:sz="0" w:space="0" w:color="auto"/>
      </w:divBdr>
    </w:div>
    <w:div w:id="1876194507">
      <w:bodyDiv w:val="1"/>
      <w:marLeft w:val="0"/>
      <w:marRight w:val="0"/>
      <w:marTop w:val="0"/>
      <w:marBottom w:val="0"/>
      <w:divBdr>
        <w:top w:val="none" w:sz="0" w:space="0" w:color="auto"/>
        <w:left w:val="none" w:sz="0" w:space="0" w:color="auto"/>
        <w:bottom w:val="none" w:sz="0" w:space="0" w:color="auto"/>
        <w:right w:val="none" w:sz="0" w:space="0" w:color="auto"/>
      </w:divBdr>
    </w:div>
    <w:div w:id="1887176927">
      <w:bodyDiv w:val="1"/>
      <w:marLeft w:val="0"/>
      <w:marRight w:val="0"/>
      <w:marTop w:val="0"/>
      <w:marBottom w:val="0"/>
      <w:divBdr>
        <w:top w:val="none" w:sz="0" w:space="0" w:color="auto"/>
        <w:left w:val="none" w:sz="0" w:space="0" w:color="auto"/>
        <w:bottom w:val="none" w:sz="0" w:space="0" w:color="auto"/>
        <w:right w:val="none" w:sz="0" w:space="0" w:color="auto"/>
      </w:divBdr>
    </w:div>
    <w:div w:id="1911574038">
      <w:bodyDiv w:val="1"/>
      <w:marLeft w:val="0"/>
      <w:marRight w:val="0"/>
      <w:marTop w:val="0"/>
      <w:marBottom w:val="0"/>
      <w:divBdr>
        <w:top w:val="none" w:sz="0" w:space="0" w:color="auto"/>
        <w:left w:val="none" w:sz="0" w:space="0" w:color="auto"/>
        <w:bottom w:val="none" w:sz="0" w:space="0" w:color="auto"/>
        <w:right w:val="none" w:sz="0" w:space="0" w:color="auto"/>
      </w:divBdr>
    </w:div>
    <w:div w:id="1939213735">
      <w:bodyDiv w:val="1"/>
      <w:marLeft w:val="0"/>
      <w:marRight w:val="0"/>
      <w:marTop w:val="0"/>
      <w:marBottom w:val="0"/>
      <w:divBdr>
        <w:top w:val="none" w:sz="0" w:space="0" w:color="auto"/>
        <w:left w:val="none" w:sz="0" w:space="0" w:color="auto"/>
        <w:bottom w:val="none" w:sz="0" w:space="0" w:color="auto"/>
        <w:right w:val="none" w:sz="0" w:space="0" w:color="auto"/>
      </w:divBdr>
    </w:div>
    <w:div w:id="1946379006">
      <w:bodyDiv w:val="1"/>
      <w:marLeft w:val="0"/>
      <w:marRight w:val="0"/>
      <w:marTop w:val="0"/>
      <w:marBottom w:val="0"/>
      <w:divBdr>
        <w:top w:val="none" w:sz="0" w:space="0" w:color="auto"/>
        <w:left w:val="none" w:sz="0" w:space="0" w:color="auto"/>
        <w:bottom w:val="none" w:sz="0" w:space="0" w:color="auto"/>
        <w:right w:val="none" w:sz="0" w:space="0" w:color="auto"/>
      </w:divBdr>
    </w:div>
    <w:div w:id="1959490306">
      <w:bodyDiv w:val="1"/>
      <w:marLeft w:val="0"/>
      <w:marRight w:val="0"/>
      <w:marTop w:val="0"/>
      <w:marBottom w:val="0"/>
      <w:divBdr>
        <w:top w:val="none" w:sz="0" w:space="0" w:color="auto"/>
        <w:left w:val="none" w:sz="0" w:space="0" w:color="auto"/>
        <w:bottom w:val="none" w:sz="0" w:space="0" w:color="auto"/>
        <w:right w:val="none" w:sz="0" w:space="0" w:color="auto"/>
      </w:divBdr>
    </w:div>
    <w:div w:id="2050913540">
      <w:bodyDiv w:val="1"/>
      <w:marLeft w:val="0"/>
      <w:marRight w:val="0"/>
      <w:marTop w:val="0"/>
      <w:marBottom w:val="0"/>
      <w:divBdr>
        <w:top w:val="none" w:sz="0" w:space="0" w:color="auto"/>
        <w:left w:val="none" w:sz="0" w:space="0" w:color="auto"/>
        <w:bottom w:val="none" w:sz="0" w:space="0" w:color="auto"/>
        <w:right w:val="none" w:sz="0" w:space="0" w:color="auto"/>
      </w:divBdr>
    </w:div>
    <w:div w:id="2113549401">
      <w:bodyDiv w:val="1"/>
      <w:marLeft w:val="0"/>
      <w:marRight w:val="0"/>
      <w:marTop w:val="0"/>
      <w:marBottom w:val="0"/>
      <w:divBdr>
        <w:top w:val="none" w:sz="0" w:space="0" w:color="auto"/>
        <w:left w:val="none" w:sz="0" w:space="0" w:color="auto"/>
        <w:bottom w:val="none" w:sz="0" w:space="0" w:color="auto"/>
        <w:right w:val="none" w:sz="0" w:space="0" w:color="auto"/>
      </w:divBdr>
    </w:div>
    <w:div w:id="21410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xml"/><Relationship Id="rId39" Type="http://schemas.openxmlformats.org/officeDocument/2006/relationships/hyperlink" Target="http://ec.europa.eu/social/BlobServlet?docId=14371&amp;langId" TargetMode="Externa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yperlink" Target="http://ec.europa.eu/regional_policy/sources/policy/how/studies_integration/new_provision_progr_esif_report_en.pdf" TargetMode="External"/><Relationship Id="rId47" Type="http://schemas.openxmlformats.org/officeDocument/2006/relationships/hyperlink" Target="http://ec.europa.eu/regional_policy/en/information/publications/studies/2017/use-of-new-provisions-on-simplification-during-the-early-implementation-phase-of-esif" TargetMode="External"/><Relationship Id="rId50" Type="http://schemas.openxmlformats.org/officeDocument/2006/relationships/footer" Target="footer10.xml"/><Relationship Id="rId55" Type="http://schemas.openxmlformats.org/officeDocument/2006/relationships/header" Target="header13.xml"/><Relationship Id="rId63" Type="http://schemas.openxmlformats.org/officeDocument/2006/relationships/footer" Target="footer16.xml"/><Relationship Id="rId68" Type="http://schemas.openxmlformats.org/officeDocument/2006/relationships/header" Target="header20.xml"/><Relationship Id="rId76" Type="http://schemas.openxmlformats.org/officeDocument/2006/relationships/footer" Target="footer23.xml"/><Relationship Id="rId84" Type="http://schemas.openxmlformats.org/officeDocument/2006/relationships/footer" Target="footer27.xml"/><Relationship Id="rId7" Type="http://schemas.microsoft.com/office/2007/relationships/stylesWithEffects" Target="stylesWithEffect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yperlink" Target="http://ec.europa.eu/social/main.jsp?catId=738&amp;langId=en&amp;pubId=7931" TargetMode="External"/><Relationship Id="rId40" Type="http://schemas.openxmlformats.org/officeDocument/2006/relationships/hyperlink" Target="http://ec.europa.eu/regional_policy/sources/docoffic/official/reports/cohesion7/7cr.pdf" TargetMode="External"/><Relationship Id="rId45" Type="http://schemas.openxmlformats.org/officeDocument/2006/relationships/hyperlink" Target="http://ec.europa.eu/regional_policy/sources/policy/how/studies_integration/impl_partner_report_en.pdf" TargetMode="External"/><Relationship Id="rId53" Type="http://schemas.openxmlformats.org/officeDocument/2006/relationships/footer" Target="footer12.xml"/><Relationship Id="rId58" Type="http://schemas.openxmlformats.org/officeDocument/2006/relationships/footer" Target="footer14.xml"/><Relationship Id="rId66" Type="http://schemas.openxmlformats.org/officeDocument/2006/relationships/footer" Target="footer18.xml"/><Relationship Id="rId74" Type="http://schemas.openxmlformats.org/officeDocument/2006/relationships/header" Target="header23.xml"/><Relationship Id="rId79" Type="http://schemas.openxmlformats.org/officeDocument/2006/relationships/header" Target="header25.xml"/><Relationship Id="rId5" Type="http://schemas.openxmlformats.org/officeDocument/2006/relationships/numbering" Target="numbering.xml"/><Relationship Id="rId61" Type="http://schemas.openxmlformats.org/officeDocument/2006/relationships/header" Target="header16.xml"/><Relationship Id="rId82" Type="http://schemas.openxmlformats.org/officeDocument/2006/relationships/footer" Target="footer26.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c.europa.eu/commission/publications/reflection-paper-harnessing-globalisation_en" TargetMode="External"/><Relationship Id="rId30" Type="http://schemas.openxmlformats.org/officeDocument/2006/relationships/header" Target="header8.xml"/><Relationship Id="rId35" Type="http://schemas.openxmlformats.org/officeDocument/2006/relationships/hyperlink" Target="http://ec.europa.eu/social/keyDocuments.jsp?advSearchKey=samplecountries&amp;mode=advancedSubmit&amp;langId=en&amp;search.x=7&amp;search.y=3" TargetMode="External"/><Relationship Id="rId43" Type="http://schemas.openxmlformats.org/officeDocument/2006/relationships/hyperlink" Target="http://ec.europa.eu/regional_policy/sources/policy/how/studies_integration/impl_exante_esif_report_en.pdf" TargetMode="External"/><Relationship Id="rId48" Type="http://schemas.openxmlformats.org/officeDocument/2006/relationships/header" Target="header10.xml"/><Relationship Id="rId56" Type="http://schemas.openxmlformats.org/officeDocument/2006/relationships/header" Target="header14.xml"/><Relationship Id="rId64" Type="http://schemas.openxmlformats.org/officeDocument/2006/relationships/footer" Target="footer17.xml"/><Relationship Id="rId69" Type="http://schemas.openxmlformats.org/officeDocument/2006/relationships/footer" Target="footer19.xml"/><Relationship Id="rId77" Type="http://schemas.openxmlformats.org/officeDocument/2006/relationships/header" Target="header24.xml"/><Relationship Id="rId8" Type="http://schemas.openxmlformats.org/officeDocument/2006/relationships/settings" Target="settings.xml"/><Relationship Id="rId51" Type="http://schemas.openxmlformats.org/officeDocument/2006/relationships/footer" Target="footer11.xml"/><Relationship Id="rId72" Type="http://schemas.openxmlformats.org/officeDocument/2006/relationships/footer" Target="footer21.xml"/><Relationship Id="rId80" Type="http://schemas.openxmlformats.org/officeDocument/2006/relationships/header" Target="header26.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JPG"/><Relationship Id="rId33" Type="http://schemas.openxmlformats.org/officeDocument/2006/relationships/header" Target="header9.xml"/><Relationship Id="rId38" Type="http://schemas.openxmlformats.org/officeDocument/2006/relationships/hyperlink" Target="http://ec.europa.eu/social/BlobServlet?docId=16970&amp;langId=en" TargetMode="External"/><Relationship Id="rId46" Type="http://schemas.openxmlformats.org/officeDocument/2006/relationships/hyperlink" Target="http://ec.europa.eu/regional_policy/sources/policy/how/studies_integration/setting_db_report_en.pdf" TargetMode="External"/><Relationship Id="rId59" Type="http://schemas.openxmlformats.org/officeDocument/2006/relationships/header" Target="header15.xml"/><Relationship Id="rId67"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yperlink" Target="http://ec.europa.eu/social/BlobServlet?docId=16810&amp;langId=en" TargetMode="External"/><Relationship Id="rId54" Type="http://schemas.openxmlformats.org/officeDocument/2006/relationships/hyperlink" Target="http://www.europarl.europa.eu/RegData/etudes/IDAN/2016/558763/EPRS_IDA%282016%29558763_EN.pdf" TargetMode="External"/><Relationship Id="rId62" Type="http://schemas.openxmlformats.org/officeDocument/2006/relationships/header" Target="header17.xml"/><Relationship Id="rId70" Type="http://schemas.openxmlformats.org/officeDocument/2006/relationships/footer" Target="footer20.xml"/><Relationship Id="rId75" Type="http://schemas.openxmlformats.org/officeDocument/2006/relationships/footer" Target="footer22.xml"/><Relationship Id="rId83"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3.png"/><Relationship Id="rId36" Type="http://schemas.openxmlformats.org/officeDocument/2006/relationships/hyperlink" Target="http://ec.europa.eu/social/BlobServlet?docId=16363&amp;langId=en" TargetMode="External"/><Relationship Id="rId49" Type="http://schemas.openxmlformats.org/officeDocument/2006/relationships/header" Target="header11.xml"/><Relationship Id="rId57" Type="http://schemas.openxmlformats.org/officeDocument/2006/relationships/footer" Target="footer13.xml"/><Relationship Id="rId10"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hyperlink" Target="http://ec.europa.eu/regional_policy/sources/policy/how/studies_integration/impl_pf_esif_report_en.pdf" TargetMode="External"/><Relationship Id="rId52" Type="http://schemas.openxmlformats.org/officeDocument/2006/relationships/header" Target="header12.xml"/><Relationship Id="rId60" Type="http://schemas.openxmlformats.org/officeDocument/2006/relationships/footer" Target="foot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footer" Target="footer24.xml"/><Relationship Id="rId81" Type="http://schemas.openxmlformats.org/officeDocument/2006/relationships/footer" Target="footer25.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main.jsp?catId=738&amp;langId=en&amp;pubId=7931" TargetMode="External"/><Relationship Id="rId13" Type="http://schemas.openxmlformats.org/officeDocument/2006/relationships/hyperlink" Target="http://www.eif.org/what_we_do/microfinance/easi/easi-guarantee-instrument/index.htm" TargetMode="External"/><Relationship Id="rId18" Type="http://schemas.openxmlformats.org/officeDocument/2006/relationships/hyperlink" Target="http://ec.europa.eu/eurostat/web/products-eurostat-news/-/DDN-20180226-1" TargetMode="External"/><Relationship Id="rId26" Type="http://schemas.openxmlformats.org/officeDocument/2006/relationships/hyperlink" Target="https://www.eca.europa.eu/en/Pages/DocItem.aspx?did=41732" TargetMode="External"/><Relationship Id="rId39" Type="http://schemas.openxmlformats.org/officeDocument/2006/relationships/hyperlink" Target="https://ec.europa.eu/health/funding/consultations/midterm_evaluation_en" TargetMode="External"/><Relationship Id="rId3" Type="http://schemas.openxmlformats.org/officeDocument/2006/relationships/hyperlink" Target="http://www.un.org/sustainabledevelopment/sustainable-development-goals/" TargetMode="External"/><Relationship Id="rId21" Type="http://schemas.openxmlformats.org/officeDocument/2006/relationships/hyperlink" Target="https://www.eca.europa.eu/en/Pages/DocItem.aspx?did=41096" TargetMode="External"/><Relationship Id="rId34" Type="http://schemas.openxmlformats.org/officeDocument/2006/relationships/hyperlink" Target="https://ec.europa.eu/health/funding/programme/2014-2020/midterm_evaluation_en" TargetMode="External"/><Relationship Id="rId7" Type="http://schemas.openxmlformats.org/officeDocument/2006/relationships/hyperlink" Target="https://publications.europa.eu/s/fo2y" TargetMode="External"/><Relationship Id="rId12" Type="http://schemas.openxmlformats.org/officeDocument/2006/relationships/hyperlink" Target="https://www.eurofound.europa.eu/observatories/european-monitoring-centre-on-change-emcc/european-restructuring-monitor" TargetMode="External"/><Relationship Id="rId17" Type="http://schemas.openxmlformats.org/officeDocument/2006/relationships/hyperlink" Target="http://ec.europa.eu/eurostat/product?code=env_ac_egss1&amp;language=en&amp;mode=view" TargetMode="External"/><Relationship Id="rId25" Type="http://schemas.openxmlformats.org/officeDocument/2006/relationships/hyperlink" Target="http://ec.europa.eu/regional_policy/en/policy/how/improving-investment/high-level-group-simplification/" TargetMode="External"/><Relationship Id="rId33" Type="http://schemas.openxmlformats.org/officeDocument/2006/relationships/hyperlink" Target="https://publications.europa.eu/s/fo2y" TargetMode="External"/><Relationship Id="rId38" Type="http://schemas.openxmlformats.org/officeDocument/2006/relationships/hyperlink" Target="https://ec.europa.eu/health/state/summary_en" TargetMode="External"/><Relationship Id="rId2" Type="http://schemas.openxmlformats.org/officeDocument/2006/relationships/hyperlink" Target="https://ec.europa.eu/commission/priorities/deeper-and-fairer-economic-and-monetary-union/european-pillar-social-rights_en" TargetMode="External"/><Relationship Id="rId16" Type="http://schemas.openxmlformats.org/officeDocument/2006/relationships/hyperlink" Target="https://ec.europa.eu/commission/publications/reflection-paper-social-dimension-europe_en" TargetMode="External"/><Relationship Id="rId20" Type="http://schemas.openxmlformats.org/officeDocument/2006/relationships/hyperlink" Target="http://ec.europa.eu/regional_policy/en/policy/how/improving-investment/high-level-group-simplification/" TargetMode="External"/><Relationship Id="rId29" Type="http://schemas.openxmlformats.org/officeDocument/2006/relationships/hyperlink" Target="http://ec.europa.eu/regional_policy/sources/newsroom/pdf/simplification_proposals.pdf" TargetMode="External"/><Relationship Id="rId1" Type="http://schemas.openxmlformats.org/officeDocument/2006/relationships/hyperlink" Target="https://ec.europa.eu/commission/priorities/democratic-change/future-europe/eu-budget-future_en" TargetMode="External"/><Relationship Id="rId6" Type="http://schemas.openxmlformats.org/officeDocument/2006/relationships/hyperlink" Target="http://ec.europa.eu/social/BlobServlet?docId=16861&amp;langId=en" TargetMode="External"/><Relationship Id="rId11" Type="http://schemas.openxmlformats.org/officeDocument/2006/relationships/hyperlink" Target="https://cohesiondata.ec.europa.eu/" TargetMode="External"/><Relationship Id="rId24" Type="http://schemas.openxmlformats.org/officeDocument/2006/relationships/hyperlink" Target="http://ec.europa.eu/regional_policy/sources/policy/how/studies_integration/impl_exante_esif_report_en.pdf" TargetMode="External"/><Relationship Id="rId32" Type="http://schemas.openxmlformats.org/officeDocument/2006/relationships/hyperlink" Target="https://www.eca.europa.eu/en/Pages/DocItem.aspx?did=41096" TargetMode="External"/><Relationship Id="rId37" Type="http://schemas.openxmlformats.org/officeDocument/2006/relationships/hyperlink" Target="https://ec.europa.eu/health/sites/health/files/technology_assessment/docs/com2018_51final_en.pdf" TargetMode="External"/><Relationship Id="rId5" Type="http://schemas.openxmlformats.org/officeDocument/2006/relationships/hyperlink" Target="http://eur-lex.europa.eu/legal-content/EN/TXT/?uri=uriserv%3AOJ.C_.2017.173.01.0015.01.ENG&amp;toc=OJ%3AC%3A2017%3A173%3ATOC" TargetMode="External"/><Relationship Id="rId15" Type="http://schemas.openxmlformats.org/officeDocument/2006/relationships/hyperlink" Target="https://ec.europa.eu/commission/publications/reflection-paper-harnessing-globalisation_en" TargetMode="External"/><Relationship Id="rId23" Type="http://schemas.openxmlformats.org/officeDocument/2006/relationships/hyperlink" Target="http://www.un.org/sustainabledevelopment/sustainable-development-goals/" TargetMode="External"/><Relationship Id="rId28" Type="http://schemas.openxmlformats.org/officeDocument/2006/relationships/hyperlink" Target="http://ec.europa.eu/social/BlobServlet?docId=16861&amp;langId=en" TargetMode="External"/><Relationship Id="rId36" Type="http://schemas.openxmlformats.org/officeDocument/2006/relationships/hyperlink" Target="https://ec.europa.eu/health/funding/programme/2014-2020/midterm_evaluation_en" TargetMode="External"/><Relationship Id="rId10" Type="http://schemas.openxmlformats.org/officeDocument/2006/relationships/hyperlink" Target="http://ec.europa.eu/social/BlobServlet?docId=18493&amp;langId=en" TargetMode="External"/><Relationship Id="rId19" Type="http://schemas.openxmlformats.org/officeDocument/2006/relationships/hyperlink" Target="http://ec.europa.eu/regional_policy/en/information/publications/studies/2017/the-value-added-of-ex-ante-conditionalities-in-the-european-structural-and-investment-funds-esi-funds" TargetMode="External"/><Relationship Id="rId31" Type="http://schemas.openxmlformats.org/officeDocument/2006/relationships/hyperlink" Target="http://www.europarl.europa.eu/sides/getDoc.do?pubRef=-//EP//TEXT+REPORT+A8-2017-0406+0+DOC+XML+V0//EN" TargetMode="External"/><Relationship Id="rId4" Type="http://schemas.openxmlformats.org/officeDocument/2006/relationships/hyperlink" Target="http://www.europarl.europa.eu/sides/getDoc.do?type=TA&amp;reference=P8-TA-2017-0254&amp;language=EN" TargetMode="External"/><Relationship Id="rId9" Type="http://schemas.openxmlformats.org/officeDocument/2006/relationships/hyperlink" Target="http://ec.europa.eu/social/BlobServlet?docId=16810&amp;langId=en" TargetMode="External"/><Relationship Id="rId14" Type="http://schemas.openxmlformats.org/officeDocument/2006/relationships/hyperlink" Target="https://ec.europa.eu/commission/sites/beta-political/files/white_paper_on_the_future_of_europe_en.pdf" TargetMode="External"/><Relationship Id="rId22" Type="http://schemas.openxmlformats.org/officeDocument/2006/relationships/hyperlink" Target="https://ec.europa.eu/commission/priorities/deeper-and-fairer-economic-and-monetary-union/european-pillar-social-rights_en" TargetMode="External"/><Relationship Id="rId27" Type="http://schemas.openxmlformats.org/officeDocument/2006/relationships/hyperlink" Target="https://ec.europa.eu/futurium/en/system/files/ged/hlg_15_0012_00_conclusions_and_recommendations_on_simplified_costs_options_final_1.pdf" TargetMode="External"/><Relationship Id="rId30" Type="http://schemas.openxmlformats.org/officeDocument/2006/relationships/hyperlink" Target="http://ec.europa.eu/esf/BlobServlet?docId=457&amp;langId=en" TargetMode="External"/><Relationship Id="rId35" Type="http://schemas.openxmlformats.org/officeDocument/2006/relationships/hyperlink" Target="https://ec.europa.eu/health/sites/health/files/technology_assessment/docs/com2018_51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jrc-services\SVQ-Users\sakkast\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GB" sz="1050"/>
              <a:t>Figure  :  Impact on GDP per </a:t>
            </a:r>
            <a:r>
              <a:rPr lang="en-GB" sz="1050" baseline="0"/>
              <a:t> Thematic Objective (TO)</a:t>
            </a:r>
          </a:p>
          <a:p>
            <a:pPr>
              <a:defRPr/>
            </a:pPr>
            <a:r>
              <a:rPr lang="en-GB" sz="1050"/>
              <a:t> (% deviation from baseline year)</a:t>
            </a:r>
          </a:p>
        </c:rich>
      </c:tx>
      <c:layout/>
      <c:overlay val="1"/>
    </c:title>
    <c:autoTitleDeleted val="0"/>
    <c:plotArea>
      <c:layout>
        <c:manualLayout>
          <c:layoutTarget val="inner"/>
          <c:xMode val="edge"/>
          <c:yMode val="edge"/>
          <c:x val="6.5227963292909558E-2"/>
          <c:y val="0.13161492119184584"/>
          <c:w val="0.86633618518836986"/>
          <c:h val="0.61950199230277558"/>
        </c:manualLayout>
      </c:layout>
      <c:barChart>
        <c:barDir val="col"/>
        <c:grouping val="stacked"/>
        <c:varyColors val="0"/>
        <c:ser>
          <c:idx val="0"/>
          <c:order val="0"/>
          <c:tx>
            <c:v>TO10</c:v>
          </c:tx>
          <c:spPr>
            <a:pattFill prst="wdDnDiag">
              <a:fgClr>
                <a:schemeClr val="tx1">
                  <a:lumMod val="50000"/>
                  <a:lumOff val="50000"/>
                </a:schemeClr>
              </a:fgClr>
              <a:bgClr>
                <a:schemeClr val="bg1"/>
              </a:bgClr>
            </a:pattFill>
            <a:ln>
              <a:solidFill>
                <a:schemeClr val="tx1"/>
              </a:solidFill>
            </a:ln>
          </c:spPr>
          <c:invertIfNegative val="0"/>
          <c:val>
            <c:numRef>
              <c:f>Sheet1!$X$4:$X$20</c:f>
              <c:numCache>
                <c:formatCode>General</c:formatCode>
                <c:ptCount val="17"/>
                <c:pt idx="0">
                  <c:v>5.44E-4</c:v>
                </c:pt>
                <c:pt idx="1">
                  <c:v>1.738E-3</c:v>
                </c:pt>
                <c:pt idx="2">
                  <c:v>3.7439999999999999E-3</c:v>
                </c:pt>
                <c:pt idx="3">
                  <c:v>6.4029999999999998E-3</c:v>
                </c:pt>
                <c:pt idx="4">
                  <c:v>9.6889999999999997E-3</c:v>
                </c:pt>
                <c:pt idx="5">
                  <c:v>1.3599999999999999E-2</c:v>
                </c:pt>
                <c:pt idx="6">
                  <c:v>1.8069999999999999E-2</c:v>
                </c:pt>
                <c:pt idx="7">
                  <c:v>2.2630999999999998E-2</c:v>
                </c:pt>
                <c:pt idx="8">
                  <c:v>2.6868E-2</c:v>
                </c:pt>
                <c:pt idx="9">
                  <c:v>3.0342999999999998E-2</c:v>
                </c:pt>
                <c:pt idx="10">
                  <c:v>3.3499000000000001E-2</c:v>
                </c:pt>
                <c:pt idx="11">
                  <c:v>3.6136000000000001E-2</c:v>
                </c:pt>
                <c:pt idx="12">
                  <c:v>3.8443999999999999E-2</c:v>
                </c:pt>
                <c:pt idx="13">
                  <c:v>4.0460000000000003E-2</c:v>
                </c:pt>
                <c:pt idx="14">
                  <c:v>4.2221000000000002E-2</c:v>
                </c:pt>
                <c:pt idx="15">
                  <c:v>4.3762000000000002E-2</c:v>
                </c:pt>
                <c:pt idx="16">
                  <c:v>4.5110999999999998E-2</c:v>
                </c:pt>
              </c:numCache>
            </c:numRef>
          </c:val>
          <c:extLst xmlns:c16r2="http://schemas.microsoft.com/office/drawing/2015/06/chart">
            <c:ext xmlns:c16="http://schemas.microsoft.com/office/drawing/2014/chart" uri="{C3380CC4-5D6E-409C-BE32-E72D297353CC}">
              <c16:uniqueId val="{00000000-9840-4754-91A4-367BE7FAFCAB}"/>
            </c:ext>
          </c:extLst>
        </c:ser>
        <c:ser>
          <c:idx val="3"/>
          <c:order val="1"/>
          <c:tx>
            <c:v>TO9</c:v>
          </c:tx>
          <c:spPr>
            <a:pattFill prst="narVert">
              <a:fgClr>
                <a:schemeClr val="tx1">
                  <a:lumMod val="50000"/>
                  <a:lumOff val="50000"/>
                </a:schemeClr>
              </a:fgClr>
              <a:bgClr>
                <a:schemeClr val="bg1"/>
              </a:bgClr>
            </a:pattFill>
            <a:ln>
              <a:solidFill>
                <a:schemeClr val="tx1"/>
              </a:solidFill>
            </a:ln>
          </c:spPr>
          <c:invertIfNegative val="0"/>
          <c:val>
            <c:numRef>
              <c:f>Sheet1!$L$4:$L$20</c:f>
              <c:numCache>
                <c:formatCode>General</c:formatCode>
                <c:ptCount val="17"/>
                <c:pt idx="0">
                  <c:v>0</c:v>
                </c:pt>
                <c:pt idx="1">
                  <c:v>7.1000000000000002E-4</c:v>
                </c:pt>
                <c:pt idx="2">
                  <c:v>1.761E-3</c:v>
                </c:pt>
                <c:pt idx="3">
                  <c:v>3.3639999999999998E-3</c:v>
                </c:pt>
                <c:pt idx="4">
                  <c:v>5.2339999999999999E-3</c:v>
                </c:pt>
                <c:pt idx="5">
                  <c:v>7.4689999999999999E-3</c:v>
                </c:pt>
                <c:pt idx="6">
                  <c:v>1.0024999999999999E-2</c:v>
                </c:pt>
                <c:pt idx="7">
                  <c:v>1.2789999999999999E-2</c:v>
                </c:pt>
                <c:pt idx="8">
                  <c:v>1.5223E-2</c:v>
                </c:pt>
                <c:pt idx="9">
                  <c:v>1.7212999999999999E-2</c:v>
                </c:pt>
                <c:pt idx="10">
                  <c:v>1.8658000000000001E-2</c:v>
                </c:pt>
                <c:pt idx="11">
                  <c:v>2.0454E-2</c:v>
                </c:pt>
                <c:pt idx="12">
                  <c:v>2.1992000000000001E-2</c:v>
                </c:pt>
                <c:pt idx="13">
                  <c:v>2.3359000000000001E-2</c:v>
                </c:pt>
                <c:pt idx="14">
                  <c:v>2.4563000000000001E-2</c:v>
                </c:pt>
                <c:pt idx="15">
                  <c:v>2.5618999999999999E-2</c:v>
                </c:pt>
                <c:pt idx="16">
                  <c:v>2.6543000000000001E-2</c:v>
                </c:pt>
              </c:numCache>
            </c:numRef>
          </c:val>
          <c:extLst xmlns:c16r2="http://schemas.microsoft.com/office/drawing/2015/06/chart">
            <c:ext xmlns:c16="http://schemas.microsoft.com/office/drawing/2014/chart" uri="{C3380CC4-5D6E-409C-BE32-E72D297353CC}">
              <c16:uniqueId val="{00000001-9840-4754-91A4-367BE7FAFCAB}"/>
            </c:ext>
          </c:extLst>
        </c:ser>
        <c:ser>
          <c:idx val="2"/>
          <c:order val="2"/>
          <c:tx>
            <c:v>TO8</c:v>
          </c:tx>
          <c:spPr>
            <a:ln>
              <a:solidFill>
                <a:schemeClr val="tx1"/>
              </a:solidFill>
            </a:ln>
          </c:spPr>
          <c:invertIfNegative val="0"/>
          <c:val>
            <c:numRef>
              <c:f>Sheet1!$R$4:$R$20</c:f>
              <c:numCache>
                <c:formatCode>General</c:formatCode>
                <c:ptCount val="17"/>
                <c:pt idx="0">
                  <c:v>2.343E-3</c:v>
                </c:pt>
                <c:pt idx="1">
                  <c:v>5.2009999999999999E-3</c:v>
                </c:pt>
                <c:pt idx="2">
                  <c:v>9.247E-3</c:v>
                </c:pt>
                <c:pt idx="3">
                  <c:v>1.3462999999999999E-2</c:v>
                </c:pt>
                <c:pt idx="4">
                  <c:v>1.8648000000000001E-2</c:v>
                </c:pt>
                <c:pt idx="5">
                  <c:v>2.4590000000000001E-2</c:v>
                </c:pt>
                <c:pt idx="6">
                  <c:v>3.1102999999999999E-2</c:v>
                </c:pt>
                <c:pt idx="7">
                  <c:v>3.6542999999999999E-2</c:v>
                </c:pt>
                <c:pt idx="8">
                  <c:v>4.0858999999999999E-2</c:v>
                </c:pt>
                <c:pt idx="9">
                  <c:v>4.3727000000000002E-2</c:v>
                </c:pt>
                <c:pt idx="10">
                  <c:v>4.8131E-2</c:v>
                </c:pt>
                <c:pt idx="11">
                  <c:v>5.1991999999999997E-2</c:v>
                </c:pt>
                <c:pt idx="12">
                  <c:v>5.5475999999999998E-2</c:v>
                </c:pt>
                <c:pt idx="13">
                  <c:v>5.8578999999999999E-2</c:v>
                </c:pt>
                <c:pt idx="14">
                  <c:v>6.1325999999999999E-2</c:v>
                </c:pt>
                <c:pt idx="15">
                  <c:v>6.3750000000000001E-2</c:v>
                </c:pt>
                <c:pt idx="16">
                  <c:v>6.5889000000000003E-2</c:v>
                </c:pt>
              </c:numCache>
            </c:numRef>
          </c:val>
          <c:extLst xmlns:c16r2="http://schemas.microsoft.com/office/drawing/2015/06/chart">
            <c:ext xmlns:c16="http://schemas.microsoft.com/office/drawing/2014/chart" uri="{C3380CC4-5D6E-409C-BE32-E72D297353CC}">
              <c16:uniqueId val="{00000002-9840-4754-91A4-367BE7FAFCAB}"/>
            </c:ext>
          </c:extLst>
        </c:ser>
        <c:dLbls>
          <c:showLegendKey val="0"/>
          <c:showVal val="0"/>
          <c:showCatName val="0"/>
          <c:showSerName val="0"/>
          <c:showPercent val="0"/>
          <c:showBubbleSize val="0"/>
        </c:dLbls>
        <c:gapWidth val="0"/>
        <c:overlap val="100"/>
        <c:axId val="65669376"/>
        <c:axId val="65671168"/>
      </c:barChart>
      <c:lineChart>
        <c:grouping val="standard"/>
        <c:varyColors val="0"/>
        <c:ser>
          <c:idx val="1"/>
          <c:order val="3"/>
          <c:tx>
            <c:v>TOTAL</c:v>
          </c:tx>
          <c:spPr>
            <a:ln w="41275">
              <a:solidFill>
                <a:schemeClr val="tx1"/>
              </a:solidFill>
              <a:prstDash val="dash"/>
            </a:ln>
          </c:spPr>
          <c:marker>
            <c:symbol val="none"/>
          </c:marker>
          <c:cat>
            <c:numRef>
              <c:f>Sheet1!$E$4:$E$20</c:f>
              <c:numCache>
                <c:formatCode>General</c:formatCode>
                <c:ptCount val="17"/>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numCache>
            </c:numRef>
          </c:cat>
          <c:val>
            <c:numRef>
              <c:f>Sheet1!$F$4:$F$20</c:f>
              <c:numCache>
                <c:formatCode>General</c:formatCode>
                <c:ptCount val="17"/>
                <c:pt idx="0">
                  <c:v>3.052E-3</c:v>
                </c:pt>
                <c:pt idx="1">
                  <c:v>7.7860000000000004E-3</c:v>
                </c:pt>
                <c:pt idx="2">
                  <c:v>1.5075E-2</c:v>
                </c:pt>
                <c:pt idx="3">
                  <c:v>2.3725E-2</c:v>
                </c:pt>
                <c:pt idx="4">
                  <c:v>3.4384999999999999E-2</c:v>
                </c:pt>
                <c:pt idx="5">
                  <c:v>4.6977999999999999E-2</c:v>
                </c:pt>
                <c:pt idx="6">
                  <c:v>6.1207999999999999E-2</c:v>
                </c:pt>
                <c:pt idx="7">
                  <c:v>7.4732999999999994E-2</c:v>
                </c:pt>
                <c:pt idx="8">
                  <c:v>8.6576E-2</c:v>
                </c:pt>
                <c:pt idx="9">
                  <c:v>9.5712000000000005E-2</c:v>
                </c:pt>
                <c:pt idx="10">
                  <c:v>0.10553700000000001</c:v>
                </c:pt>
                <c:pt idx="11">
                  <c:v>0.113888</c:v>
                </c:pt>
                <c:pt idx="12">
                  <c:v>0.121283</c:v>
                </c:pt>
                <c:pt idx="13">
                  <c:v>0.12779099999999999</c:v>
                </c:pt>
                <c:pt idx="14">
                  <c:v>0.13350500000000001</c:v>
                </c:pt>
                <c:pt idx="15">
                  <c:v>0.138519</c:v>
                </c:pt>
                <c:pt idx="16">
                  <c:v>0.14292299999999999</c:v>
                </c:pt>
              </c:numCache>
            </c:numRef>
          </c:val>
          <c:smooth val="0"/>
          <c:extLst xmlns:c16r2="http://schemas.microsoft.com/office/drawing/2015/06/chart">
            <c:ext xmlns:c16="http://schemas.microsoft.com/office/drawing/2014/chart" uri="{C3380CC4-5D6E-409C-BE32-E72D297353CC}">
              <c16:uniqueId val="{00000003-9840-4754-91A4-367BE7FAFCAB}"/>
            </c:ext>
          </c:extLst>
        </c:ser>
        <c:dLbls>
          <c:showLegendKey val="0"/>
          <c:showVal val="0"/>
          <c:showCatName val="0"/>
          <c:showSerName val="0"/>
          <c:showPercent val="0"/>
          <c:showBubbleSize val="0"/>
        </c:dLbls>
        <c:marker val="1"/>
        <c:smooth val="0"/>
        <c:axId val="65669376"/>
        <c:axId val="65671168"/>
      </c:lineChart>
      <c:catAx>
        <c:axId val="65669376"/>
        <c:scaling>
          <c:orientation val="minMax"/>
        </c:scaling>
        <c:delete val="0"/>
        <c:axPos val="b"/>
        <c:numFmt formatCode="General" sourceLinked="1"/>
        <c:majorTickMark val="none"/>
        <c:minorTickMark val="none"/>
        <c:tickLblPos val="nextTo"/>
        <c:txPr>
          <a:bodyPr rot="-5400000" vert="horz"/>
          <a:lstStyle/>
          <a:p>
            <a:pPr>
              <a:defRPr/>
            </a:pPr>
            <a:endParaRPr lang="en-US"/>
          </a:p>
        </c:txPr>
        <c:crossAx val="65671168"/>
        <c:crosses val="autoZero"/>
        <c:auto val="1"/>
        <c:lblAlgn val="ctr"/>
        <c:lblOffset val="100"/>
        <c:noMultiLvlLbl val="0"/>
      </c:catAx>
      <c:valAx>
        <c:axId val="65671168"/>
        <c:scaling>
          <c:orientation val="minMax"/>
          <c:max val="0.18000000000000002"/>
        </c:scaling>
        <c:delete val="0"/>
        <c:axPos val="l"/>
        <c:majorGridlines/>
        <c:numFmt formatCode="General" sourceLinked="1"/>
        <c:majorTickMark val="out"/>
        <c:minorTickMark val="none"/>
        <c:tickLblPos val="nextTo"/>
        <c:crossAx val="65669376"/>
        <c:crosses val="autoZero"/>
        <c:crossBetween val="between"/>
      </c:valAx>
    </c:plotArea>
    <c:legend>
      <c:legendPos val="r"/>
      <c:layout>
        <c:manualLayout>
          <c:xMode val="edge"/>
          <c:yMode val="edge"/>
          <c:x val="0.20135241488974459"/>
          <c:y val="0.83794187643642992"/>
          <c:w val="0.57674977489127732"/>
          <c:h val="0.1531317911685909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E797991-D6A1-4B98-93D1-0DE95956AA90">EN</EC_Collab_DocumentLanguage>
    <EC_Collab_Status xmlns="4E797991-D6A1-4B98-93D1-0DE95956AA90">Not Started</EC_Collab_Status>
    <EC_Collab_Reference xmlns="4E797991-D6A1-4B98-93D1-0DE95956A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9239F874EA5FD41B34AF9113097C08F" ma:contentTypeVersion="0" ma:contentTypeDescription="Create a new document in this library." ma:contentTypeScope="" ma:versionID="99fc3b33ce158b1cfa40fb971bf5e058">
  <xsd:schema xmlns:xsd="http://www.w3.org/2001/XMLSchema" xmlns:xs="http://www.w3.org/2001/XMLSchema" xmlns:p="http://schemas.microsoft.com/office/2006/metadata/properties" xmlns:ns2="http://schemas.microsoft.com/sharepoint/v3/fields" xmlns:ns3="4E797991-D6A1-4B98-93D1-0DE95956AA90" targetNamespace="http://schemas.microsoft.com/office/2006/metadata/properties" ma:root="true" ma:fieldsID="d7a5695c33f04cc0477b592f9a9edf29" ns2:_="" ns3:_="">
    <xsd:import namespace="http://schemas.microsoft.com/sharepoint/v3/fields"/>
    <xsd:import namespace="4E797991-D6A1-4B98-93D1-0DE95956AA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E797991-D6A1-4B98-93D1-0DE95956AA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4760-F852-45B3-A0C2-C9DECD820537}">
  <ds:schemaRefs>
    <ds:schemaRef ds:uri="http://schemas.microsoft.com/sharepoint/v3/contenttype/forms"/>
  </ds:schemaRefs>
</ds:datastoreItem>
</file>

<file path=customXml/itemProps2.xml><?xml version="1.0" encoding="utf-8"?>
<ds:datastoreItem xmlns:ds="http://schemas.openxmlformats.org/officeDocument/2006/customXml" ds:itemID="{6C1B369D-65C6-4B78-9011-92742AE1A1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E797991-D6A1-4B98-93D1-0DE95956AA90"/>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3428BE6-DD3F-43E8-BADB-2A62E07D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E797991-D6A1-4B98-93D1-0DE95956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6280F-4FBA-4BBB-A9F6-56A2BA2D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114</Pages>
  <Words>43611</Words>
  <Characters>250332</Characters>
  <Application>Microsoft Office Word</Application>
  <DocSecurity>0</DocSecurity>
  <Lines>5215</Lines>
  <Paragraphs>1373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18</cp:revision>
  <cp:lastPrinted>2018-05-04T10:24:00Z</cp:lastPrinted>
  <dcterms:created xsi:type="dcterms:W3CDTF">2018-05-28T12:19:00Z</dcterms:created>
  <dcterms:modified xsi:type="dcterms:W3CDTF">2018-05-29T09:45:00Z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ContentTypeId">
    <vt:lpwstr>0x010100258AA79CEB83498886A3A086811232500089239F874EA5FD41B34AF9113097C08F</vt:lpwstr>
  </property>
  <property fmtid="{D5CDD505-2E9C-101B-9397-08002B2CF9AE}" pid="6" name="DocStatus">
    <vt:lpwstr>Green</vt:lpwstr>
  </property>
  <property fmtid="{D5CDD505-2E9C-101B-9397-08002B2CF9AE}" pid="7" name="_DocHome">
    <vt:i4>1561903</vt:i4>
  </property>
</Properties>
</file>