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D583C8E-162B-4B10-B24B-35F40431D8A7" style="width:450.95pt;height:396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>Indicators</w:t>
      </w:r>
    </w:p>
    <w:p>
      <w:pPr>
        <w:pStyle w:val="Point1number"/>
        <w:numPr>
          <w:ilvl w:val="2"/>
          <w:numId w:val="1"/>
        </w:numPr>
        <w:rPr>
          <w:noProof/>
        </w:rPr>
      </w:pPr>
      <w:r>
        <w:rPr>
          <w:noProof/>
        </w:rPr>
        <w:t>High quality learning mobility for people from diverse backgrounds</w:t>
      </w:r>
    </w:p>
    <w:p>
      <w:pPr>
        <w:pStyle w:val="Point1number"/>
        <w:rPr>
          <w:noProof/>
        </w:rPr>
      </w:pPr>
      <w:r>
        <w:rPr>
          <w:noProof/>
        </w:rPr>
        <w:t>Europeanisation and internationalisation of organisations and institutions</w:t>
      </w:r>
    </w:p>
    <w:p>
      <w:pPr>
        <w:rPr>
          <w:noProof/>
        </w:rPr>
      </w:pPr>
      <w:r>
        <w:rPr>
          <w:noProof/>
        </w:rPr>
        <w:t>What to measure?</w:t>
      </w:r>
    </w:p>
    <w:p>
      <w:pPr>
        <w:pStyle w:val="Point1number"/>
        <w:rPr>
          <w:noProof/>
        </w:rPr>
      </w:pPr>
      <w:r>
        <w:rPr>
          <w:noProof/>
        </w:rPr>
        <w:t>Number of people taking part in mobility activities under the Programme</w:t>
      </w:r>
    </w:p>
    <w:p>
      <w:pPr>
        <w:pStyle w:val="Point1number"/>
        <w:rPr>
          <w:noProof/>
        </w:rPr>
      </w:pPr>
      <w:r>
        <w:rPr>
          <w:noProof/>
        </w:rPr>
        <w:t>Number of people with fewer opportunities taking part in learning mobility activities under the Programme</w:t>
      </w:r>
    </w:p>
    <w:p>
      <w:pPr>
        <w:pStyle w:val="Point1number"/>
        <w:rPr>
          <w:noProof/>
        </w:rPr>
      </w:pPr>
      <w:r>
        <w:rPr>
          <w:noProof/>
        </w:rPr>
        <w:t>Share of participants that consider having benefitted from their participation in learning mobility activities under the Programme</w:t>
      </w:r>
    </w:p>
    <w:p>
      <w:pPr>
        <w:pStyle w:val="Point1number"/>
        <w:rPr>
          <w:noProof/>
        </w:rPr>
      </w:pPr>
      <w:r>
        <w:rPr>
          <w:noProof/>
        </w:rPr>
        <w:t>Number of institutions and organisations supported by the Programme under key action 1 (learning mobility) and key action 2 (cooperation)</w:t>
      </w:r>
    </w:p>
    <w:p>
      <w:pPr>
        <w:pStyle w:val="Point1number"/>
        <w:rPr>
          <w:noProof/>
        </w:rPr>
      </w:pPr>
      <w:r>
        <w:rPr>
          <w:noProof/>
        </w:rPr>
        <w:t>Number of newcomer organisations supported by the Programme under the key action 1 (learning mobility) and key action 2 (cooperation)</w:t>
      </w:r>
    </w:p>
    <w:p>
      <w:pPr>
        <w:pStyle w:val="Point1number"/>
        <w:rPr>
          <w:noProof/>
        </w:rPr>
      </w:pPr>
      <w:r>
        <w:rPr>
          <w:noProof/>
        </w:rPr>
        <w:t>Share of institutions and organisations supported by the Programme who have developed high quality practices as a result of their participation in the Programme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4AA3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000DB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3A5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B85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2FA56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6C34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8E81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CEA7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7 15:13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D583C8E-162B-4B10-B24B-35F40431D8A7"/>
    <w:docVar w:name="LW_COVERPAGE_TYPE" w:val="1"/>
    <w:docVar w:name="LW_CROSSREFERENCE" w:val="{SEC(2018) 265 final}_x000b_{SWD(2018) 276 final}_x000b_{SWD(2018) 277 final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'Erasmus': the Union programme for education, training, youth and sport and repealing Regulation (EU) No 1288/2013"/>
    <w:docVar w:name="LW_OBJETACTEPRINCIPAL.CP" w:val="establishing 'Erasmus': the Union programme for education, training, youth and sport and repealing Regulation (EU) No 1288/2013"/>
    <w:docVar w:name="LW_PART_NBR" w:val="1"/>
    <w:docVar w:name="LW_PART_NBR_TOTAL" w:val="1"/>
    <w:docVar w:name="LW_REF.INST.NEW" w:val="COM"/>
    <w:docVar w:name="LW_REF.INST.NEW_ADOPTED" w:val="final"/>
    <w:docVar w:name="LW_REF.INST.NEW_TEXT" w:val="(2018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GULATION OF THE EUROPEAN PARLIAMENT AND OF THE COUNCIL "/>
    <w:docVar w:name="LW_TYPEACTEPRINCIPAL.CP" w:val="REGULATION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132</Words>
  <Characters>790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7</cp:revision>
  <dcterms:created xsi:type="dcterms:W3CDTF">2018-05-28T15:27:00Z</dcterms:created>
  <dcterms:modified xsi:type="dcterms:W3CDTF">2018-05-29T07:33:00Z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