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8B" w:rsidRDefault="00E10458" w:rsidP="00E1045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299C6D4-EE42-4501-A9F6-E4EFD907353B" style="width:451.05pt;height:369.55pt">
            <v:imagedata r:id="rId9" o:title=""/>
          </v:shape>
        </w:pict>
      </w:r>
    </w:p>
    <w:p w:rsidR="00043A8B" w:rsidRDefault="00043A8B">
      <w:pPr>
        <w:rPr>
          <w:noProof/>
        </w:rPr>
        <w:sectPr w:rsidR="00043A8B" w:rsidSect="00E10458">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043A8B" w:rsidRDefault="00E10458">
      <w:pPr>
        <w:pStyle w:val="Annexetitre"/>
        <w:spacing w:before="0"/>
        <w:rPr>
          <w:noProof/>
        </w:rPr>
      </w:pPr>
      <w:bookmarkStart w:id="0" w:name="_GoBack"/>
      <w:bookmarkEnd w:id="0"/>
      <w:r>
        <w:rPr>
          <w:noProof/>
        </w:rPr>
        <w:lastRenderedPageBreak/>
        <w:t>ANNEX I</w:t>
      </w:r>
    </w:p>
    <w:p w:rsidR="00043A8B" w:rsidRDefault="00E10458">
      <w:pPr>
        <w:spacing w:before="0"/>
        <w:jc w:val="center"/>
        <w:rPr>
          <w:b/>
          <w:noProof/>
          <w:szCs w:val="24"/>
        </w:rPr>
      </w:pPr>
      <w:r>
        <w:rPr>
          <w:b/>
          <w:noProof/>
        </w:rPr>
        <w:t>A</w:t>
      </w:r>
      <w:r>
        <w:rPr>
          <w:b/>
          <w:noProof/>
          <w:szCs w:val="24"/>
        </w:rPr>
        <w:t>ctivities of the programme</w:t>
      </w:r>
    </w:p>
    <w:p w:rsidR="00043A8B" w:rsidRDefault="00E10458">
      <w:pPr>
        <w:spacing w:before="0"/>
        <w:rPr>
          <w:i/>
          <w:noProof/>
        </w:rPr>
      </w:pPr>
      <w:r>
        <w:rPr>
          <w:noProof/>
        </w:rPr>
        <w:t xml:space="preserve">The specific objectives of the Programme </w:t>
      </w:r>
      <w:r>
        <w:rPr>
          <w:noProof/>
          <w:szCs w:val="24"/>
        </w:rPr>
        <w:t>referred to in Article 3 (2)</w:t>
      </w:r>
      <w:r>
        <w:rPr>
          <w:noProof/>
        </w:rPr>
        <w:t xml:space="preserve"> will be pursued in particular through support to the following activities:</w:t>
      </w:r>
    </w:p>
    <w:p w:rsidR="00043A8B" w:rsidRDefault="00E10458">
      <w:pPr>
        <w:pStyle w:val="NumPar1"/>
        <w:numPr>
          <w:ilvl w:val="0"/>
          <w:numId w:val="9"/>
        </w:numPr>
        <w:spacing w:before="0"/>
        <w:rPr>
          <w:noProof/>
        </w:rPr>
      </w:pPr>
      <w:r>
        <w:rPr>
          <w:noProof/>
        </w:rPr>
        <w:t>awareness raising, dissemination of information to improve the knowledge of Union policies and of Union law including substantive and procedural law, of judicial cooperation instru</w:t>
      </w:r>
      <w:r>
        <w:rPr>
          <w:noProof/>
        </w:rPr>
        <w:t>ments, of the relevant case-law of the Court of Justice of the European Union, and of comparative law and of European and  international standards;</w:t>
      </w:r>
    </w:p>
    <w:p w:rsidR="00043A8B" w:rsidRDefault="00E10458">
      <w:pPr>
        <w:pStyle w:val="NumPar1"/>
        <w:numPr>
          <w:ilvl w:val="0"/>
          <w:numId w:val="9"/>
        </w:numPr>
        <w:spacing w:before="0"/>
        <w:rPr>
          <w:noProof/>
        </w:rPr>
      </w:pPr>
      <w:r>
        <w:rPr>
          <w:noProof/>
        </w:rPr>
        <w:t>mutual learning through exchange of good practices among stakeholders to improve knowledge and mutual unders</w:t>
      </w:r>
      <w:r>
        <w:rPr>
          <w:noProof/>
        </w:rPr>
        <w:t>tanding of the civil and criminal law and the legal and judicial systems of the Member States, including the rule of law, and enhancing mutual trust;</w:t>
      </w:r>
    </w:p>
    <w:p w:rsidR="00043A8B" w:rsidRDefault="00E10458">
      <w:pPr>
        <w:pStyle w:val="NumPar1"/>
        <w:numPr>
          <w:ilvl w:val="0"/>
          <w:numId w:val="9"/>
        </w:numPr>
        <w:spacing w:before="0"/>
        <w:rPr>
          <w:noProof/>
        </w:rPr>
      </w:pPr>
      <w:r>
        <w:rPr>
          <w:noProof/>
        </w:rPr>
        <w:t>analytical and monitoring activities</w:t>
      </w:r>
      <w:r>
        <w:rPr>
          <w:rStyle w:val="FootnoteReference"/>
          <w:noProof/>
        </w:rPr>
        <w:footnoteReference w:id="1"/>
      </w:r>
      <w:r>
        <w:rPr>
          <w:noProof/>
        </w:rPr>
        <w:t xml:space="preserve"> to improve the knowledge and understanding of potential obstacles to</w:t>
      </w:r>
      <w:r>
        <w:rPr>
          <w:noProof/>
        </w:rPr>
        <w:t xml:space="preserve"> the smooth functioning of a European area of justice and to improve the implementation of Union law and policies in the Member States;</w:t>
      </w:r>
    </w:p>
    <w:p w:rsidR="00043A8B" w:rsidRDefault="00E10458">
      <w:pPr>
        <w:pStyle w:val="NumPar1"/>
        <w:numPr>
          <w:ilvl w:val="0"/>
          <w:numId w:val="9"/>
        </w:numPr>
        <w:spacing w:before="0"/>
        <w:rPr>
          <w:noProof/>
        </w:rPr>
      </w:pPr>
      <w:r>
        <w:rPr>
          <w:noProof/>
        </w:rPr>
        <w:t>training relevant stakeholders to improve the knowledge of Union policies and Union law including inter alia substantive</w:t>
      </w:r>
      <w:r>
        <w:rPr>
          <w:noProof/>
        </w:rPr>
        <w:t xml:space="preserve"> and procedural law, the use of EU judicial cooperation instruments, the relevant case-law of the Court of Justice of the European Union, legal language and of comparative law.</w:t>
      </w:r>
    </w:p>
    <w:p w:rsidR="00043A8B" w:rsidRDefault="00E10458">
      <w:pPr>
        <w:pStyle w:val="NumPar1"/>
        <w:numPr>
          <w:ilvl w:val="0"/>
          <w:numId w:val="9"/>
        </w:numPr>
        <w:spacing w:before="0"/>
        <w:rPr>
          <w:noProof/>
        </w:rPr>
      </w:pPr>
      <w:r>
        <w:rPr>
          <w:noProof/>
        </w:rPr>
        <w:t>information and Communication Technology (ICT) tools development and maintenanc</w:t>
      </w:r>
      <w:r>
        <w:rPr>
          <w:noProof/>
        </w:rPr>
        <w:t>e to improve the efficiency of judicial systems and their cooperation by means of information and communication technology, including the cross-border interoperability of systems and applications.</w:t>
      </w:r>
    </w:p>
    <w:p w:rsidR="00043A8B" w:rsidRDefault="00E10458">
      <w:pPr>
        <w:pStyle w:val="NumPar1"/>
        <w:numPr>
          <w:ilvl w:val="0"/>
          <w:numId w:val="9"/>
        </w:numPr>
        <w:spacing w:before="0"/>
        <w:rPr>
          <w:noProof/>
        </w:rPr>
      </w:pPr>
      <w:r>
        <w:rPr>
          <w:noProof/>
        </w:rPr>
        <w:t>developing capacity of key European level networks and Euro</w:t>
      </w:r>
      <w:r>
        <w:rPr>
          <w:noProof/>
        </w:rPr>
        <w:t xml:space="preserve">pean judicial networks, including networks established by Union law to ensure the effective application and enforcement of Union law, to promote and further develop Union law, policy goals and strategies in the areas of the programme, as well as </w:t>
      </w:r>
      <w:r>
        <w:rPr>
          <w:noProof/>
          <w:szCs w:val="24"/>
        </w:rPr>
        <w:t>supporting</w:t>
      </w:r>
      <w:r>
        <w:rPr>
          <w:noProof/>
          <w:szCs w:val="24"/>
        </w:rPr>
        <w:t xml:space="preserve"> civil society organisations active in the areas covered by the Programme</w:t>
      </w:r>
      <w:r>
        <w:rPr>
          <w:noProof/>
        </w:rPr>
        <w:t>.</w:t>
      </w:r>
    </w:p>
    <w:p w:rsidR="00043A8B" w:rsidRDefault="00E10458">
      <w:pPr>
        <w:pStyle w:val="NumPar1"/>
        <w:numPr>
          <w:ilvl w:val="0"/>
          <w:numId w:val="9"/>
        </w:numPr>
        <w:spacing w:before="0"/>
        <w:rPr>
          <w:noProof/>
        </w:rPr>
      </w:pPr>
      <w:r>
        <w:rPr>
          <w:noProof/>
        </w:rPr>
        <w:t xml:space="preserve">enhancing knowledge of the programme and dissemination and transferability of its results and fostering citizen outreach, including by setting up and supporting programme </w:t>
      </w:r>
      <w:r>
        <w:rPr>
          <w:noProof/>
        </w:rPr>
        <w:t>desks/national contact network.</w:t>
      </w:r>
    </w:p>
    <w:p w:rsidR="00043A8B" w:rsidRDefault="00043A8B">
      <w:pPr>
        <w:rPr>
          <w:noProof/>
        </w:rPr>
        <w:sectPr w:rsidR="00043A8B" w:rsidSect="00E10458">
          <w:footerReference w:type="default" r:id="rId16"/>
          <w:footerReference w:type="first" r:id="rId17"/>
          <w:pgSz w:w="11907" w:h="16839"/>
          <w:pgMar w:top="1134" w:right="1417" w:bottom="1134" w:left="1417" w:header="709" w:footer="709" w:gutter="0"/>
          <w:cols w:space="720"/>
          <w:docGrid w:linePitch="360"/>
        </w:sectPr>
      </w:pPr>
    </w:p>
    <w:p w:rsidR="00043A8B" w:rsidRDefault="00E10458">
      <w:pPr>
        <w:pStyle w:val="Annexetitre"/>
        <w:spacing w:before="0"/>
        <w:rPr>
          <w:noProof/>
        </w:rPr>
      </w:pPr>
      <w:r>
        <w:rPr>
          <w:noProof/>
        </w:rPr>
        <w:lastRenderedPageBreak/>
        <w:t>ANNEX II</w:t>
      </w:r>
    </w:p>
    <w:p w:rsidR="00043A8B" w:rsidRDefault="00E10458">
      <w:pPr>
        <w:spacing w:before="0"/>
        <w:jc w:val="center"/>
        <w:rPr>
          <w:b/>
          <w:noProof/>
        </w:rPr>
      </w:pPr>
      <w:r>
        <w:rPr>
          <w:b/>
          <w:noProof/>
        </w:rPr>
        <w:t>Indicators</w:t>
      </w:r>
    </w:p>
    <w:p w:rsidR="00043A8B" w:rsidRDefault="00E10458">
      <w:pPr>
        <w:rPr>
          <w:noProof/>
        </w:rPr>
      </w:pPr>
      <w:r>
        <w:rPr>
          <w:noProof/>
        </w:rPr>
        <w:t>The Programme will be monitored on the basis of a set of indicators intended to measure the extent to which the general and specific objectives of the Pr</w:t>
      </w:r>
      <w:r>
        <w:rPr>
          <w:noProof/>
        </w:rPr>
        <w:t>ogramme have been achieved and with a view to minimising administrative burdens and costs. To that end, data will be collected as regards the following set of key indicators:</w:t>
      </w:r>
    </w:p>
    <w:tbl>
      <w:tblPr>
        <w:tblW w:w="9464" w:type="dxa"/>
        <w:tblCellMar>
          <w:left w:w="0" w:type="dxa"/>
          <w:right w:w="0" w:type="dxa"/>
        </w:tblCellMar>
        <w:tblLook w:val="04A0" w:firstRow="1" w:lastRow="0" w:firstColumn="1" w:lastColumn="0" w:noHBand="0" w:noVBand="1"/>
      </w:tblPr>
      <w:tblGrid>
        <w:gridCol w:w="9464"/>
      </w:tblGrid>
      <w:tr w:rsidR="00043A8B">
        <w:tc>
          <w:tcPr>
            <w:tcW w:w="946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43A8B" w:rsidRDefault="00E10458">
            <w:pPr>
              <w:pStyle w:val="NumPar1"/>
              <w:numPr>
                <w:ilvl w:val="0"/>
                <w:numId w:val="0"/>
              </w:numPr>
              <w:rPr>
                <w:noProof/>
                <w:sz w:val="18"/>
                <w:szCs w:val="18"/>
              </w:rPr>
            </w:pPr>
            <w:r>
              <w:rPr>
                <w:noProof/>
                <w:sz w:val="18"/>
                <w:szCs w:val="18"/>
              </w:rPr>
              <w:t xml:space="preserve">Number of members of the judiciary and judicial staff who participated in </w:t>
            </w:r>
            <w:r>
              <w:rPr>
                <w:noProof/>
                <w:sz w:val="18"/>
                <w:szCs w:val="18"/>
              </w:rPr>
              <w:t>training activities (including staff exchanges, study visits, workshops and seminars) funded by the Programme, including by the operating grant of the EJTN</w:t>
            </w:r>
          </w:p>
        </w:tc>
      </w:tr>
      <w:tr w:rsidR="00043A8B">
        <w:tc>
          <w:tcPr>
            <w:tcW w:w="9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3A8B" w:rsidRDefault="00E10458">
            <w:pPr>
              <w:pStyle w:val="NumPar1"/>
              <w:numPr>
                <w:ilvl w:val="0"/>
                <w:numId w:val="0"/>
              </w:numPr>
              <w:rPr>
                <w:noProof/>
                <w:sz w:val="18"/>
                <w:szCs w:val="18"/>
              </w:rPr>
            </w:pPr>
            <w:r>
              <w:rPr>
                <w:noProof/>
                <w:sz w:val="18"/>
                <w:szCs w:val="18"/>
              </w:rPr>
              <w:t xml:space="preserve">Number of exchanges of information in the European Criminal Records Information System (ECRIS) </w:t>
            </w:r>
          </w:p>
        </w:tc>
      </w:tr>
      <w:tr w:rsidR="00043A8B">
        <w:tc>
          <w:tcPr>
            <w:tcW w:w="9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3A8B" w:rsidRDefault="00E10458">
            <w:pPr>
              <w:pStyle w:val="NumPar1"/>
              <w:numPr>
                <w:ilvl w:val="0"/>
                <w:numId w:val="0"/>
              </w:numPr>
              <w:rPr>
                <w:noProof/>
                <w:sz w:val="18"/>
                <w:szCs w:val="18"/>
              </w:rPr>
            </w:pPr>
            <w:r>
              <w:rPr>
                <w:noProof/>
                <w:sz w:val="18"/>
                <w:szCs w:val="18"/>
              </w:rPr>
              <w:t>Nu</w:t>
            </w:r>
            <w:r>
              <w:rPr>
                <w:noProof/>
                <w:sz w:val="18"/>
                <w:szCs w:val="18"/>
              </w:rPr>
              <w:t>mber of hits on the e-Justice portal / pages addressing the need for information on cross-border civil cases</w:t>
            </w:r>
          </w:p>
        </w:tc>
      </w:tr>
      <w:tr w:rsidR="00043A8B">
        <w:tc>
          <w:tcPr>
            <w:tcW w:w="9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3A8B" w:rsidRDefault="00E10458">
            <w:pPr>
              <w:pStyle w:val="NumPar1"/>
              <w:numPr>
                <w:ilvl w:val="0"/>
                <w:numId w:val="0"/>
              </w:numPr>
              <w:rPr>
                <w:noProof/>
                <w:sz w:val="18"/>
                <w:szCs w:val="18"/>
              </w:rPr>
            </w:pPr>
            <w:r>
              <w:rPr>
                <w:noProof/>
                <w:sz w:val="18"/>
                <w:szCs w:val="18"/>
              </w:rPr>
              <w:t>Number of people reached by:</w:t>
            </w:r>
          </w:p>
          <w:p w:rsidR="00043A8B" w:rsidRDefault="00E10458">
            <w:pPr>
              <w:pStyle w:val="NumPar1"/>
              <w:numPr>
                <w:ilvl w:val="0"/>
                <w:numId w:val="0"/>
              </w:numPr>
              <w:rPr>
                <w:noProof/>
                <w:sz w:val="18"/>
                <w:szCs w:val="18"/>
              </w:rPr>
            </w:pPr>
            <w:r>
              <w:rPr>
                <w:noProof/>
                <w:sz w:val="18"/>
                <w:szCs w:val="18"/>
              </w:rPr>
              <w:t>(i) mutual learning and exchange of good practices activities;</w:t>
            </w:r>
          </w:p>
          <w:p w:rsidR="00043A8B" w:rsidRDefault="00E10458">
            <w:pPr>
              <w:pStyle w:val="NumPar1"/>
              <w:numPr>
                <w:ilvl w:val="0"/>
                <w:numId w:val="0"/>
              </w:numPr>
              <w:rPr>
                <w:noProof/>
                <w:sz w:val="18"/>
                <w:szCs w:val="18"/>
              </w:rPr>
            </w:pPr>
            <w:r>
              <w:rPr>
                <w:noProof/>
                <w:sz w:val="18"/>
                <w:szCs w:val="18"/>
              </w:rPr>
              <w:t xml:space="preserve">(ii) awareness raising, information and dissemination activities </w:t>
            </w:r>
          </w:p>
        </w:tc>
      </w:tr>
    </w:tbl>
    <w:p w:rsidR="00043A8B" w:rsidRDefault="00043A8B">
      <w:pPr>
        <w:ind w:left="709" w:hanging="709"/>
        <w:rPr>
          <w:noProof/>
        </w:rPr>
      </w:pPr>
    </w:p>
    <w:sectPr w:rsidR="00043A8B" w:rsidSect="00E1045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8B" w:rsidRDefault="00E10458">
      <w:pPr>
        <w:spacing w:before="0" w:after="0"/>
      </w:pPr>
      <w:r>
        <w:separator/>
      </w:r>
    </w:p>
  </w:endnote>
  <w:endnote w:type="continuationSeparator" w:id="0">
    <w:p w:rsidR="00043A8B" w:rsidRDefault="00E104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Footer"/>
      <w:rPr>
        <w:rFonts w:ascii="Arial" w:hAnsi="Arial" w:cs="Arial"/>
        <w:b/>
        <w:sz w:val="48"/>
      </w:rPr>
    </w:pPr>
    <w:r w:rsidRPr="00E10458">
      <w:rPr>
        <w:rFonts w:ascii="Arial" w:hAnsi="Arial" w:cs="Arial"/>
        <w:b/>
        <w:sz w:val="48"/>
      </w:rPr>
      <w:t>EN</w:t>
    </w:r>
    <w:r w:rsidRPr="00E10458">
      <w:rPr>
        <w:rFonts w:ascii="Arial" w:hAnsi="Arial" w:cs="Arial"/>
        <w:b/>
        <w:sz w:val="48"/>
      </w:rPr>
      <w:tab/>
    </w:r>
    <w:r w:rsidRPr="00E10458">
      <w:rPr>
        <w:rFonts w:ascii="Arial" w:hAnsi="Arial" w:cs="Arial"/>
        <w:b/>
        <w:sz w:val="48"/>
      </w:rPr>
      <w:tab/>
    </w:r>
    <w:r w:rsidRPr="00E10458">
      <w:tab/>
    </w:r>
    <w:proofErr w:type="spellStart"/>
    <w:r w:rsidRPr="00E10458">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Footer"/>
      <w:rPr>
        <w:rFonts w:ascii="Arial" w:hAnsi="Arial" w:cs="Arial"/>
        <w:b/>
        <w:sz w:val="48"/>
      </w:rPr>
    </w:pPr>
    <w:r w:rsidRPr="00E10458">
      <w:rPr>
        <w:rFonts w:ascii="Arial" w:hAnsi="Arial" w:cs="Arial"/>
        <w:b/>
        <w:sz w:val="48"/>
      </w:rPr>
      <w:t>EN</w:t>
    </w:r>
    <w:r w:rsidRPr="00E1045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E10458">
      <w:tab/>
    </w:r>
    <w:r w:rsidRPr="00E10458">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8B" w:rsidRDefault="00E10458">
      <w:pPr>
        <w:spacing w:before="0" w:after="0"/>
      </w:pPr>
      <w:r>
        <w:separator/>
      </w:r>
    </w:p>
  </w:footnote>
  <w:footnote w:type="continuationSeparator" w:id="0">
    <w:p w:rsidR="00043A8B" w:rsidRDefault="00E10458">
      <w:pPr>
        <w:spacing w:before="0" w:after="0"/>
      </w:pPr>
      <w:r>
        <w:continuationSeparator/>
      </w:r>
    </w:p>
  </w:footnote>
  <w:footnote w:id="1">
    <w:p w:rsidR="00043A8B" w:rsidRDefault="00E10458">
      <w:pPr>
        <w:pStyle w:val="FootnoteText"/>
        <w:ind w:left="142" w:hanging="142"/>
      </w:pPr>
      <w:r>
        <w:rPr>
          <w:rStyle w:val="FootnoteReference"/>
        </w:rPr>
        <w:footnoteRef/>
      </w:r>
      <w:r>
        <w:tab/>
        <w:t>These activities include for instance the collection of data and statistics; the development of common methodologies and, where appropriate, indicators or benchmarks; studies, resear</w:t>
      </w:r>
      <w:r>
        <w:t>ches, analyses and surveys; evaluations; impact assessment; the elaboration and publication of guides, reports and educational material.</w:t>
      </w:r>
    </w:p>
    <w:p w:rsidR="00043A8B" w:rsidRDefault="00043A8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458" w:rsidRPr="00E10458" w:rsidRDefault="00E10458" w:rsidP="00E10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54A89D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9980A9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4A82BC0"/>
    <w:lvl w:ilvl="0">
      <w:start w:val="1"/>
      <w:numFmt w:val="decimal"/>
      <w:pStyle w:val="ListNumber2"/>
      <w:lvlText w:val="%1."/>
      <w:lvlJc w:val="left"/>
      <w:pPr>
        <w:tabs>
          <w:tab w:val="num" w:pos="643"/>
        </w:tabs>
        <w:ind w:left="643" w:hanging="360"/>
      </w:pPr>
    </w:lvl>
  </w:abstractNum>
  <w:abstractNum w:abstractNumId="3">
    <w:nsid w:val="FFFFFF81"/>
    <w:multiLevelType w:val="singleLevel"/>
    <w:tmpl w:val="AF780A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B74A18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84591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F044D38"/>
    <w:lvl w:ilvl="0">
      <w:start w:val="1"/>
      <w:numFmt w:val="decimal"/>
      <w:pStyle w:val="ListNumber"/>
      <w:lvlText w:val="%1."/>
      <w:lvlJc w:val="left"/>
      <w:pPr>
        <w:tabs>
          <w:tab w:val="num" w:pos="360"/>
        </w:tabs>
        <w:ind w:left="360" w:hanging="360"/>
      </w:pPr>
    </w:lvl>
  </w:abstractNum>
  <w:abstractNum w:abstractNumId="7">
    <w:nsid w:val="FFFFFF89"/>
    <w:multiLevelType w:val="singleLevel"/>
    <w:tmpl w:val="27AC6B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2 19:31: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ACCOMPAGNANT" w:val="to the Proposal for a"/>
    <w:docVar w:name="LW_ACCOMPAGNANT.CP" w:val="to the Proposal for a"/>
    <w:docVar w:name="LW_ANNEX_NBR_FIRST" w:val="1"/>
    <w:docVar w:name="LW_ANNEX_NBR_LAST" w:val="2"/>
    <w:docVar w:name="LW_ANNEX_UNIQUE" w:val="0"/>
    <w:docVar w:name="LW_CORRIGENDUM" w:val="&lt;UNUSED&gt;"/>
    <w:docVar w:name="LW_COVERPAGE_EXISTS" w:val="True"/>
    <w:docVar w:name="LW_COVERPAGE_GUID" w:val="5299C6D4-EE42-4501-A9F6-E4EFD907353B"/>
    <w:docVar w:name="LW_COVERPAGE_TYPE" w:val="1"/>
    <w:docVar w:name="LW_CROSSREFERENCE" w:val="&lt;UNUSED&gt;"/>
    <w:docVar w:name="LW_DocType" w:val="ANNEX"/>
    <w:docVar w:name="LW_EMISSION" w:val="30.5.2018"/>
    <w:docVar w:name="LW_EMISSION_ISODATE" w:val="2018-05-30"/>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establishing the Justice programme "/>
    <w:docVar w:name="LW_OBJETACTEPRINCIPAL.CP" w:val="establishing the Justice programme "/>
    <w:docVar w:name="LW_PART_NBR" w:val="&lt;UNUSED&gt;"/>
    <w:docVar w:name="LW_PART_NBR_TOTAL" w:val="&lt;UNUSED&gt;"/>
    <w:docVar w:name="LW_REF.INST.NEW" w:val="COM"/>
    <w:docVar w:name="LW_REF.INST.NEW_ADOPTED" w:val="final"/>
    <w:docVar w:name="LW_REF.INST.NEW_TEXT" w:val="(2018) 3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REGULATION OF THE EUROPEAN PARLIAMENT AND OF THE COUNCIL"/>
    <w:docVar w:name="LW_TYPEACTEPRINCIPAL.CP" w:val="REGULATION OF THE EUROPEAN PARLIAMENT AND OF THE COUNCIL"/>
  </w:docVars>
  <w:rsids>
    <w:rsidRoot w:val="00043A8B"/>
    <w:rsid w:val="00043A8B"/>
    <w:rsid w:val="00E1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E10458"/>
    <w:pPr>
      <w:tabs>
        <w:tab w:val="center" w:pos="4535"/>
        <w:tab w:val="right" w:pos="9071"/>
      </w:tabs>
      <w:spacing w:before="0"/>
    </w:pPr>
  </w:style>
  <w:style w:type="character" w:customStyle="1" w:styleId="HeaderChar">
    <w:name w:val="Header Char"/>
    <w:basedOn w:val="DefaultParagraphFont"/>
    <w:link w:val="Header"/>
    <w:uiPriority w:val="99"/>
    <w:rsid w:val="00E10458"/>
    <w:rPr>
      <w:rFonts w:ascii="Times New Roman" w:hAnsi="Times New Roman" w:cs="Times New Roman"/>
      <w:sz w:val="24"/>
      <w:lang w:val="en-GB"/>
    </w:rPr>
  </w:style>
  <w:style w:type="paragraph" w:styleId="Footer">
    <w:name w:val="footer"/>
    <w:basedOn w:val="Normal"/>
    <w:link w:val="FooterChar"/>
    <w:uiPriority w:val="99"/>
    <w:unhideWhenUsed/>
    <w:rsid w:val="00E1045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1045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E10458"/>
    <w:pPr>
      <w:tabs>
        <w:tab w:val="center" w:pos="7285"/>
        <w:tab w:val="right" w:pos="14003"/>
      </w:tabs>
      <w:spacing w:before="0"/>
    </w:pPr>
  </w:style>
  <w:style w:type="paragraph" w:customStyle="1" w:styleId="FooterLandscape">
    <w:name w:val="FooterLandscape"/>
    <w:basedOn w:val="Normal"/>
    <w:rsid w:val="00E1045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1045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E1045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E10458"/>
    <w:pPr>
      <w:tabs>
        <w:tab w:val="center" w:pos="4535"/>
        <w:tab w:val="right" w:pos="9071"/>
      </w:tabs>
      <w:spacing w:before="0"/>
    </w:pPr>
  </w:style>
  <w:style w:type="character" w:customStyle="1" w:styleId="HeaderChar">
    <w:name w:val="Header Char"/>
    <w:basedOn w:val="DefaultParagraphFont"/>
    <w:link w:val="Header"/>
    <w:uiPriority w:val="99"/>
    <w:rsid w:val="00E10458"/>
    <w:rPr>
      <w:rFonts w:ascii="Times New Roman" w:hAnsi="Times New Roman" w:cs="Times New Roman"/>
      <w:sz w:val="24"/>
      <w:lang w:val="en-GB"/>
    </w:rPr>
  </w:style>
  <w:style w:type="paragraph" w:styleId="Footer">
    <w:name w:val="footer"/>
    <w:basedOn w:val="Normal"/>
    <w:link w:val="FooterChar"/>
    <w:uiPriority w:val="99"/>
    <w:unhideWhenUsed/>
    <w:rsid w:val="00E1045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1045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E10458"/>
    <w:pPr>
      <w:tabs>
        <w:tab w:val="center" w:pos="7285"/>
        <w:tab w:val="right" w:pos="14003"/>
      </w:tabs>
      <w:spacing w:before="0"/>
    </w:pPr>
  </w:style>
  <w:style w:type="paragraph" w:customStyle="1" w:styleId="FooterLandscape">
    <w:name w:val="FooterLandscape"/>
    <w:basedOn w:val="Normal"/>
    <w:rsid w:val="00E1045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1045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E1045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B4FB-CF55-491C-80C1-3CE762D7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3</Pages>
  <Words>470</Words>
  <Characters>2666</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SMITHAM Emma (JUST)</dc:creator>
  <cp:lastModifiedBy>KUDRYK Katarzyna (SG)</cp:lastModifiedBy>
  <cp:revision>10</cp:revision>
  <cp:lastPrinted>2018-05-14T14:22:00Z</cp:lastPrinted>
  <dcterms:created xsi:type="dcterms:W3CDTF">2018-05-23T16:18:00Z</dcterms:created>
  <dcterms:modified xsi:type="dcterms:W3CDTF">2018-05-29T12:04:00Z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