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E60AF6BA-F122-40B6-93CE-12706736EB58" style="width:450.75pt;height:38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 I</w:t>
      </w:r>
    </w:p>
    <w:p>
      <w:pPr>
        <w:spacing w:before="0" w:after="200" w:line="276" w:lineRule="auto"/>
        <w:rPr>
          <w:b/>
          <w:noProof/>
        </w:rPr>
      </w:pPr>
      <w:r>
        <w:rPr>
          <w:noProof/>
        </w:rPr>
        <w:t>Indicative list of the types of costs that the Programme will fund for actions carried out in accordance with Regulation (EC) No 515/97:</w:t>
      </w:r>
    </w:p>
    <w:p>
      <w:pPr>
        <w:pStyle w:val="Text1"/>
        <w:ind w:left="1440"/>
        <w:rPr>
          <w:noProof/>
        </w:rPr>
      </w:pPr>
      <w:r>
        <w:rPr>
          <w:noProof/>
        </w:rPr>
        <w:t>(a)</w:t>
      </w:r>
      <w:r>
        <w:rPr>
          <w:noProof/>
        </w:rPr>
        <w:tab/>
        <w:t>all costs of installing and maintaining the permanent technical infrastructure making available to the Member States the logistical, office automation and IT resources to coordinate joint customs operations and other operational activities;</w:t>
      </w:r>
    </w:p>
    <w:p>
      <w:pPr>
        <w:pStyle w:val="Text1"/>
        <w:ind w:left="1440"/>
        <w:rPr>
          <w:noProof/>
        </w:rPr>
      </w:pPr>
      <w:r>
        <w:rPr>
          <w:noProof/>
        </w:rPr>
        <w:t>(b)</w:t>
      </w:r>
      <w:r>
        <w:rPr>
          <w:noProof/>
        </w:rPr>
        <w:tab/>
        <w:t>the reimbursement of travel and subsistence expenses, as well as any other indemnities where appropriate, of representatives of the Member States and, where appropriate, representatives of third countries, taking part in the Community missions, joint customs operations organised by or jointly with the Commission and training courses, ad hoc meetings and preparatory and evaluation meetings for administrative investigations or operational actions conducted by the Member States, where they are organised by or jointly with the Commission;</w:t>
      </w:r>
    </w:p>
    <w:p>
      <w:pPr>
        <w:pStyle w:val="Text1"/>
        <w:ind w:left="1440"/>
        <w:rPr>
          <w:noProof/>
        </w:rPr>
      </w:pPr>
      <w:r>
        <w:rPr>
          <w:noProof/>
        </w:rPr>
        <w:t>(c)</w:t>
      </w:r>
      <w:r>
        <w:rPr>
          <w:noProof/>
        </w:rPr>
        <w:tab/>
        <w:t>expenditure relating to the acquisition, study, development and maintenance of computer infrastructure (hardware), software and dedicated network connections, and to related production, support and training services for the purpose of carrying out the actions provided for in Regulation (EC) No 515/97, in particular preventing and combating fraud;</w:t>
      </w:r>
    </w:p>
    <w:p>
      <w:pPr>
        <w:pStyle w:val="Text1"/>
        <w:ind w:left="1440"/>
        <w:rPr>
          <w:noProof/>
        </w:rPr>
      </w:pPr>
      <w:r>
        <w:rPr>
          <w:noProof/>
        </w:rPr>
        <w:t>(d)</w:t>
      </w:r>
      <w:r>
        <w:rPr>
          <w:noProof/>
        </w:rPr>
        <w:tab/>
        <w:t>expenditure relating to the provision of information and expenditure on related actions allowing access to information, data and data sources for the purpose of carrying out the actions provided for in Regulation 515/97, in particular preventing and combating fraud;</w:t>
      </w:r>
    </w:p>
    <w:p>
      <w:pPr>
        <w:pStyle w:val="Text1"/>
        <w:ind w:left="1440"/>
        <w:rPr>
          <w:noProof/>
        </w:rPr>
      </w:pPr>
      <w:r>
        <w:rPr>
          <w:noProof/>
        </w:rPr>
        <w:t>(e)</w:t>
      </w:r>
      <w:r>
        <w:rPr>
          <w:noProof/>
        </w:rPr>
        <w:tab/>
        <w:t>expenditure relating to use of the Customs Information System provided for in instruments adopted under Article 87 of the Treaty on the Functioning of the European Union and in particular in Decision 2009/917/JHA on the use of information technology for customs purposes, in so far as those instruments provide that that expenditure shall be borne by the general budget of the European Union.</w:t>
      </w:r>
    </w:p>
    <w:p>
      <w:pPr>
        <w:pStyle w:val="Text1"/>
        <w:ind w:left="1440"/>
        <w:rPr>
          <w:noProof/>
        </w:rPr>
      </w:pPr>
      <w:r>
        <w:rPr>
          <w:noProof/>
        </w:rPr>
        <w:t xml:space="preserve">(f) </w:t>
      </w:r>
      <w:r>
        <w:rPr>
          <w:noProof/>
        </w:rPr>
        <w:tab/>
        <w:t xml:space="preserve">expenditure relating to the acquisition, study, development and maintenance of the Union components of the common communication network used for the purposes of point (c). </w:t>
      </w:r>
    </w:p>
    <w:p>
      <w:pPr>
        <w:spacing w:before="0" w:after="200" w:line="276" w:lineRule="auto"/>
        <w:jc w:val="left"/>
        <w:rPr>
          <w:b/>
          <w:noProof/>
        </w:rPr>
      </w:pPr>
    </w:p>
    <w:p>
      <w:pPr>
        <w:rPr>
          <w:noProof/>
        </w:rPr>
      </w:pPr>
    </w:p>
    <w:p>
      <w:pPr>
        <w:rPr>
          <w:noProof/>
        </w:rPr>
      </w:pP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noProof/>
        </w:rPr>
      </w:pPr>
      <w:r>
        <w:rPr>
          <w:noProof/>
        </w:rPr>
        <w:lastRenderedPageBreak/>
        <w:t>ANNEX II</w:t>
      </w:r>
    </w:p>
    <w:p>
      <w:pPr>
        <w:ind w:left="709" w:hanging="709"/>
        <w:jc w:val="center"/>
        <w:rPr>
          <w:noProof/>
        </w:rPr>
      </w:pPr>
      <w:r>
        <w:rPr>
          <w:b/>
          <w:bCs/>
          <w:noProof/>
        </w:rPr>
        <w:t>INDICATORS FOR THE MONITORING OF THE PROGRAMME</w:t>
      </w:r>
    </w:p>
    <w:p>
      <w:pPr>
        <w:rPr>
          <w:noProof/>
        </w:rPr>
      </w:pPr>
    </w:p>
    <w:p>
      <w:pPr>
        <w:rPr>
          <w:noProof/>
        </w:rPr>
      </w:pPr>
      <w:r>
        <w:rPr>
          <w:noProof/>
        </w:rPr>
        <w:t>The Programme will be monitored closely on the basis of a set of indicators intended to measure the extent to which the general and specific objectives of the Programme have been achieved and with a view to minimising administrative burdens and costs. To that end, data will be collected as regards the following set of key indicators:</w:t>
      </w:r>
    </w:p>
    <w:p>
      <w:pPr>
        <w:rPr>
          <w:rStyle w:val="Marker1"/>
          <w:rFonts w:eastAsia="Arial Unicode MS"/>
          <w:i/>
          <w:noProof/>
        </w:rPr>
      </w:pPr>
    </w:p>
    <w:p>
      <w:pPr>
        <w:rPr>
          <w:noProof/>
        </w:rPr>
      </w:pPr>
      <w:r>
        <w:rPr>
          <w:b/>
          <w:noProof/>
        </w:rPr>
        <w:t>Specific Objective 1</w:t>
      </w:r>
      <w:r>
        <w:rPr>
          <w:noProof/>
        </w:rPr>
        <w:t>: Preventing and combating fraud, corruption and any other illegal activities affecting the financial interests of the Union.</w:t>
      </w:r>
    </w:p>
    <w:p>
      <w:pPr>
        <w:ind w:left="720"/>
        <w:rPr>
          <w:noProof/>
        </w:rPr>
      </w:pPr>
      <w:r>
        <w:rPr>
          <w:b/>
          <w:noProof/>
        </w:rPr>
        <w:t>Indicator 1</w:t>
      </w:r>
      <w:r>
        <w:rPr>
          <w:noProof/>
        </w:rPr>
        <w:t>: Support in preventing and combatting fraud, corruption and any other illegal activities affecting the financial interests of the EU, as measured by:</w:t>
      </w:r>
    </w:p>
    <w:p>
      <w:pPr>
        <w:keepNext/>
        <w:ind w:left="1440"/>
        <w:rPr>
          <w:noProof/>
        </w:rPr>
      </w:pPr>
      <w:r>
        <w:rPr>
          <w:noProof/>
        </w:rPr>
        <w:t>1.1: Satisfaction rate of activities organised and (co-)financed through the programme.</w:t>
      </w:r>
    </w:p>
    <w:p>
      <w:pPr>
        <w:ind w:left="1440"/>
        <w:rPr>
          <w:noProof/>
        </w:rPr>
      </w:pPr>
      <w:r>
        <w:rPr>
          <w:noProof/>
        </w:rPr>
        <w:t>1.2: Percentage of Member States receiving support each year of the programme.</w:t>
      </w:r>
    </w:p>
    <w:p>
      <w:pPr>
        <w:rPr>
          <w:b/>
          <w:noProof/>
        </w:rPr>
      </w:pPr>
    </w:p>
    <w:p>
      <w:pPr>
        <w:rPr>
          <w:noProof/>
        </w:rPr>
      </w:pPr>
      <w:r>
        <w:rPr>
          <w:b/>
          <w:noProof/>
        </w:rPr>
        <w:t>Specific Objective 2</w:t>
      </w:r>
      <w:r>
        <w:rPr>
          <w:noProof/>
        </w:rPr>
        <w:t>: Supporting the reporting of irregularities, including fraud, with regard to the shared management and pre-accession assistance funds of the Union budget.</w:t>
      </w:r>
    </w:p>
    <w:p>
      <w:pPr>
        <w:ind w:left="720"/>
        <w:rPr>
          <w:noProof/>
        </w:rPr>
      </w:pPr>
      <w:r>
        <w:rPr>
          <w:b/>
          <w:noProof/>
        </w:rPr>
        <w:t>Indicator 2</w:t>
      </w:r>
      <w:r>
        <w:rPr>
          <w:noProof/>
        </w:rPr>
        <w:t>: User satisfaction rate for the use of Irregularities Management System.</w:t>
      </w:r>
    </w:p>
    <w:p>
      <w:pPr>
        <w:rPr>
          <w:b/>
          <w:noProof/>
        </w:rPr>
      </w:pPr>
    </w:p>
    <w:p>
      <w:pPr>
        <w:rPr>
          <w:noProof/>
        </w:rPr>
      </w:pPr>
      <w:r>
        <w:rPr>
          <w:b/>
          <w:noProof/>
        </w:rPr>
        <w:t>Specific Objective 3</w:t>
      </w:r>
      <w:r>
        <w:rPr>
          <w:noProof/>
        </w:rPr>
        <w:t>: Providing tools for information exchange and support for operational activities in the field of mutual administrative assistance in customs matters.</w:t>
      </w:r>
    </w:p>
    <w:p>
      <w:pPr>
        <w:ind w:left="720"/>
        <w:rPr>
          <w:noProof/>
        </w:rPr>
      </w:pPr>
      <w:r>
        <w:rPr>
          <w:b/>
          <w:noProof/>
        </w:rPr>
        <w:t>Indicator 3</w:t>
      </w:r>
      <w:r>
        <w:rPr>
          <w:noProof/>
        </w:rPr>
        <w:t>: Number of mutual assistance information made available and number of supported mutual assistance-related activities.</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7A27D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A285408"/>
    <w:lvl w:ilvl="0">
      <w:start w:val="1"/>
      <w:numFmt w:val="decimal"/>
      <w:pStyle w:val="ListNumber3"/>
      <w:lvlText w:val="%1."/>
      <w:lvlJc w:val="left"/>
      <w:pPr>
        <w:tabs>
          <w:tab w:val="num" w:pos="926"/>
        </w:tabs>
        <w:ind w:left="926" w:hanging="360"/>
      </w:pPr>
    </w:lvl>
  </w:abstractNum>
  <w:abstractNum w:abstractNumId="2">
    <w:nsid w:val="FFFFFF7F"/>
    <w:multiLevelType w:val="singleLevel"/>
    <w:tmpl w:val="82E06ED0"/>
    <w:lvl w:ilvl="0">
      <w:start w:val="1"/>
      <w:numFmt w:val="decimal"/>
      <w:pStyle w:val="ListNumber2"/>
      <w:lvlText w:val="%1."/>
      <w:lvlJc w:val="left"/>
      <w:pPr>
        <w:tabs>
          <w:tab w:val="num" w:pos="643"/>
        </w:tabs>
        <w:ind w:left="643" w:hanging="360"/>
      </w:pPr>
    </w:lvl>
  </w:abstractNum>
  <w:abstractNum w:abstractNumId="3">
    <w:nsid w:val="FFFFFF81"/>
    <w:multiLevelType w:val="singleLevel"/>
    <w:tmpl w:val="57B4015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4EA9A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A6217D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B242BC2"/>
    <w:lvl w:ilvl="0">
      <w:start w:val="1"/>
      <w:numFmt w:val="decimal"/>
      <w:pStyle w:val="ListNumber"/>
      <w:lvlText w:val="%1."/>
      <w:lvlJc w:val="left"/>
      <w:pPr>
        <w:tabs>
          <w:tab w:val="num" w:pos="360"/>
        </w:tabs>
        <w:ind w:left="360" w:hanging="360"/>
      </w:pPr>
    </w:lvl>
  </w:abstractNum>
  <w:abstractNum w:abstractNumId="7">
    <w:nsid w:val="FFFFFF89"/>
    <w:multiLevelType w:val="singleLevel"/>
    <w:tmpl w:val="D3C827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2 19:08:3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2"/>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2"/>
    <w:docVar w:name="LW_ANNEX_UNIQUE" w:val="0"/>
    <w:docVar w:name="LW_CORRIGENDUM" w:val="&lt;UNUSED&gt;"/>
    <w:docVar w:name="LW_COVERPAGE_EXISTS" w:val="True"/>
    <w:docVar w:name="LW_COVERPAGE_GUID" w:val="E60AF6BA-F122-40B6-93CE-12706736EB58"/>
    <w:docVar w:name="LW_COVERPAGE_TYPE" w:val="1"/>
    <w:docVar w:name="LW_CROSSREFERENCE" w:val="{SWD(2018) 294 final}"/>
    <w:docVar w:name="LW_DocType" w:val="ANNEX"/>
    <w:docVar w:name="LW_EMISSION" w:val="30.5.2018"/>
    <w:docVar w:name="LW_EMISSION_ISODATE" w:val="2018-05-30"/>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establishing the EU Anti-Fraud Programme "/>
    <w:docVar w:name="LW_OBJETACTEPRINCIPAL.CP" w:val="establishing the EU Anti-Fraud Programme "/>
    <w:docVar w:name="LW_PART_NBR" w:val="&lt;UNUSED&gt;"/>
    <w:docVar w:name="LW_PART_NBR_TOTAL" w:val="&lt;UNUSED&gt;"/>
    <w:docVar w:name="LW_REF.INST.NEW" w:val="COM"/>
    <w:docVar w:name="LW_REF.INST.NEW_ADOPTED" w:val="final"/>
    <w:docVar w:name="LW_REF.INST.NEW_TEXT" w:val="(2018) 3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REGULATION OF THE EUROPEAN PARLIAMENT AND OF THE COUNCIL"/>
    <w:docVar w:name="LW_TYPEACTEPRINCIPAL.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69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F5F58-CA33-4C64-8C03-CA22190ED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3</Pages>
  <Words>523</Words>
  <Characters>3052</Characters>
  <Application>Microsoft Office Word</Application>
  <DocSecurity>0</DocSecurity>
  <Lines>64</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LEKIC Ivica (OLAF)</dc:creator>
  <cp:lastModifiedBy>DIGIT/A3</cp:lastModifiedBy>
  <cp:revision>7</cp:revision>
  <cp:lastPrinted>2018-05-17T16:52:00Z</cp:lastPrinted>
  <dcterms:created xsi:type="dcterms:W3CDTF">2018-05-28T17:12:00Z</dcterms:created>
  <dcterms:modified xsi:type="dcterms:W3CDTF">2018-05-29T08:42:00Z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