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B637DA2-B2F6-4B7B-8A8F-B059637FE8A3" style="width:450.75pt;height:420.75pt">
            <v:imagedata r:id="rId9" o:title=""/>
          </v:shape>
        </w:pict>
      </w:r>
    </w:p>
    <w:bookmarkEnd w:id="0"/>
    <w:p>
      <w:pPr>
        <w:rPr>
          <w:rFonts w:ascii="Times New Roman" w:hAnsi="Times New Roman" w:cs="Times New Roman"/>
          <w:noProof/>
          <w:sz w:val="24"/>
          <w:szCs w:val="24"/>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tabs>
          <w:tab w:val="left" w:pos="6510"/>
          <w:tab w:val="center" w:pos="6979"/>
        </w:tabs>
        <w:rPr>
          <w:rFonts w:ascii="Times New Roman" w:hAnsi="Times New Roman" w:cs="Times New Roman"/>
          <w:noProof/>
          <w:sz w:val="24"/>
          <w:szCs w:val="24"/>
          <w:lang w:val="en-GB"/>
        </w:rPr>
      </w:pPr>
      <w:bookmarkStart w:id="1" w:name="_GoBack"/>
      <w:bookmarkEnd w:id="1"/>
      <w:r>
        <w:rPr>
          <w:rFonts w:ascii="Times New Roman" w:hAnsi="Times New Roman" w:cs="Times New Roman"/>
          <w:noProof/>
          <w:sz w:val="24"/>
          <w:szCs w:val="24"/>
          <w:lang w:val="en-GB"/>
        </w:rPr>
        <w:lastRenderedPageBreak/>
        <w:tab/>
      </w:r>
      <w:r>
        <w:rPr>
          <w:rFonts w:ascii="Times New Roman" w:hAnsi="Times New Roman" w:cs="Times New Roman"/>
          <w:noProof/>
          <w:sz w:val="24"/>
          <w:szCs w:val="24"/>
          <w:lang w:val="en-GB"/>
        </w:rPr>
        <w:tab/>
        <w:t xml:space="preserve">ANNEX I </w:t>
      </w:r>
    </w:p>
    <w:p>
      <w:pPr>
        <w:tabs>
          <w:tab w:val="left" w:pos="6510"/>
          <w:tab w:val="center" w:pos="6979"/>
        </w:tabs>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The following Annexes III and IV are added to Regulation (EC) No 1224/2009</w:t>
      </w:r>
    </w:p>
    <w:p>
      <w:pPr>
        <w:jc w:val="center"/>
        <w:rPr>
          <w:rFonts w:ascii="Times New Roman" w:hAnsi="Times New Roman" w:cs="Times New Roman"/>
          <w:b/>
          <w:noProof/>
          <w:sz w:val="24"/>
          <w:szCs w:val="24"/>
          <w:lang w:val="en-GB"/>
        </w:rPr>
      </w:pPr>
      <w:r>
        <w:rPr>
          <w:rFonts w:ascii="Times New Roman" w:hAnsi="Times New Roman" w:cs="Times New Roman"/>
          <w:noProof/>
          <w:sz w:val="24"/>
          <w:szCs w:val="24"/>
          <w:lang w:val="en-GB"/>
        </w:rPr>
        <w:t>"</w:t>
      </w:r>
      <w:r>
        <w:rPr>
          <w:rFonts w:ascii="Times New Roman" w:hAnsi="Times New Roman" w:cs="Times New Roman"/>
          <w:b/>
          <w:noProof/>
          <w:sz w:val="24"/>
          <w:szCs w:val="24"/>
          <w:lang w:val="en-GB"/>
        </w:rPr>
        <w:t>ANNEX III</w:t>
      </w:r>
    </w:p>
    <w:p>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POINTS TO BE ASSIGNED TO UNION FISHING LICENCE HOLDERS OR UNION MASTERS FOR SERIOUS INFRINGEMENTS</w:t>
      </w:r>
    </w:p>
    <w:tbl>
      <w:tblPr>
        <w:tblStyle w:val="TableGrid"/>
        <w:tblW w:w="5000" w:type="pct"/>
        <w:tblLook w:val="04A0" w:firstRow="1" w:lastRow="0" w:firstColumn="1" w:lastColumn="0" w:noHBand="0" w:noVBand="1"/>
      </w:tblPr>
      <w:tblGrid>
        <w:gridCol w:w="3259"/>
        <w:gridCol w:w="8233"/>
        <w:gridCol w:w="3295"/>
      </w:tblGrid>
      <w:tr>
        <w:trPr>
          <w:trHeight w:val="143"/>
          <w:tblHeader/>
        </w:trPr>
        <w:tc>
          <w:tcPr>
            <w:tcW w:w="1102" w:type="pct"/>
          </w:tcPr>
          <w:p>
            <w:pPr>
              <w:jc w:val="center"/>
              <w:rPr>
                <w:rFonts w:ascii="Times New Roman" w:hAnsi="Times New Roman" w:cs="Times New Roman"/>
                <w:noProof/>
                <w:sz w:val="24"/>
                <w:szCs w:val="24"/>
              </w:rPr>
            </w:pPr>
            <w:r>
              <w:rPr>
                <w:rFonts w:ascii="Times New Roman" w:hAnsi="Times New Roman" w:cs="Times New Roman"/>
                <w:noProof/>
                <w:sz w:val="24"/>
                <w:szCs w:val="24"/>
              </w:rPr>
              <w:t>No</w:t>
            </w:r>
          </w:p>
        </w:tc>
        <w:tc>
          <w:tcPr>
            <w:tcW w:w="2784" w:type="pct"/>
          </w:tcPr>
          <w:p>
            <w:pPr>
              <w:autoSpaceDE w:val="0"/>
              <w:autoSpaceDN w:val="0"/>
              <w:adjustRightInd w:val="0"/>
              <w:spacing w:before="60" w:after="6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Serious infringement</w:t>
            </w:r>
          </w:p>
        </w:tc>
        <w:tc>
          <w:tcPr>
            <w:tcW w:w="1114" w:type="pct"/>
          </w:tcPr>
          <w:p>
            <w:pPr>
              <w:jc w:val="center"/>
              <w:rPr>
                <w:rFonts w:ascii="Times New Roman" w:hAnsi="Times New Roman" w:cs="Times New Roman"/>
                <w:noProof/>
                <w:sz w:val="24"/>
                <w:szCs w:val="24"/>
              </w:rPr>
            </w:pPr>
            <w:r>
              <w:rPr>
                <w:rFonts w:ascii="Times New Roman" w:hAnsi="Times New Roman" w:cs="Times New Roman"/>
                <w:noProof/>
                <w:sz w:val="24"/>
                <w:szCs w:val="24"/>
              </w:rPr>
              <w:t>points</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w:t>
            </w:r>
          </w:p>
          <w:p>
            <w:pPr>
              <w:jc w:val="center"/>
              <w:rPr>
                <w:rFonts w:ascii="Times New Roman" w:hAnsi="Times New Roman" w:cs="Times New Roman"/>
                <w:noProof/>
                <w:sz w:val="24"/>
                <w:szCs w:val="24"/>
              </w:rPr>
            </w:pPr>
          </w:p>
        </w:tc>
        <w:tc>
          <w:tcPr>
            <w:tcW w:w="2784" w:type="pct"/>
            <w:vAlign w:val="center"/>
          </w:tcPr>
          <w:p>
            <w:pPr>
              <w:autoSpaceDE w:val="0"/>
              <w:autoSpaceDN w:val="0"/>
              <w:adjustRightInd w:val="0"/>
              <w:spacing w:before="60" w:after="60"/>
              <w:rPr>
                <w:rFonts w:ascii="Times New Roman" w:hAnsi="Times New Roman" w:cs="Times New Roman"/>
                <w:noProof/>
                <w:color w:val="000000"/>
                <w:sz w:val="24"/>
                <w:szCs w:val="24"/>
                <w:lang w:val="en-US"/>
              </w:rPr>
            </w:pPr>
            <w:r>
              <w:rPr>
                <w:rFonts w:ascii="Times New Roman" w:hAnsi="Times New Roman" w:cs="Times New Roman"/>
                <w:noProof/>
                <w:sz w:val="24"/>
                <w:szCs w:val="24"/>
              </w:rPr>
              <w:t>Not fulfilling of obligations to accurately record and report data relating to fishing activities, including data to be transmitted by vessel monitoring system and prior notices, as required under the rules of the common fisheries policy.</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color w:val="000000"/>
                <w:sz w:val="24"/>
                <w:szCs w:val="24"/>
              </w:rPr>
              <w:t>3</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color w:val="000000"/>
                <w:sz w:val="24"/>
                <w:szCs w:val="24"/>
              </w:rPr>
              <w:t>2</w:t>
            </w:r>
            <w:r>
              <w:rPr>
                <w:rFonts w:ascii="Times New Roman" w:hAnsi="Times New Roman" w:cs="Times New Roman"/>
                <w:noProof/>
                <w:sz w:val="24"/>
                <w:szCs w:val="24"/>
              </w:rPr>
              <w:t xml:space="preserve"> </w:t>
            </w:r>
          </w:p>
          <w:p>
            <w:pPr>
              <w:jc w:val="center"/>
              <w:rPr>
                <w:rFonts w:ascii="Times New Roman" w:hAnsi="Times New Roman" w:cs="Times New Roman"/>
                <w:noProof/>
                <w:color w:val="000000"/>
                <w:sz w:val="24"/>
                <w:szCs w:val="24"/>
              </w:rPr>
            </w:pPr>
          </w:p>
        </w:tc>
        <w:tc>
          <w:tcPr>
            <w:tcW w:w="2784" w:type="pct"/>
            <w:vAlign w:val="center"/>
          </w:tcPr>
          <w:p>
            <w:pPr>
              <w:autoSpaceDE w:val="0"/>
              <w:autoSpaceDN w:val="0"/>
              <w:adjustRightInd w:val="0"/>
              <w:spacing w:before="60" w:after="60"/>
              <w:rPr>
                <w:rFonts w:ascii="Times New Roman" w:hAnsi="Times New Roman" w:cs="Times New Roman"/>
                <w:bCs/>
                <w:noProof/>
                <w:color w:val="000000"/>
                <w:sz w:val="24"/>
                <w:szCs w:val="24"/>
              </w:rPr>
            </w:pPr>
            <w:r>
              <w:rPr>
                <w:rFonts w:ascii="Times New Roman" w:hAnsi="Times New Roman" w:cs="Times New Roman"/>
                <w:noProof/>
                <w:sz w:val="24"/>
                <w:szCs w:val="24"/>
              </w:rPr>
              <w:t>Not making available of a catch declaration or a landing declaration to the third country and not sending an electronic copy of it to the flag Member States as required under in paragraph 1 of Article 30 of the Regulation (EU) 2017/2403.</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w:t>
            </w:r>
          </w:p>
        </w:tc>
      </w:tr>
      <w:tr>
        <w:tc>
          <w:tcPr>
            <w:tcW w:w="1102" w:type="pct"/>
            <w:vAlign w:val="center"/>
          </w:tcPr>
          <w:p>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w:t>
            </w:r>
          </w:p>
        </w:tc>
        <w:tc>
          <w:tcPr>
            <w:tcW w:w="2784" w:type="pct"/>
            <w:vAlign w:val="center"/>
          </w:tcPr>
          <w:p>
            <w:pPr>
              <w:jc w:val="both"/>
              <w:rPr>
                <w:rFonts w:ascii="Times New Roman" w:hAnsi="Times New Roman" w:cs="Times New Roman"/>
                <w:b/>
                <w:noProof/>
                <w:color w:val="FF0000"/>
                <w:sz w:val="24"/>
                <w:szCs w:val="24"/>
              </w:rPr>
            </w:pPr>
            <w:r>
              <w:rPr>
                <w:rFonts w:ascii="Times New Roman" w:hAnsi="Times New Roman" w:cs="Times New Roman"/>
                <w:noProof/>
                <w:sz w:val="24"/>
                <w:szCs w:val="24"/>
              </w:rPr>
              <w:t>Not transmitting a landing declaration or a sales note to the flag Member State when the landing of the catch has taken place in the port of a third country, or a transhipment declaration or a transfer declaration, when the operation has taken place outside Union waters.</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2784" w:type="pct"/>
            <w:vAlign w:val="center"/>
          </w:tcPr>
          <w:p>
            <w:pPr>
              <w:autoSpaceDE w:val="0"/>
              <w:autoSpaceDN w:val="0"/>
              <w:adjustRightInd w:val="0"/>
              <w:spacing w:before="60" w:after="60"/>
              <w:rPr>
                <w:rFonts w:ascii="Times New Roman" w:hAnsi="Times New Roman" w:cs="Times New Roman"/>
                <w:bCs/>
                <w:noProof/>
                <w:color w:val="000000"/>
                <w:sz w:val="24"/>
                <w:szCs w:val="24"/>
              </w:rPr>
            </w:pPr>
            <w:r>
              <w:rPr>
                <w:rFonts w:ascii="Times New Roman" w:hAnsi="Times New Roman" w:cs="Times New Roman"/>
                <w:noProof/>
                <w:sz w:val="24"/>
                <w:szCs w:val="24"/>
              </w:rPr>
              <w:t>Using non-compliant fishing gear.</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4</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784" w:type="pct"/>
            <w:vAlign w:val="center"/>
          </w:tcPr>
          <w:p>
            <w:pPr>
              <w:autoSpaceDE w:val="0"/>
              <w:autoSpaceDN w:val="0"/>
              <w:adjustRightInd w:val="0"/>
              <w:spacing w:before="60" w:after="60"/>
              <w:rPr>
                <w:rFonts w:ascii="Times New Roman" w:hAnsi="Times New Roman" w:cs="Times New Roman"/>
                <w:noProof/>
                <w:color w:val="000000"/>
                <w:sz w:val="24"/>
                <w:szCs w:val="24"/>
                <w:lang w:val="en-US"/>
              </w:rPr>
            </w:pPr>
            <w:r>
              <w:rPr>
                <w:rFonts w:ascii="Times New Roman" w:hAnsi="Times New Roman" w:cs="Times New Roman"/>
                <w:noProof/>
                <w:sz w:val="24"/>
                <w:szCs w:val="24"/>
              </w:rPr>
              <w:t>Not fulfilling obligations related to the use of fishing gears as set in the rules of the common fisheries policy.</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color w:val="000000"/>
                <w:sz w:val="24"/>
                <w:szCs w:val="24"/>
              </w:rPr>
              <w:t>4</w:t>
            </w:r>
          </w:p>
        </w:tc>
      </w:tr>
      <w:tr>
        <w:tc>
          <w:tcPr>
            <w:tcW w:w="1102" w:type="pct"/>
            <w:vAlign w:val="center"/>
          </w:tcPr>
          <w:p>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6</w:t>
            </w:r>
          </w:p>
          <w:p>
            <w:pPr>
              <w:jc w:val="center"/>
              <w:rPr>
                <w:rFonts w:ascii="Times New Roman" w:hAnsi="Times New Roman" w:cs="Times New Roman"/>
                <w:noProof/>
                <w:color w:val="000000"/>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Manipulating of an engine or of continuous engine power monitoring devices with the aim of increasing its power beyond the maximum continuous engine power according to the engine certificate.</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7</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color w:val="000000"/>
                <w:sz w:val="24"/>
                <w:szCs w:val="24"/>
                <w:lang w:val="en-US"/>
              </w:rPr>
            </w:pPr>
            <w:r>
              <w:rPr>
                <w:rFonts w:ascii="Times New Roman" w:hAnsi="Times New Roman" w:cs="Times New Roman"/>
                <w:bCs/>
                <w:noProof/>
                <w:color w:val="000000"/>
                <w:sz w:val="24"/>
                <w:szCs w:val="24"/>
              </w:rPr>
              <w:t>Falsifying or concealing markings of fishing vessel or fishing gear, identity or registration of a fishing vessel.</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color w:val="000000"/>
                <w:sz w:val="24"/>
                <w:szCs w:val="24"/>
              </w:rPr>
              <w:t>5</w:t>
            </w:r>
          </w:p>
        </w:tc>
      </w:tr>
      <w:tr>
        <w:tc>
          <w:tcPr>
            <w:tcW w:w="1102" w:type="pct"/>
            <w:vAlign w:val="center"/>
          </w:tcPr>
          <w:p>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8</w:t>
            </w:r>
          </w:p>
          <w:p>
            <w:pPr>
              <w:jc w:val="center"/>
              <w:rPr>
                <w:rFonts w:ascii="Times New Roman" w:hAnsi="Times New Roman" w:cs="Times New Roman"/>
                <w:noProof/>
                <w:color w:val="000000"/>
                <w:sz w:val="24"/>
                <w:szCs w:val="24"/>
              </w:rPr>
            </w:pPr>
          </w:p>
        </w:tc>
        <w:tc>
          <w:tcPr>
            <w:tcW w:w="2784" w:type="pct"/>
            <w:vAlign w:val="center"/>
          </w:tcPr>
          <w:p>
            <w:pPr>
              <w:jc w:val="both"/>
              <w:rPr>
                <w:rFonts w:ascii="Times New Roman" w:hAnsi="Times New Roman" w:cs="Times New Roman"/>
                <w:bCs/>
                <w:noProof/>
                <w:color w:val="000000"/>
                <w:sz w:val="24"/>
                <w:szCs w:val="24"/>
              </w:rPr>
            </w:pPr>
            <w:r>
              <w:rPr>
                <w:rFonts w:ascii="Times New Roman" w:hAnsi="Times New Roman" w:cs="Times New Roman"/>
                <w:noProof/>
                <w:sz w:val="24"/>
                <w:szCs w:val="24"/>
              </w:rPr>
              <w:t xml:space="preserve">Falsifying documents, data or information or using of falsified or invalid documents, data or information required under the rules of the common fisheries policy, including documents, data and information as referred to in Council Regulation (EC) No 1005/2008; </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9</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color w:val="000000"/>
                <w:sz w:val="24"/>
                <w:szCs w:val="24"/>
                <w:lang w:val="en-US"/>
              </w:rPr>
            </w:pPr>
            <w:r>
              <w:rPr>
                <w:rFonts w:ascii="Times New Roman" w:hAnsi="Times New Roman" w:cs="Times New Roman"/>
                <w:bCs/>
                <w:noProof/>
                <w:color w:val="000000"/>
                <w:sz w:val="24"/>
                <w:szCs w:val="24"/>
                <w:lang w:val="en-US"/>
              </w:rPr>
              <w:t>Concealing, tampering or disposal of evidence relating to an investigation.</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color w:val="000000"/>
                <w:sz w:val="24"/>
                <w:szCs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10</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bCs/>
                <w:noProof/>
                <w:color w:val="000000"/>
                <w:sz w:val="24"/>
                <w:szCs w:val="24"/>
                <w:lang w:val="en-US"/>
              </w:rPr>
            </w:pPr>
            <w:r>
              <w:rPr>
                <w:rFonts w:ascii="Times New Roman" w:hAnsi="Times New Roman" w:cs="Times New Roman"/>
                <w:noProof/>
                <w:sz w:val="24"/>
                <w:szCs w:val="24"/>
              </w:rPr>
              <w:t xml:space="preserve">Committing multiple </w:t>
            </w:r>
            <w:r>
              <w:rPr>
                <w:rFonts w:ascii="Times New Roman" w:hAnsi="Times New Roman" w:cs="Times New Roman"/>
                <w:bCs/>
                <w:noProof/>
                <w:color w:val="000000"/>
                <w:sz w:val="24"/>
                <w:szCs w:val="24"/>
                <w:lang w:val="en-US"/>
              </w:rPr>
              <w:t>infringements</w:t>
            </w:r>
            <w:r>
              <w:rPr>
                <w:rFonts w:ascii="Times New Roman" w:hAnsi="Times New Roman" w:cs="Times New Roman"/>
                <w:noProof/>
                <w:sz w:val="24"/>
                <w:szCs w:val="24"/>
              </w:rPr>
              <w:t xml:space="preserve"> which together constitute a serious disregard of conservation and management measures.</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11</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Failing to bring and retain on board the fishing vessel, including through slipping, and to tranship, transfer and land any undersized catches in contravention of the legislation in force or catches of species subject to the landing obligation set out in Article 15 of Regulation (EU) No 1380/2013, unless the bringing and retention on board and the landing of such catches would be contrary to obligations including for regional fisheries management organisation areas or subject to exemptions provided for in the rules of the common fisheries policy in fisheries or fishing zones where such rules apply.</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12</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Carrying out fishing activities in the area of a regional fisheries management organisation in a manner inconsistent with or in contravention of the conservation and management measures of that organisation.</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13</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Conducting transfer operations in breach of the common fisheries policy rules or the applicable conservation and management measures adopted by regional fisheries management organisations.</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14</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Landing in ports of third countries without prior notification as referred to in Article 19a of this Regulation; or landing fisheries products stemming from IUU fishing activities.</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15</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Using prohibited fishing gear.</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6</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16</w:t>
            </w:r>
          </w:p>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Fishing in a restricted or closed area, or a fish stock recovery area, or during a closed season, or without or after attainment of a quota or beyond a closed depth.</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6</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17</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Fishing without a valid licence, authorisation or permit issued by the flag State or the relevant coastal State.</w:t>
            </w:r>
          </w:p>
          <w:p>
            <w:pPr>
              <w:rPr>
                <w:rFonts w:ascii="Times New Roman" w:hAnsi="Times New Roman" w:cs="Times New Roman"/>
                <w:noProof/>
                <w:sz w:val="24"/>
                <w:szCs w:val="24"/>
              </w:rPr>
            </w:pP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 xml:space="preserve">18 </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Engaging in directed fishing, retaining on board, transhipping, transferring or landing species which is subject to a moratorium, a closed season or for which fishing is prohibited.</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19</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Obstructing the work of officials or observers in the exercise of their duties.</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20</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Transhipping from or to, or conducting transfer operations with, participating in joint fishing operations with, supporting or supplying vessels, engaged in IUU fishing as defined under Council Regulation (EC) No 1005/2008, in particular those listed in the IUU vessel list of the Union or of a regional fisheries management organisation, as referred to in Articles 29 and 30 of Council Regulation (EC) No 1005/2008.</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21</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Transhipping without the required authorisation or where such transhipment is prohibited.</w:t>
            </w: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22</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Being involved in the operation, management, ownership of, or being hired on, a vessel engaged in IUU fishing as defined under Council Regulation (EC) No 1005/2008, in particular those listed in the IUU vessel list of the Union or of a regional fisheries management organisation as referred to in Articles 29 and 30 of Council Regulation (EC) No 1005/2008. </w:t>
            </w:r>
          </w:p>
          <w:p>
            <w:pPr>
              <w:jc w:val="both"/>
              <w:rPr>
                <w:rFonts w:ascii="Times New Roman" w:hAnsi="Times New Roman" w:cs="Times New Roman"/>
                <w:noProof/>
                <w:sz w:val="24"/>
                <w:szCs w:val="24"/>
              </w:rPr>
            </w:pPr>
          </w:p>
        </w:tc>
        <w:tc>
          <w:tcPr>
            <w:tcW w:w="1114" w:type="pct"/>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7</w:t>
            </w:r>
          </w:p>
        </w:tc>
      </w:tr>
    </w:tbl>
    <w:p>
      <w:pPr>
        <w:jc w:val="cente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br w:type="page"/>
      </w:r>
    </w:p>
    <w:p>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ANNEX IV</w:t>
      </w:r>
      <w:r>
        <w:rPr>
          <w:rFonts w:ascii="Times New Roman" w:hAnsi="Times New Roman" w:cs="Times New Roman"/>
          <w:noProof/>
          <w:sz w:val="24"/>
          <w:szCs w:val="24"/>
          <w:vertAlign w:val="superscript"/>
          <w:lang w:val="en-GB"/>
        </w:rPr>
        <w:footnoteReference w:id="2"/>
      </w:r>
    </w:p>
    <w:p>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Alternative criteria to qualify an infringement as serious, in accordance with Article 90(3) of this Regulation</w:t>
      </w:r>
    </w:p>
    <w:tbl>
      <w:tblPr>
        <w:tblStyle w:val="TableGrid1"/>
        <w:tblW w:w="0" w:type="auto"/>
        <w:tblLook w:val="04A0" w:firstRow="1" w:lastRow="0" w:firstColumn="1" w:lastColumn="0" w:noHBand="0" w:noVBand="1"/>
      </w:tblPr>
      <w:tblGrid>
        <w:gridCol w:w="6906"/>
        <w:gridCol w:w="6906"/>
      </w:tblGrid>
      <w:tr>
        <w:trPr>
          <w:trHeight w:val="146"/>
          <w:tblHeader/>
        </w:trPr>
        <w:tc>
          <w:tcPr>
            <w:tcW w:w="6906" w:type="dxa"/>
            <w:shd w:val="clear" w:color="auto" w:fill="EEECE1" w:themeFill="background2"/>
          </w:tcPr>
          <w:p>
            <w:pPr>
              <w:rPr>
                <w:rFonts w:ascii="Times New Roman" w:hAnsi="Times New Roman" w:cs="Times New Roman"/>
                <w:noProof/>
                <w:sz w:val="24"/>
                <w:szCs w:val="24"/>
                <w:lang w:val="en-GB"/>
              </w:rPr>
            </w:pPr>
            <w:r>
              <w:rPr>
                <w:rFonts w:ascii="Times New Roman" w:hAnsi="Times New Roman" w:cs="Times New Roman"/>
                <w:noProof/>
                <w:sz w:val="24"/>
                <w:szCs w:val="24"/>
                <w:lang w:val="en-GB"/>
              </w:rPr>
              <w:t>Activities</w:t>
            </w:r>
          </w:p>
        </w:tc>
        <w:tc>
          <w:tcPr>
            <w:tcW w:w="6906" w:type="dxa"/>
            <w:shd w:val="clear" w:color="auto" w:fill="EEECE1" w:themeFill="background2"/>
          </w:tcPr>
          <w:p>
            <w:pPr>
              <w:rPr>
                <w:rFonts w:ascii="Times New Roman" w:hAnsi="Times New Roman" w:cs="Times New Roman"/>
                <w:noProof/>
                <w:sz w:val="24"/>
                <w:szCs w:val="24"/>
                <w:lang w:val="en-GB"/>
              </w:rPr>
            </w:pPr>
            <w:r>
              <w:rPr>
                <w:rFonts w:ascii="Times New Roman" w:hAnsi="Times New Roman" w:cs="Times New Roman"/>
                <w:noProof/>
                <w:sz w:val="24"/>
                <w:szCs w:val="24"/>
                <w:lang w:val="en-GB"/>
              </w:rPr>
              <w:t>Criteria</w:t>
            </w:r>
          </w:p>
        </w:tc>
      </w:tr>
      <w:tr>
        <w:tc>
          <w:tcPr>
            <w:tcW w:w="6906" w:type="dxa"/>
          </w:tcPr>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90(3)(a)</w:t>
            </w:r>
            <w:r>
              <w:rPr>
                <w:rFonts w:ascii="Times New Roman" w:hAnsi="Times New Roman" w:cs="Times New Roman"/>
                <w:noProof/>
                <w:sz w:val="24"/>
                <w:szCs w:val="24"/>
                <w:lang w:val="en-GB"/>
              </w:rPr>
              <w:tab/>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Not fulfilling of obligations to accurately record and report data relating to fishing activities, including data to be transmitted by vessel monitoring system and prior notices, as required under the rules of the common fisheries policy;</w:t>
            </w:r>
          </w:p>
          <w:p>
            <w:pPr>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90(3)(b)</w:t>
            </w:r>
            <w:r>
              <w:rPr>
                <w:rFonts w:ascii="Times New Roman" w:hAnsi="Times New Roman" w:cs="Times New Roman"/>
                <w:noProof/>
                <w:sz w:val="24"/>
                <w:szCs w:val="24"/>
                <w:lang w:val="en-GB"/>
              </w:rPr>
              <w:tab/>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Not making available of a catch declaration or a landing declaration to the third country and not sending an electronic copy of it to their flag Member States as required under in paragraph 1 of Article 30 of the Regulation (EU) 2017/2403; </w:t>
            </w:r>
          </w:p>
          <w:p>
            <w:pPr>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90(3)(e)</w:t>
            </w:r>
            <w:r>
              <w:rPr>
                <w:rFonts w:ascii="Times New Roman" w:hAnsi="Times New Roman" w:cs="Times New Roman"/>
                <w:noProof/>
                <w:sz w:val="24"/>
                <w:szCs w:val="24"/>
                <w:lang w:val="en-GB"/>
              </w:rPr>
              <w:tab/>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Failing to bring and retain on board the fishing vessel, including through slipping, and to tranship, transfer and land any undersized catches in contravention of the legislation in force or catches of species subject to the landing obligation set out in Article 15 of Regulation (EU) No 1380/2013, unless the bringing and retention on board and the landing of such catches would be contrary to obligations including for regional fisheries management organisation areas or subject to exemptions provided for in the rules of the common fisheries policy in fisheries or fishing zones where such rules apply; </w:t>
            </w:r>
          </w:p>
          <w:p>
            <w:pPr>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90(3)(f)</w:t>
            </w:r>
            <w:r>
              <w:rPr>
                <w:rFonts w:ascii="Times New Roman" w:hAnsi="Times New Roman" w:cs="Times New Roman"/>
                <w:noProof/>
                <w:sz w:val="24"/>
                <w:szCs w:val="24"/>
                <w:lang w:val="en-GB"/>
              </w:rPr>
              <w:tab/>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Carrying out fishing activities in the area of a regional fisheries management organisation in a manner inconsistent with or in contravention of the conservation and management measures of that organisation.</w:t>
            </w:r>
          </w:p>
        </w:tc>
        <w:tc>
          <w:tcPr>
            <w:tcW w:w="6906" w:type="dxa"/>
          </w:tcPr>
          <w:p>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the catches related to the suspected infringement occurred: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in a closed area; or</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beyond a closed depth;</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GB"/>
              </w:rPr>
              <w:t>the infringement is the second one detected in the preceding twelve months;</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catches related to the suspected infringement represent quantities that are equal to or more than twice above the permitted margins of tolerance referred to in Article 14(3) and Article 21(3) of this Regulation;</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catches related to the suspected infringement correspond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to quantities more than 100 kilos or 20% of the total quantities mentioned in the logbook or landing or transhipment declaration, or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 a value of 10% of the total value of fisheries products,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when the infringement is related to any of the following species:</w:t>
            </w: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minimum conservation reference size under the rules of the common fisheries policy; </w:t>
            </w: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the landing obligation as referred to in Article 15 of Regulation 1380/2013;</w:t>
            </w: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fishing opportunities under the rules of the common fisheries policy;</w:t>
            </w: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multiannual plans;</w:t>
            </w:r>
          </w:p>
          <w:p>
            <w:pPr>
              <w:ind w:left="720"/>
              <w:contextualSpacing/>
              <w:rPr>
                <w:rFonts w:ascii="Times New Roman" w:hAnsi="Times New Roman" w:cs="Times New Roman"/>
                <w:noProof/>
                <w:sz w:val="24"/>
                <w:szCs w:val="24"/>
                <w:lang w:val="en-GB"/>
              </w:rPr>
            </w:pP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moratorium, a closed season or for which fishing is prohibited;</w:t>
            </w: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regulated by a regional fisheries management organisation.</w:t>
            </w:r>
          </w:p>
        </w:tc>
      </w:tr>
      <w:tr>
        <w:trPr>
          <w:trHeight w:val="146"/>
        </w:trPr>
        <w:tc>
          <w:tcPr>
            <w:tcW w:w="6906" w:type="dxa"/>
          </w:tcPr>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90(3)(g)</w:t>
            </w:r>
            <w:r>
              <w:rPr>
                <w:rFonts w:ascii="Times New Roman" w:hAnsi="Times New Roman" w:cs="Times New Roman"/>
                <w:noProof/>
                <w:sz w:val="24"/>
                <w:szCs w:val="24"/>
                <w:lang w:val="en-GB"/>
              </w:rPr>
              <w:tab/>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Making available on the market fisheries products in breach of the rules of the common fisheries policy </w:t>
            </w:r>
          </w:p>
          <w:p>
            <w:pPr>
              <w:jc w:val="both"/>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p>
        </w:tc>
        <w:tc>
          <w:tcPr>
            <w:tcW w:w="6906" w:type="dxa"/>
          </w:tcPr>
          <w:p>
            <w:pPr>
              <w:rPr>
                <w:rFonts w:ascii="Times New Roman" w:hAnsi="Times New Roman" w:cs="Times New Roman"/>
                <w:noProof/>
                <w:sz w:val="24"/>
                <w:szCs w:val="24"/>
                <w:lang w:val="en-US"/>
              </w:rPr>
            </w:pPr>
            <w:r>
              <w:rPr>
                <w:rFonts w:ascii="Times New Roman" w:hAnsi="Times New Roman" w:cs="Times New Roman"/>
                <w:noProof/>
                <w:sz w:val="24"/>
                <w:szCs w:val="24"/>
                <w:lang w:val="en-US"/>
              </w:rPr>
              <w:t>- the suspected infringement is a second one detected in the preceding twelve months;</w:t>
            </w:r>
          </w:p>
          <w:p>
            <w:pPr>
              <w:rPr>
                <w:rFonts w:ascii="Times New Roman" w:hAnsi="Times New Roman" w:cs="Times New Roman"/>
                <w:noProof/>
                <w:sz w:val="24"/>
                <w:szCs w:val="24"/>
                <w:lang w:val="en-US"/>
              </w:rPr>
            </w:pPr>
          </w:p>
          <w:p>
            <w:pPr>
              <w:rPr>
                <w:rFonts w:ascii="Times New Roman" w:hAnsi="Times New Roman" w:cs="Times New Roman"/>
                <w:noProof/>
                <w:sz w:val="24"/>
                <w:szCs w:val="24"/>
                <w:lang w:val="en-US"/>
              </w:rPr>
            </w:pPr>
            <w:r>
              <w:rPr>
                <w:rFonts w:ascii="Times New Roman" w:hAnsi="Times New Roman" w:cs="Times New Roman"/>
                <w:noProof/>
                <w:sz w:val="24"/>
                <w:szCs w:val="24"/>
                <w:lang w:val="en-US"/>
              </w:rPr>
              <w:t>- the suspected infringement is related to marketing of IUU products knowingly or in contravention to the IUU Regulation</w:t>
            </w:r>
          </w:p>
          <w:p>
            <w:pPr>
              <w:rPr>
                <w:rFonts w:ascii="Times New Roman" w:hAnsi="Times New Roman" w:cs="Times New Roman"/>
                <w:noProof/>
                <w:sz w:val="24"/>
                <w:szCs w:val="24"/>
                <w:lang w:val="en-US"/>
              </w:rPr>
            </w:pPr>
          </w:p>
          <w:p>
            <w:pPr>
              <w:rPr>
                <w:rFonts w:ascii="Times New Roman" w:hAnsi="Times New Roman" w:cs="Times New Roman"/>
                <w:noProof/>
                <w:sz w:val="24"/>
                <w:szCs w:val="24"/>
                <w:lang w:val="en-US"/>
              </w:rPr>
            </w:pPr>
            <w:r>
              <w:rPr>
                <w:rFonts w:ascii="Times New Roman" w:hAnsi="Times New Roman" w:cs="Times New Roman"/>
                <w:noProof/>
                <w:sz w:val="24"/>
                <w:szCs w:val="24"/>
                <w:lang w:val="en-US"/>
              </w:rPr>
              <w:t>- when the direct sale was made with a non-registered auction center or non-registered buyer, as referred to in Article 59 of this Regulation;</w:t>
            </w:r>
          </w:p>
          <w:p>
            <w:pPr>
              <w:rPr>
                <w:rFonts w:ascii="Times New Roman" w:hAnsi="Times New Roman" w:cs="Times New Roman"/>
                <w:noProof/>
                <w:sz w:val="24"/>
                <w:szCs w:val="24"/>
                <w:lang w:val="en-US"/>
              </w:rPr>
            </w:pPr>
          </w:p>
          <w:p>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completion or submission of sales notes does not comply with Article 62 of this regulation, including the obligation to record and transmit all data electronically; </w:t>
            </w:r>
          </w:p>
          <w:p>
            <w:pPr>
              <w:rPr>
                <w:rFonts w:ascii="Times New Roman" w:hAnsi="Times New Roman" w:cs="Times New Roman"/>
                <w:noProof/>
                <w:sz w:val="24"/>
                <w:szCs w:val="24"/>
                <w:lang w:val="en-US"/>
              </w:rPr>
            </w:pPr>
          </w:p>
          <w:p>
            <w:pPr>
              <w:rPr>
                <w:rFonts w:ascii="Times New Roman" w:hAnsi="Times New Roman" w:cs="Times New Roman"/>
                <w:noProof/>
                <w:sz w:val="24"/>
                <w:szCs w:val="24"/>
                <w:lang w:val="en-US"/>
              </w:rPr>
            </w:pPr>
            <w:r>
              <w:rPr>
                <w:rFonts w:ascii="Times New Roman" w:hAnsi="Times New Roman" w:cs="Times New Roman"/>
                <w:noProof/>
                <w:sz w:val="24"/>
                <w:szCs w:val="24"/>
                <w:lang w:val="en-US"/>
              </w:rPr>
              <w:t>- the catches related to the suspected infringement correspond to quantities more than 100 kilos or 20% of the total quantities mentioned in the logbook or landing or transhipment declaration, or a value of 10% of the total value of fisheries products, when the infringement is related to any of the following species:</w:t>
            </w:r>
          </w:p>
          <w:p>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minimum conservation reference size under the rules of the common fisheries policy;</w:t>
            </w:r>
          </w:p>
          <w:p>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the landing obligation as referred to in Article 15 of Regulation (EU) No 1380/2013;</w:t>
            </w:r>
          </w:p>
          <w:p>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fishing opportunities under the rules of the common fisheries policy;</w:t>
            </w:r>
          </w:p>
          <w:p>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a multiannual plan;</w:t>
            </w:r>
          </w:p>
          <w:p>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a moratorium, a closed season or for which fishing is prohibited;</w:t>
            </w:r>
          </w:p>
          <w:p>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GB"/>
              </w:rPr>
              <w:t>all species regulated by a regional fisheries management organisation.</w:t>
            </w:r>
          </w:p>
        </w:tc>
      </w:tr>
      <w:tr>
        <w:trPr>
          <w:trHeight w:val="146"/>
        </w:trPr>
        <w:tc>
          <w:tcPr>
            <w:tcW w:w="6906" w:type="dxa"/>
          </w:tcPr>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90(3)(c)</w:t>
            </w:r>
            <w:r>
              <w:rPr>
                <w:rFonts w:ascii="Times New Roman" w:hAnsi="Times New Roman" w:cs="Times New Roman"/>
                <w:noProof/>
                <w:sz w:val="24"/>
                <w:szCs w:val="24"/>
                <w:lang w:val="en-GB"/>
              </w:rPr>
              <w:tab/>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Using non-compliant fishing gear.</w:t>
            </w:r>
          </w:p>
          <w:p>
            <w:pPr>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90(3)(d)</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Not fulfilling obligations related to the use of fishing gears as set in the rules of the common fisheries policy.</w:t>
            </w:r>
          </w:p>
          <w:p>
            <w:pPr>
              <w:rPr>
                <w:rFonts w:ascii="Times New Roman" w:hAnsi="Times New Roman" w:cs="Times New Roman"/>
                <w:noProof/>
                <w:sz w:val="24"/>
                <w:szCs w:val="24"/>
                <w:lang w:val="en-GB"/>
              </w:rPr>
            </w:pPr>
          </w:p>
        </w:tc>
        <w:tc>
          <w:tcPr>
            <w:tcW w:w="6906" w:type="dxa"/>
          </w:tcPr>
          <w:p>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the catches related to the suspected infringement occurred: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in a closed area; or</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beyond a closed depth;</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gear used is one of the following: </w:t>
            </w:r>
          </w:p>
          <w:p>
            <w:pPr>
              <w:numPr>
                <w:ilvl w:val="0"/>
                <w:numId w:val="3"/>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Fishing with explosive</w:t>
            </w:r>
          </w:p>
          <w:p>
            <w:pPr>
              <w:numPr>
                <w:ilvl w:val="0"/>
                <w:numId w:val="3"/>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Prohibited drifting gillnets</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number of authorised gear exceeds by 2 units the number of authorised gears on board the fishing vessels; </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US"/>
              </w:rPr>
              <w:t xml:space="preserve"> the</w:t>
            </w:r>
            <w:r>
              <w:rPr>
                <w:rFonts w:ascii="Times New Roman" w:hAnsi="Times New Roman" w:cs="Times New Roman"/>
                <w:noProof/>
                <w:sz w:val="24"/>
                <w:szCs w:val="24"/>
                <w:lang w:val="en-GB"/>
              </w:rPr>
              <w:t xml:space="preserve"> suspected infringement is a second one detected in the preceding twelve months;</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catches related to the suspected infringement represent quantities that are equal or more than twice above the permitted margins of tolerance referred to in Article 14(3) of this Regulation;</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the catches related to the suspected infringement correspond to quantities more than 100 kilos or 20% of the total quantities mentioned in the logbook or landing or transhipment declaration, or a value of 10% of the total value of fisheries products, when the infringement is related to any of the following species:</w:t>
            </w:r>
          </w:p>
          <w:p>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minimum conservation reference </w:t>
            </w:r>
            <w:r>
              <w:rPr>
                <w:rFonts w:ascii="Times New Roman" w:hAnsi="Times New Roman" w:cs="Times New Roman"/>
                <w:noProof/>
                <w:sz w:val="24"/>
                <w:szCs w:val="24"/>
                <w:lang w:val="en-US"/>
              </w:rPr>
              <w:t>under the rules of the common fisheries policy</w:t>
            </w:r>
            <w:r>
              <w:rPr>
                <w:rFonts w:ascii="Times New Roman" w:hAnsi="Times New Roman" w:cs="Times New Roman"/>
                <w:noProof/>
                <w:sz w:val="24"/>
                <w:szCs w:val="24"/>
                <w:lang w:val="en-GB"/>
              </w:rPr>
              <w:t>;</w:t>
            </w:r>
          </w:p>
          <w:p>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the landing obligation as referred to in Article 15 of Regulation (EU) No 1380/2013;</w:t>
            </w:r>
          </w:p>
          <w:p>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fishing </w:t>
            </w:r>
            <w:r>
              <w:rPr>
                <w:rFonts w:ascii="Times New Roman" w:hAnsi="Times New Roman" w:cs="Times New Roman"/>
                <w:noProof/>
                <w:sz w:val="24"/>
                <w:szCs w:val="24"/>
                <w:lang w:val="en-US"/>
              </w:rPr>
              <w:t>under the rules of the common fisheries policy</w:t>
            </w:r>
            <w:r>
              <w:rPr>
                <w:rFonts w:ascii="Times New Roman" w:hAnsi="Times New Roman" w:cs="Times New Roman"/>
                <w:noProof/>
                <w:sz w:val="24"/>
                <w:szCs w:val="24"/>
                <w:lang w:val="en-GB"/>
              </w:rPr>
              <w:t>;</w:t>
            </w:r>
          </w:p>
          <w:p>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multiannual plan;</w:t>
            </w:r>
          </w:p>
          <w:p>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moratorium, a closed season or for which fishing is prohibited;</w:t>
            </w:r>
          </w:p>
          <w:p>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regulated by a regional fisheries management organisation.</w:t>
            </w:r>
          </w:p>
        </w:tc>
      </w:tr>
      <w:tr>
        <w:tc>
          <w:tcPr>
            <w:tcW w:w="6906" w:type="dxa"/>
          </w:tcPr>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90(3)(h)</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Conducting recreational fishing activities in breach of rules of the common fisheries policy or selling of catches from recreational fisheries.</w:t>
            </w:r>
          </w:p>
        </w:tc>
        <w:tc>
          <w:tcPr>
            <w:tcW w:w="6906" w:type="dxa"/>
          </w:tcPr>
          <w:p>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the catches related to the suspected infringement occurred: </w:t>
            </w:r>
          </w:p>
          <w:p>
            <w:pPr>
              <w:numPr>
                <w:ilvl w:val="0"/>
                <w:numId w:val="4"/>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in a closed area; or</w:t>
            </w:r>
          </w:p>
          <w:p>
            <w:pPr>
              <w:numPr>
                <w:ilvl w:val="0"/>
                <w:numId w:val="4"/>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beyond a closed depth;</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the suspected infringement is the third one detected in the preceding six months;</w:t>
            </w:r>
          </w:p>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the catches related to the suspected infringement correspond to quantities more than 5 kilos, when the infringement is related to any of the following species:</w:t>
            </w: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minimum conservation reference size as referred to </w:t>
            </w:r>
            <w:r>
              <w:rPr>
                <w:rFonts w:ascii="Times New Roman" w:hAnsi="Times New Roman" w:cs="Times New Roman"/>
                <w:noProof/>
                <w:sz w:val="24"/>
                <w:szCs w:val="24"/>
                <w:lang w:val="en-US"/>
              </w:rPr>
              <w:t>under the rules of the common fisheries policy</w:t>
            </w:r>
            <w:r>
              <w:rPr>
                <w:rFonts w:ascii="Times New Roman" w:hAnsi="Times New Roman" w:cs="Times New Roman"/>
                <w:noProof/>
                <w:sz w:val="24"/>
                <w:szCs w:val="24"/>
                <w:lang w:val="en-GB"/>
              </w:rPr>
              <w:t>;</w:t>
            </w: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the landing obligation as referred to in Article 15 of Regulation (EU) No 1380/2013;</w:t>
            </w: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fishing opportunities </w:t>
            </w:r>
            <w:r>
              <w:rPr>
                <w:rFonts w:ascii="Times New Roman" w:hAnsi="Times New Roman" w:cs="Times New Roman"/>
                <w:noProof/>
                <w:sz w:val="24"/>
                <w:szCs w:val="24"/>
                <w:lang w:val="en-US"/>
              </w:rPr>
              <w:t>under the rules of the common fisheries policy</w:t>
            </w:r>
            <w:r>
              <w:rPr>
                <w:rFonts w:ascii="Times New Roman" w:hAnsi="Times New Roman" w:cs="Times New Roman"/>
                <w:noProof/>
                <w:sz w:val="24"/>
                <w:szCs w:val="24"/>
                <w:lang w:val="en-GB"/>
              </w:rPr>
              <w:t>;</w:t>
            </w:r>
          </w:p>
          <w:p>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multiannual plan;</w:t>
            </w:r>
          </w:p>
          <w:p>
            <w:pPr>
              <w:ind w:left="720"/>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moratorium, a closed season or for which fishing is prohibited.</w:t>
            </w:r>
          </w:p>
        </w:tc>
      </w:tr>
      <w:tr>
        <w:tc>
          <w:tcPr>
            <w:tcW w:w="6906" w:type="dxa"/>
          </w:tcPr>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90(3)(i)</w:t>
            </w:r>
            <w:r>
              <w:rPr>
                <w:rFonts w:ascii="Times New Roman" w:hAnsi="Times New Roman" w:cs="Times New Roman"/>
                <w:noProof/>
                <w:sz w:val="24"/>
                <w:szCs w:val="24"/>
                <w:lang w:val="en-GB"/>
              </w:rPr>
              <w:tab/>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Committing multiple infringements which together constitute a serious disregard of conservation and management measures.</w:t>
            </w:r>
          </w:p>
        </w:tc>
        <w:tc>
          <w:tcPr>
            <w:tcW w:w="6906" w:type="dxa"/>
          </w:tcPr>
          <w:p>
            <w:pPr>
              <w:rPr>
                <w:rFonts w:ascii="Times New Roman" w:hAnsi="Times New Roman" w:cs="Times New Roman"/>
                <w:noProof/>
                <w:sz w:val="24"/>
                <w:szCs w:val="24"/>
                <w:lang w:val="en-US"/>
              </w:rPr>
            </w:pPr>
            <w:r>
              <w:rPr>
                <w:rFonts w:ascii="Times New Roman" w:hAnsi="Times New Roman" w:cs="Times New Roman"/>
                <w:noProof/>
                <w:sz w:val="24"/>
                <w:szCs w:val="24"/>
                <w:lang w:val="en-GB"/>
              </w:rPr>
              <w:t>The n</w:t>
            </w:r>
            <w:r>
              <w:rPr>
                <w:rFonts w:ascii="Times New Roman" w:hAnsi="Times New Roman" w:cs="Times New Roman"/>
                <w:noProof/>
                <w:sz w:val="24"/>
                <w:szCs w:val="24"/>
                <w:lang w:val="en-US"/>
              </w:rPr>
              <w:t>umber of simultaneous infringements which are not considered individually serious infringements exceeds 3.</w:t>
            </w:r>
          </w:p>
        </w:tc>
      </w:tr>
    </w:tbl>
    <w:p>
      <w:pPr>
        <w:rPr>
          <w:rFonts w:ascii="Times New Roman" w:hAnsi="Times New Roman" w:cs="Times New Roman"/>
          <w:noProof/>
          <w:sz w:val="24"/>
          <w:szCs w:val="24"/>
          <w:lang w:val="en-GB"/>
        </w:rPr>
      </w:pPr>
      <w:r>
        <w:rPr>
          <w:rFonts w:ascii="Times New Roman" w:hAnsi="Times New Roman" w:cs="Times New Roman"/>
          <w:noProof/>
          <w:sz w:val="24"/>
          <w:szCs w:val="24"/>
          <w:lang w:val="en-GB"/>
        </w:rPr>
        <w:t>"</w:t>
      </w:r>
    </w:p>
    <w:p>
      <w:pPr>
        <w:rPr>
          <w:rFonts w:ascii="Times New Roman" w:hAnsi="Times New Roman" w:cs="Times New Roman"/>
          <w:noProof/>
          <w:sz w:val="24"/>
          <w:szCs w:val="24"/>
          <w:lang w:val="en-GB"/>
        </w:r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6839" w:h="11907" w:orient="landscape"/>
          <w:pgMar w:top="1134" w:right="1134" w:bottom="1134" w:left="1134" w:header="720" w:footer="720" w:gutter="0"/>
          <w:pgNumType w:start="1"/>
          <w:cols w:space="720"/>
          <w:docGrid w:linePitch="326"/>
        </w:sectPr>
      </w:pPr>
    </w:p>
    <w:p>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ANNEX II</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Annex II to Regulation (EC) No 1005/2008 and the Appendix to that Annex are replaced by the following:</w:t>
      </w:r>
    </w:p>
    <w:p>
      <w:pPr>
        <w:rPr>
          <w:rFonts w:ascii="Times New Roman" w:hAnsi="Times New Roman" w:cs="Times New Roman"/>
          <w:noProof/>
          <w:sz w:val="24"/>
          <w:szCs w:val="24"/>
          <w:lang w:val="en-GB"/>
        </w:rPr>
      </w:pPr>
    </w:p>
    <w:p>
      <w:pPr>
        <w:jc w:val="center"/>
        <w:rPr>
          <w:rFonts w:eastAsia="Times New Roman" w:cs="Times New Roman"/>
          <w:b/>
          <w:bCs/>
          <w:noProof/>
          <w:color w:val="000000"/>
          <w:sz w:val="24"/>
          <w:szCs w:val="24"/>
          <w:u w:val="single"/>
          <w:lang w:val="en-GB" w:eastAsia="en-GB"/>
        </w:rPr>
      </w:pPr>
      <w:r>
        <w:rPr>
          <w:rFonts w:ascii="Times New Roman" w:hAnsi="Times New Roman" w:cs="Times New Roman"/>
          <w:noProof/>
          <w:sz w:val="24"/>
          <w:szCs w:val="24"/>
          <w:lang w:val="en-GB"/>
        </w:rPr>
        <w:t>‘</w:t>
      </w:r>
      <w:r>
        <w:rPr>
          <w:rFonts w:eastAsia="Times New Roman" w:cs="Times New Roman"/>
          <w:b/>
          <w:bCs/>
          <w:noProof/>
          <w:color w:val="000000"/>
          <w:sz w:val="24"/>
          <w:szCs w:val="24"/>
          <w:u w:val="single"/>
          <w:lang w:val="en-GB" w:eastAsia="en-GB"/>
        </w:rPr>
        <w:t>ANNEX II – European Union Catch Certificate and Re-Export Certificate</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
        <w:gridCol w:w="667"/>
        <w:gridCol w:w="324"/>
        <w:gridCol w:w="209"/>
        <w:gridCol w:w="30"/>
        <w:gridCol w:w="204"/>
        <w:gridCol w:w="28"/>
        <w:gridCol w:w="14"/>
        <w:gridCol w:w="92"/>
        <w:gridCol w:w="375"/>
        <w:gridCol w:w="514"/>
        <w:gridCol w:w="236"/>
        <w:gridCol w:w="66"/>
        <w:gridCol w:w="318"/>
        <w:gridCol w:w="237"/>
        <w:gridCol w:w="579"/>
        <w:gridCol w:w="87"/>
        <w:gridCol w:w="195"/>
        <w:gridCol w:w="82"/>
        <w:gridCol w:w="56"/>
        <w:gridCol w:w="465"/>
        <w:gridCol w:w="90"/>
        <w:gridCol w:w="358"/>
        <w:gridCol w:w="226"/>
        <w:gridCol w:w="185"/>
        <w:gridCol w:w="82"/>
        <w:gridCol w:w="760"/>
        <w:gridCol w:w="96"/>
        <w:gridCol w:w="436"/>
        <w:gridCol w:w="282"/>
        <w:gridCol w:w="1595"/>
      </w:tblGrid>
      <w:t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tabs>
                <w:tab w:val="center" w:pos="4536"/>
                <w:tab w:val="right" w:pos="8789"/>
              </w:tabs>
              <w:spacing w:after="0"/>
              <w:rPr>
                <w:rFonts w:eastAsia="Times New Roman" w:cs="Times New Roman"/>
                <w:b/>
                <w:noProof/>
                <w:color w:val="000000"/>
                <w:sz w:val="24"/>
                <w:szCs w:val="24"/>
                <w:u w:val="single"/>
                <w:lang w:val="en-GB" w:eastAsia="fr-BE"/>
              </w:rPr>
            </w:pPr>
            <w:r>
              <w:rPr>
                <w:rFonts w:eastAsia="Times New Roman" w:cs="Times New Roman"/>
                <w:b/>
                <w:noProof/>
                <w:color w:val="000000"/>
                <w:sz w:val="24"/>
                <w:szCs w:val="24"/>
                <w:lang w:val="en-GB" w:eastAsia="fr-BE"/>
              </w:rPr>
              <w:tab/>
            </w:r>
            <w:r>
              <w:rPr>
                <w:rFonts w:eastAsia="Times New Roman" w:cs="Times New Roman"/>
                <w:b/>
                <w:noProof/>
                <w:color w:val="000000"/>
                <w:sz w:val="24"/>
                <w:szCs w:val="24"/>
                <w:u w:val="single"/>
                <w:lang w:val="en-GB" w:eastAsia="fr-BE"/>
              </w:rPr>
              <w:t xml:space="preserve">(i) EUROPEAN UNION CATCH CERTIFICATE </w:t>
            </w:r>
          </w:p>
        </w:tc>
      </w:tr>
      <w:tr>
        <w:trPr>
          <w:trHeight w:val="492"/>
        </w:trPr>
        <w:tc>
          <w:tcPr>
            <w:tcW w:w="4153" w:type="dxa"/>
            <w:gridSpan w:val="13"/>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Document number</w:t>
            </w:r>
          </w:p>
        </w:tc>
        <w:tc>
          <w:tcPr>
            <w:tcW w:w="6195" w:type="dxa"/>
            <w:gridSpan w:val="19"/>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 xml:space="preserve">Validating Authority </w:t>
            </w:r>
          </w:p>
        </w:tc>
      </w:tr>
      <w:tr>
        <w:tc>
          <w:tcPr>
            <w:tcW w:w="2660" w:type="dxa"/>
            <w:gridSpan w:val="5"/>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1. Name</w:t>
            </w:r>
          </w:p>
        </w:tc>
        <w:tc>
          <w:tcPr>
            <w:tcW w:w="4252" w:type="dxa"/>
            <w:gridSpan w:val="20"/>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Address</w:t>
            </w:r>
          </w:p>
        </w:tc>
        <w:tc>
          <w:tcPr>
            <w:tcW w:w="3436" w:type="dxa"/>
            <w:gridSpan w:val="7"/>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Tel.</w:t>
            </w:r>
            <w:r>
              <w:rPr>
                <w:rFonts w:eastAsia="Times New Roman" w:cs="Times New Roman"/>
                <w:b/>
                <w:noProof/>
                <w:color w:val="000000"/>
                <w:sz w:val="24"/>
                <w:szCs w:val="24"/>
                <w:lang w:eastAsia="fr-BE"/>
              </w:rPr>
              <w:br/>
              <w:t>Fax</w:t>
            </w:r>
          </w:p>
        </w:tc>
      </w:tr>
      <w:tr>
        <w:trPr>
          <w:trHeight w:val="525"/>
        </w:trPr>
        <w:tc>
          <w:tcPr>
            <w:tcW w:w="2660" w:type="dxa"/>
            <w:gridSpan w:val="5"/>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2. Fishing Vessel Name</w:t>
            </w:r>
          </w:p>
        </w:tc>
        <w:tc>
          <w:tcPr>
            <w:tcW w:w="3668" w:type="dxa"/>
            <w:gridSpan w:val="18"/>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Flag - Home Port &amp; Registration Number</w:t>
            </w:r>
          </w:p>
        </w:tc>
        <w:tc>
          <w:tcPr>
            <w:tcW w:w="1611" w:type="dxa"/>
            <w:gridSpan w:val="5"/>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Call Sign</w:t>
            </w:r>
          </w:p>
        </w:tc>
        <w:tc>
          <w:tcPr>
            <w:tcW w:w="2409" w:type="dxa"/>
            <w:gridSpan w:val="4"/>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 xml:space="preserve">IMO/Lloyd’s Number </w:t>
            </w:r>
            <w:r>
              <w:rPr>
                <w:rFonts w:eastAsia="Times New Roman" w:cs="Times New Roman"/>
                <w:noProof/>
                <w:color w:val="000000"/>
                <w:sz w:val="24"/>
                <w:szCs w:val="24"/>
                <w:lang w:val="en-GB" w:eastAsia="fr-BE"/>
              </w:rPr>
              <w:t>(if issued)</w:t>
            </w:r>
          </w:p>
        </w:tc>
      </w:tr>
      <w:tr>
        <w:tc>
          <w:tcPr>
            <w:tcW w:w="3028" w:type="dxa"/>
            <w:gridSpan w:val="10"/>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 xml:space="preserve"> Fishing licence No. – Valid to </w:t>
            </w:r>
          </w:p>
        </w:tc>
        <w:tc>
          <w:tcPr>
            <w:tcW w:w="7320" w:type="dxa"/>
            <w:gridSpan w:val="22"/>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Inmarsat No. Telefax No. Telephone No. E-mail address (if issued)</w:t>
            </w:r>
          </w:p>
        </w:tc>
      </w:tr>
      <w:tr>
        <w:tc>
          <w:tcPr>
            <w:tcW w:w="3028" w:type="dxa"/>
            <w:gridSpan w:val="10"/>
            <w:tcBorders>
              <w:top w:val="single" w:sz="4" w:space="0" w:color="auto"/>
              <w:left w:val="single" w:sz="4" w:space="0" w:color="auto"/>
              <w:bottom w:val="single" w:sz="4" w:space="0" w:color="auto"/>
              <w:right w:val="single" w:sz="4" w:space="0" w:color="auto"/>
            </w:tcBorders>
            <w:vAlign w:val="center"/>
            <w:hideMark/>
          </w:tcPr>
          <w:p>
            <w:pPr>
              <w:spacing w:after="0"/>
              <w:rPr>
                <w:rFonts w:eastAsia="Times New Roman" w:cs="Times New Roman"/>
                <w:b/>
                <w:noProof/>
                <w:color w:val="000000"/>
                <w:sz w:val="24"/>
                <w:szCs w:val="24"/>
                <w:lang w:val="en-GB" w:eastAsia="fr-BE"/>
              </w:rPr>
            </w:pPr>
          </w:p>
        </w:tc>
        <w:tc>
          <w:tcPr>
            <w:tcW w:w="3210" w:type="dxa"/>
            <w:gridSpan w:val="12"/>
            <w:tcBorders>
              <w:top w:val="nil"/>
              <w:left w:val="single" w:sz="4" w:space="0" w:color="auto"/>
              <w:bottom w:val="single" w:sz="4" w:space="0" w:color="auto"/>
              <w:right w:val="nil"/>
            </w:tcBorders>
          </w:tcPr>
          <w:p>
            <w:pPr>
              <w:widowControl w:val="0"/>
              <w:spacing w:after="0"/>
              <w:rPr>
                <w:rFonts w:eastAsia="Times New Roman" w:cs="Times New Roman"/>
                <w:b/>
                <w:noProof/>
                <w:color w:val="000000"/>
                <w:sz w:val="24"/>
                <w:szCs w:val="24"/>
                <w:lang w:val="en-GB" w:eastAsia="fr-BE"/>
              </w:rPr>
            </w:pPr>
          </w:p>
        </w:tc>
        <w:tc>
          <w:tcPr>
            <w:tcW w:w="4110" w:type="dxa"/>
            <w:gridSpan w:val="10"/>
            <w:tcBorders>
              <w:top w:val="nil"/>
              <w:left w:val="nil"/>
              <w:bottom w:val="single" w:sz="4" w:space="0" w:color="auto"/>
              <w:right w:val="single" w:sz="4" w:space="0" w:color="auto"/>
            </w:tcBorders>
          </w:tcPr>
          <w:p>
            <w:pPr>
              <w:widowControl w:val="0"/>
              <w:spacing w:after="0"/>
              <w:rPr>
                <w:rFonts w:eastAsia="Times New Roman" w:cs="Times New Roman"/>
                <w:b/>
                <w:noProof/>
                <w:color w:val="000000"/>
                <w:sz w:val="24"/>
                <w:szCs w:val="24"/>
                <w:lang w:val="en-GB" w:eastAsia="fr-BE"/>
              </w:rPr>
            </w:pPr>
          </w:p>
        </w:tc>
      </w:tr>
      <w:tr>
        <w:trPr>
          <w:trHeight w:val="639"/>
        </w:trPr>
        <w:tc>
          <w:tcPr>
            <w:tcW w:w="2690" w:type="dxa"/>
            <w:gridSpan w:val="6"/>
            <w:tcBorders>
              <w:top w:val="single" w:sz="4" w:space="0" w:color="auto"/>
              <w:left w:val="single" w:sz="4" w:space="0" w:color="auto"/>
              <w:bottom w:val="single" w:sz="4" w:space="0" w:color="auto"/>
              <w:right w:val="nil"/>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3. Description of Product</w:t>
            </w:r>
          </w:p>
        </w:tc>
        <w:tc>
          <w:tcPr>
            <w:tcW w:w="3083" w:type="dxa"/>
            <w:gridSpan w:val="15"/>
            <w:tcBorders>
              <w:top w:val="single" w:sz="4" w:space="0" w:color="auto"/>
              <w:left w:val="single" w:sz="4" w:space="0" w:color="auto"/>
              <w:bottom w:val="single" w:sz="4" w:space="0" w:color="auto"/>
              <w:right w:val="nil"/>
            </w:tcBorders>
            <w:hideMark/>
          </w:tcPr>
          <w:p>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Type of processing authorised on board:</w:t>
            </w:r>
          </w:p>
        </w:tc>
        <w:tc>
          <w:tcPr>
            <w:tcW w:w="4575" w:type="dxa"/>
            <w:gridSpan w:val="11"/>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4. References of applicable conservation and management measures</w:t>
            </w:r>
          </w:p>
        </w:tc>
      </w:tr>
      <w:tr>
        <w:trPr>
          <w:trHeight w:val="352"/>
        </w:trPr>
        <w:tc>
          <w:tcPr>
            <w:tcW w:w="1460" w:type="dxa"/>
            <w:gridSpan w:val="2"/>
            <w:tcBorders>
              <w:top w:val="single" w:sz="4" w:space="0" w:color="auto"/>
              <w:left w:val="single" w:sz="4" w:space="0" w:color="auto"/>
              <w:bottom w:val="single" w:sz="4" w:space="0" w:color="auto"/>
              <w:right w:val="single" w:sz="4" w:space="0" w:color="auto"/>
            </w:tcBorders>
            <w:vAlign w:val="center"/>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Species</w:t>
            </w:r>
          </w:p>
        </w:tc>
        <w:tc>
          <w:tcPr>
            <w:tcW w:w="1434"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Product code</w:t>
            </w:r>
          </w:p>
        </w:tc>
        <w:tc>
          <w:tcPr>
            <w:tcW w:w="1643" w:type="dxa"/>
            <w:gridSpan w:val="8"/>
            <w:tcBorders>
              <w:top w:val="single" w:sz="4" w:space="0" w:color="auto"/>
              <w:left w:val="single" w:sz="4" w:space="0" w:color="auto"/>
              <w:bottom w:val="single" w:sz="4" w:space="0" w:color="auto"/>
              <w:right w:val="single" w:sz="4" w:space="0" w:color="auto"/>
            </w:tcBorders>
            <w:vAlign w:val="center"/>
            <w:hideMark/>
          </w:tcPr>
          <w:p>
            <w:pPr>
              <w:widowControl w:val="0"/>
              <w:spacing w:after="0"/>
              <w:jc w:val="center"/>
              <w:rPr>
                <w:rFonts w:eastAsia="Times New Roman" w:cs="Times New Roman"/>
                <w:b/>
                <w:noProof/>
                <w:sz w:val="24"/>
                <w:szCs w:val="24"/>
                <w:lang w:val="en-GB" w:eastAsia="fr-BE"/>
              </w:rPr>
            </w:pPr>
            <w:r>
              <w:rPr>
                <w:rFonts w:eastAsia="Times New Roman" w:cs="Times New Roman"/>
                <w:b/>
                <w:noProof/>
                <w:sz w:val="24"/>
                <w:szCs w:val="24"/>
                <w:lang w:val="en-GB" w:eastAsia="fr-BE"/>
              </w:rPr>
              <w:t>Catch area(s) and dates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pPr>
              <w:widowControl w:val="0"/>
              <w:spacing w:after="0"/>
              <w:jc w:val="center"/>
              <w:rPr>
                <w:rFonts w:eastAsia="Times New Roman" w:cs="Times New Roman"/>
                <w:b/>
                <w:noProof/>
                <w:sz w:val="24"/>
                <w:szCs w:val="24"/>
                <w:lang w:val="en-GB" w:eastAsia="fr-BE"/>
              </w:rPr>
            </w:pPr>
            <w:r>
              <w:rPr>
                <w:rFonts w:eastAsia="Times New Roman" w:cs="Times New Roman"/>
                <w:b/>
                <w:noProof/>
                <w:sz w:val="24"/>
                <w:szCs w:val="24"/>
                <w:lang w:val="en-GB" w:eastAsia="fr-BE"/>
              </w:rPr>
              <w:t>Estimated live weight (net fish weight in kg)</w:t>
            </w:r>
          </w:p>
        </w:tc>
        <w:tc>
          <w:tcPr>
            <w:tcW w:w="1701" w:type="dxa"/>
            <w:gridSpan w:val="6"/>
            <w:tcBorders>
              <w:top w:val="single" w:sz="4" w:space="0" w:color="auto"/>
              <w:left w:val="single" w:sz="4" w:space="0" w:color="auto"/>
              <w:bottom w:val="single" w:sz="4" w:space="0" w:color="auto"/>
              <w:right w:val="nil"/>
            </w:tcBorders>
            <w:vAlign w:val="center"/>
            <w:hideMark/>
          </w:tcPr>
          <w:p>
            <w:pPr>
              <w:widowControl w:val="0"/>
              <w:spacing w:after="0"/>
              <w:jc w:val="center"/>
              <w:rPr>
                <w:rFonts w:eastAsia="Times New Roman" w:cs="Times New Roman"/>
                <w:b/>
                <w:noProof/>
                <w:sz w:val="24"/>
                <w:szCs w:val="24"/>
                <w:lang w:val="en-GB" w:eastAsia="fr-BE"/>
              </w:rPr>
            </w:pPr>
            <w:r>
              <w:rPr>
                <w:rFonts w:eastAsia="Times New Roman" w:cs="Times New Roman"/>
                <w:b/>
                <w:noProof/>
                <w:sz w:val="24"/>
                <w:szCs w:val="24"/>
                <w:lang w:val="en-GB" w:eastAsia="fr-BE"/>
              </w:rPr>
              <w:t>Estimated live weight to be landed (net fish weight in kg)</w:t>
            </w:r>
          </w:p>
        </w:tc>
        <w:tc>
          <w:tcPr>
            <w:tcW w:w="2409" w:type="dxa"/>
            <w:gridSpan w:val="4"/>
            <w:tcBorders>
              <w:top w:val="single" w:sz="4" w:space="0" w:color="auto"/>
              <w:left w:val="single" w:sz="4" w:space="0" w:color="auto"/>
              <w:bottom w:val="single" w:sz="4" w:space="0" w:color="auto"/>
              <w:right w:val="single" w:sz="4" w:space="0" w:color="auto"/>
            </w:tcBorders>
            <w:vAlign w:val="center"/>
            <w:hideMark/>
          </w:tcPr>
          <w:p>
            <w:pPr>
              <w:widowControl w:val="0"/>
              <w:spacing w:after="0"/>
              <w:jc w:val="center"/>
              <w:rPr>
                <w:rFonts w:eastAsia="Times New Roman" w:cs="Times New Roman"/>
                <w:b/>
                <w:noProof/>
                <w:sz w:val="24"/>
                <w:szCs w:val="24"/>
                <w:lang w:val="en-GB" w:eastAsia="fr-BE"/>
              </w:rPr>
            </w:pPr>
            <w:r>
              <w:rPr>
                <w:rFonts w:eastAsia="Times New Roman" w:cs="Times New Roman"/>
                <w:b/>
                <w:noProof/>
                <w:sz w:val="24"/>
                <w:szCs w:val="24"/>
                <w:lang w:val="en-GB" w:eastAsia="fr-BE"/>
              </w:rPr>
              <w:t xml:space="preserve">Verified Weight Landed (net weight in kg) </w:t>
            </w:r>
          </w:p>
        </w:tc>
      </w:tr>
      <w:tr>
        <w:trPr>
          <w:trHeight w:val="403"/>
        </w:trPr>
        <w:tc>
          <w:tcPr>
            <w:tcW w:w="1460" w:type="dxa"/>
            <w:gridSpan w:val="2"/>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color w:val="000000"/>
                <w:sz w:val="24"/>
                <w:szCs w:val="24"/>
                <w:lang w:val="en-GB" w:eastAsia="fr-BE"/>
              </w:rPr>
            </w:pPr>
          </w:p>
        </w:tc>
        <w:tc>
          <w:tcPr>
            <w:tcW w:w="1434" w:type="dxa"/>
            <w:gridSpan w:val="5"/>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color w:val="000000"/>
                <w:sz w:val="24"/>
                <w:szCs w:val="24"/>
                <w:lang w:val="en-GB" w:eastAsia="fr-BE"/>
              </w:rPr>
            </w:pPr>
          </w:p>
        </w:tc>
        <w:tc>
          <w:tcPr>
            <w:tcW w:w="1643"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lang w:val="en-GB" w:eastAsia="fr-BE"/>
              </w:rPr>
            </w:pPr>
          </w:p>
        </w:tc>
        <w:tc>
          <w:tcPr>
            <w:tcW w:w="1701" w:type="dxa"/>
            <w:gridSpan w:val="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lang w:val="en-GB" w:eastAsia="fr-BE"/>
              </w:rPr>
            </w:pPr>
          </w:p>
        </w:tc>
        <w:tc>
          <w:tcPr>
            <w:tcW w:w="1701" w:type="dxa"/>
            <w:gridSpan w:val="6"/>
            <w:tcBorders>
              <w:top w:val="single" w:sz="4" w:space="0" w:color="auto"/>
              <w:left w:val="single" w:sz="4" w:space="0" w:color="auto"/>
              <w:bottom w:val="single" w:sz="4" w:space="0" w:color="auto"/>
              <w:right w:val="nil"/>
            </w:tcBorders>
          </w:tcPr>
          <w:p>
            <w:pPr>
              <w:widowControl w:val="0"/>
              <w:spacing w:after="0"/>
              <w:rPr>
                <w:rFonts w:eastAsia="Times New Roman" w:cs="Times New Roman"/>
                <w:noProof/>
                <w:sz w:val="24"/>
                <w:szCs w:val="24"/>
                <w:lang w:val="en-GB" w:eastAsia="fr-BE"/>
              </w:rPr>
            </w:pPr>
          </w:p>
        </w:tc>
        <w:tc>
          <w:tcPr>
            <w:tcW w:w="2409" w:type="dxa"/>
            <w:gridSpan w:val="4"/>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lang w:val="en-GB" w:eastAsia="fr-BE"/>
              </w:rPr>
            </w:pPr>
          </w:p>
        </w:tc>
      </w:tr>
      <w:tr>
        <w:trPr>
          <w:trHeight w:val="369"/>
        </w:trP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lang w:val="en-GB" w:eastAsia="fr-BE"/>
              </w:rPr>
            </w:pPr>
            <w:r>
              <w:rPr>
                <w:rFonts w:eastAsia="Times New Roman" w:cs="Times New Roman"/>
                <w:b/>
                <w:noProof/>
                <w:sz w:val="24"/>
                <w:szCs w:val="24"/>
                <w:lang w:val="en-GB" w:eastAsia="fr-BE"/>
              </w:rPr>
              <w:t>5. Name of master of fishing vessel - Signature - Seal:</w:t>
            </w:r>
          </w:p>
        </w:tc>
      </w:tr>
      <w:tr>
        <w:trPr>
          <w:trHeight w:val="711"/>
        </w:trPr>
        <w:tc>
          <w:tcPr>
            <w:tcW w:w="4219" w:type="dxa"/>
            <w:gridSpan w:val="14"/>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lang w:val="en-GB" w:eastAsia="fr-BE"/>
              </w:rPr>
            </w:pPr>
            <w:r>
              <w:rPr>
                <w:rFonts w:eastAsia="Times New Roman" w:cs="Times New Roman"/>
                <w:b/>
                <w:noProof/>
                <w:sz w:val="24"/>
                <w:szCs w:val="24"/>
                <w:lang w:val="en-GB" w:eastAsia="fr-BE"/>
              </w:rPr>
              <w:t>6. Declaration of Transhipment at Sea</w:t>
            </w:r>
            <w:r>
              <w:rPr>
                <w:rFonts w:eastAsia="Times New Roman" w:cs="Times New Roman"/>
                <w:noProof/>
                <w:sz w:val="24"/>
                <w:szCs w:val="24"/>
                <w:lang w:val="en-GB" w:eastAsia="fr-BE"/>
              </w:rPr>
              <w:br/>
              <w:t>Name of Master of Fishing vessel</w:t>
            </w:r>
          </w:p>
        </w:tc>
        <w:tc>
          <w:tcPr>
            <w:tcW w:w="1221" w:type="dxa"/>
            <w:gridSpan w:val="4"/>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 and Date</w:t>
            </w:r>
          </w:p>
        </w:tc>
        <w:tc>
          <w:tcPr>
            <w:tcW w:w="2499" w:type="dxa"/>
            <w:gridSpan w:val="10"/>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Transhipment Date/Area/Position</w:t>
            </w:r>
          </w:p>
        </w:tc>
        <w:tc>
          <w:tcPr>
            <w:tcW w:w="2409" w:type="dxa"/>
            <w:gridSpan w:val="4"/>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Estimated weight (kg)</w:t>
            </w:r>
          </w:p>
        </w:tc>
      </w:tr>
      <w:tr>
        <w:trPr>
          <w:trHeight w:val="717"/>
        </w:trPr>
        <w:tc>
          <w:tcPr>
            <w:tcW w:w="2660" w:type="dxa"/>
            <w:gridSpan w:val="5"/>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Master of Receiving Vessel</w:t>
            </w:r>
          </w:p>
        </w:tc>
        <w:tc>
          <w:tcPr>
            <w:tcW w:w="1257"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1800"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Vessel Name</w:t>
            </w:r>
          </w:p>
        </w:tc>
        <w:tc>
          <w:tcPr>
            <w:tcW w:w="1462"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Call Sign</w:t>
            </w:r>
          </w:p>
        </w:tc>
        <w:tc>
          <w:tcPr>
            <w:tcW w:w="3169" w:type="dxa"/>
            <w:gridSpan w:val="5"/>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IMO/Lloyds Number</w:t>
            </w:r>
            <w:r>
              <w:rPr>
                <w:rFonts w:eastAsia="Times New Roman" w:cs="Times New Roman"/>
                <w:b/>
                <w:noProof/>
                <w:sz w:val="24"/>
                <w:szCs w:val="24"/>
                <w:lang w:val="en-GB" w:eastAsia="fr-BE"/>
              </w:rPr>
              <w:br/>
            </w:r>
            <w:r>
              <w:rPr>
                <w:rFonts w:eastAsia="Times New Roman" w:cs="Times New Roman"/>
                <w:noProof/>
                <w:sz w:val="24"/>
                <w:szCs w:val="24"/>
                <w:lang w:val="en-GB" w:eastAsia="fr-BE"/>
              </w:rPr>
              <w:t>(if issued)</w:t>
            </w:r>
          </w:p>
        </w:tc>
      </w:tr>
      <w:tr>
        <w:tc>
          <w:tcPr>
            <w:tcW w:w="10348" w:type="dxa"/>
            <w:gridSpan w:val="32"/>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lang w:val="en-GB" w:eastAsia="fr-BE"/>
              </w:rPr>
            </w:pPr>
            <w:r>
              <w:rPr>
                <w:rFonts w:eastAsia="Times New Roman" w:cs="Times New Roman"/>
                <w:b/>
                <w:noProof/>
                <w:sz w:val="24"/>
                <w:szCs w:val="24"/>
                <w:lang w:val="en-GB" w:eastAsia="fr-BE"/>
              </w:rPr>
              <w:t>7. Transhipment and/or landing authorisation within a Port Area</w:t>
            </w:r>
            <w:r>
              <w:rPr>
                <w:rFonts w:eastAsia="Times New Roman" w:cs="Times New Roman"/>
                <w:noProof/>
                <w:sz w:val="24"/>
                <w:szCs w:val="24"/>
                <w:lang w:val="en-GB" w:eastAsia="fr-BE"/>
              </w:rPr>
              <w:t>:</w:t>
            </w:r>
          </w:p>
        </w:tc>
      </w:tr>
      <w:tr>
        <w:trPr>
          <w:trHeight w:val="162"/>
        </w:trPr>
        <w:tc>
          <w:tcPr>
            <w:tcW w:w="851" w:type="dxa"/>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Name</w:t>
            </w:r>
          </w:p>
        </w:tc>
        <w:tc>
          <w:tcPr>
            <w:tcW w:w="1276" w:type="dxa"/>
            <w:gridSpan w:val="2"/>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Authority</w:t>
            </w:r>
          </w:p>
        </w:tc>
        <w:tc>
          <w:tcPr>
            <w:tcW w:w="1276" w:type="dxa"/>
            <w:gridSpan w:val="8"/>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Signature</w:t>
            </w:r>
          </w:p>
        </w:tc>
        <w:tc>
          <w:tcPr>
            <w:tcW w:w="1134" w:type="dxa"/>
            <w:gridSpan w:val="4"/>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Address</w:t>
            </w:r>
          </w:p>
        </w:tc>
        <w:tc>
          <w:tcPr>
            <w:tcW w:w="816" w:type="dxa"/>
            <w:gridSpan w:val="2"/>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Tel.</w:t>
            </w:r>
          </w:p>
        </w:tc>
        <w:tc>
          <w:tcPr>
            <w:tcW w:w="1559" w:type="dxa"/>
            <w:gridSpan w:val="8"/>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Port of Landing</w:t>
            </w:r>
            <w:r>
              <w:rPr>
                <w:rFonts w:eastAsia="Times New Roman" w:cs="Times New Roman"/>
                <w:b/>
                <w:noProof/>
                <w:lang w:val="en-GB" w:eastAsia="fr-BE"/>
              </w:rPr>
              <w:t xml:space="preserve"> (as appropriate)</w:t>
            </w:r>
          </w:p>
        </w:tc>
        <w:tc>
          <w:tcPr>
            <w:tcW w:w="1559" w:type="dxa"/>
            <w:gridSpan w:val="5"/>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 xml:space="preserve">Date of Landing </w:t>
            </w:r>
            <w:r>
              <w:rPr>
                <w:rFonts w:eastAsia="Times New Roman" w:cs="Times New Roman"/>
                <w:b/>
                <w:noProof/>
                <w:lang w:val="en-GB" w:eastAsia="fr-BE"/>
              </w:rPr>
              <w:t xml:space="preserve">(as appropriate)  </w:t>
            </w:r>
          </w:p>
        </w:tc>
        <w:tc>
          <w:tcPr>
            <w:tcW w:w="1877" w:type="dxa"/>
            <w:gridSpan w:val="2"/>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Seal </w:t>
            </w:r>
            <w:r>
              <w:rPr>
                <w:rFonts w:eastAsia="Times New Roman" w:cs="Times New Roman"/>
                <w:b/>
                <w:noProof/>
                <w:lang w:eastAsia="fr-BE"/>
              </w:rPr>
              <w:t>(Stamp)</w:t>
            </w:r>
          </w:p>
        </w:tc>
      </w:tr>
      <w:tr>
        <w:trPr>
          <w:trHeight w:val="161"/>
        </w:trPr>
        <w:tc>
          <w:tcPr>
            <w:tcW w:w="851" w:type="dxa"/>
            <w:vMerge/>
            <w:tcBorders>
              <w:left w:val="single" w:sz="4" w:space="0" w:color="auto"/>
              <w:bottom w:val="single" w:sz="4" w:space="0" w:color="auto"/>
              <w:right w:val="single" w:sz="4" w:space="0" w:color="auto"/>
            </w:tcBorders>
          </w:tcPr>
          <w:p>
            <w:pPr>
              <w:widowControl w:val="0"/>
              <w:spacing w:after="0"/>
              <w:rPr>
                <w:rFonts w:eastAsia="Times New Roman" w:cs="Times New Roman"/>
                <w:b/>
                <w:noProof/>
                <w:color w:val="000000"/>
                <w:sz w:val="24"/>
                <w:szCs w:val="24"/>
                <w:lang w:eastAsia="fr-BE"/>
              </w:rPr>
            </w:pPr>
          </w:p>
        </w:tc>
        <w:tc>
          <w:tcPr>
            <w:tcW w:w="1276" w:type="dxa"/>
            <w:gridSpan w:val="2"/>
            <w:vMerge/>
            <w:tcBorders>
              <w:left w:val="single" w:sz="4" w:space="0" w:color="auto"/>
              <w:bottom w:val="single" w:sz="4" w:space="0" w:color="auto"/>
              <w:right w:val="single" w:sz="4" w:space="0" w:color="auto"/>
            </w:tcBorders>
          </w:tcPr>
          <w:p>
            <w:pPr>
              <w:widowControl w:val="0"/>
              <w:spacing w:after="0"/>
              <w:rPr>
                <w:rFonts w:eastAsia="Times New Roman" w:cs="Times New Roman"/>
                <w:b/>
                <w:noProof/>
                <w:color w:val="000000"/>
                <w:sz w:val="24"/>
                <w:szCs w:val="24"/>
                <w:lang w:eastAsia="fr-BE"/>
              </w:rPr>
            </w:pPr>
          </w:p>
        </w:tc>
        <w:tc>
          <w:tcPr>
            <w:tcW w:w="1276" w:type="dxa"/>
            <w:gridSpan w:val="8"/>
            <w:vMerge/>
            <w:tcBorders>
              <w:left w:val="single" w:sz="4" w:space="0" w:color="auto"/>
              <w:bottom w:val="single" w:sz="4" w:space="0" w:color="auto"/>
              <w:right w:val="single" w:sz="4" w:space="0" w:color="auto"/>
            </w:tcBorders>
          </w:tcPr>
          <w:p>
            <w:pPr>
              <w:widowControl w:val="0"/>
              <w:spacing w:after="0"/>
              <w:rPr>
                <w:rFonts w:eastAsia="Times New Roman" w:cs="Times New Roman"/>
                <w:b/>
                <w:noProof/>
                <w:color w:val="000000"/>
                <w:sz w:val="24"/>
                <w:szCs w:val="24"/>
                <w:lang w:eastAsia="fr-BE"/>
              </w:rPr>
            </w:pPr>
          </w:p>
        </w:tc>
        <w:tc>
          <w:tcPr>
            <w:tcW w:w="1134" w:type="dxa"/>
            <w:gridSpan w:val="4"/>
            <w:vMerge/>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c>
          <w:tcPr>
            <w:tcW w:w="816" w:type="dxa"/>
            <w:gridSpan w:val="2"/>
            <w:vMerge/>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c>
          <w:tcPr>
            <w:tcW w:w="1559"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lang w:val="en-GB" w:eastAsia="fr-BE"/>
              </w:rPr>
            </w:pPr>
            <w:r>
              <w:rPr>
                <w:rFonts w:eastAsia="Times New Roman" w:cs="Times New Roman"/>
                <w:b/>
                <w:noProof/>
                <w:lang w:val="en-GB" w:eastAsia="fr-BE"/>
              </w:rPr>
              <w:t>Port of transhipment (as appropriate)</w:t>
            </w:r>
          </w:p>
        </w:tc>
        <w:tc>
          <w:tcPr>
            <w:tcW w:w="1559" w:type="dxa"/>
            <w:gridSpan w:val="5"/>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val="en-GB" w:eastAsia="fr-BE"/>
              </w:rPr>
            </w:pPr>
            <w:r>
              <w:rPr>
                <w:rFonts w:eastAsia="Times New Roman" w:cs="Times New Roman"/>
                <w:b/>
                <w:noProof/>
                <w:lang w:val="en-GB" w:eastAsia="fr-BE"/>
              </w:rPr>
              <w:t>Date of transhipment (as appropriate)</w:t>
            </w:r>
            <w:r>
              <w:rPr>
                <w:rFonts w:eastAsia="Times New Roman" w:cs="Times New Roman"/>
                <w:b/>
                <w:noProof/>
                <w:sz w:val="24"/>
                <w:szCs w:val="24"/>
                <w:lang w:val="en-GB" w:eastAsia="fr-BE"/>
              </w:rPr>
              <w:t xml:space="preserve">  </w:t>
            </w:r>
          </w:p>
        </w:tc>
        <w:tc>
          <w:tcPr>
            <w:tcW w:w="1877" w:type="dxa"/>
            <w:gridSpan w:val="2"/>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Seal </w:t>
            </w:r>
            <w:r>
              <w:rPr>
                <w:rFonts w:eastAsia="Times New Roman" w:cs="Times New Roman"/>
                <w:b/>
                <w:noProof/>
                <w:lang w:eastAsia="fr-BE"/>
              </w:rPr>
              <w:t>(Stamp)</w:t>
            </w:r>
          </w:p>
        </w:tc>
      </w:tr>
      <w:tr>
        <w:tc>
          <w:tcPr>
            <w:tcW w:w="2451" w:type="dxa"/>
            <w:gridSpan w:val="4"/>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8. Name and address of Exporter</w:t>
            </w:r>
          </w:p>
          <w:p>
            <w:pPr>
              <w:widowControl w:val="0"/>
              <w:spacing w:after="0"/>
              <w:rPr>
                <w:rFonts w:eastAsia="Times New Roman" w:cs="Times New Roman"/>
                <w:b/>
                <w:noProof/>
                <w:color w:val="000000"/>
                <w:sz w:val="24"/>
                <w:szCs w:val="24"/>
                <w:lang w:val="en-GB" w:eastAsia="fr-BE"/>
              </w:rPr>
            </w:pPr>
          </w:p>
        </w:tc>
        <w:tc>
          <w:tcPr>
            <w:tcW w:w="2323" w:type="dxa"/>
            <w:gridSpan w:val="1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2323" w:type="dxa"/>
            <w:gridSpan w:val="10"/>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Date</w:t>
            </w:r>
          </w:p>
        </w:tc>
        <w:tc>
          <w:tcPr>
            <w:tcW w:w="3251" w:type="dxa"/>
            <w:gridSpan w:val="6"/>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Seal</w:t>
            </w:r>
          </w:p>
        </w:tc>
      </w:tr>
      <w:tr>
        <w:trPr>
          <w:trHeight w:val="322"/>
        </w:trP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9. Flag State Authority Validation</w:t>
            </w:r>
            <w:r>
              <w:rPr>
                <w:rFonts w:eastAsia="Times New Roman" w:cs="Times New Roman"/>
                <w:noProof/>
                <w:sz w:val="24"/>
                <w:szCs w:val="24"/>
                <w:lang w:eastAsia="fr-BE"/>
              </w:rPr>
              <w:t>:</w:t>
            </w:r>
          </w:p>
        </w:tc>
      </w:tr>
      <w:tr>
        <w:trPr>
          <w:trHeight w:val="322"/>
        </w:trPr>
        <w:tc>
          <w:tcPr>
            <w:tcW w:w="2936" w:type="dxa"/>
            <w:gridSpan w:val="9"/>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Name/Title</w:t>
            </w:r>
          </w:p>
        </w:tc>
        <w:tc>
          <w:tcPr>
            <w:tcW w:w="2417"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1333"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Date </w:t>
            </w:r>
          </w:p>
        </w:tc>
        <w:tc>
          <w:tcPr>
            <w:tcW w:w="3662"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Seal (Stamp)</w:t>
            </w:r>
          </w:p>
        </w:tc>
      </w:tr>
      <w:t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 xml:space="preserve">10. Transport details : </w:t>
            </w:r>
            <w:r>
              <w:rPr>
                <w:rFonts w:eastAsia="Times New Roman" w:cs="Times New Roman"/>
                <w:i/>
                <w:noProof/>
                <w:sz w:val="24"/>
                <w:szCs w:val="24"/>
                <w:lang w:eastAsia="fr-BE"/>
              </w:rPr>
              <w:t>See Appendix</w:t>
            </w:r>
          </w:p>
        </w:tc>
      </w:tr>
      <w:t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11. Importer Declaration:</w:t>
            </w:r>
          </w:p>
        </w:tc>
      </w:tr>
      <w:tr>
        <w:trPr>
          <w:trHeight w:val="317"/>
        </w:trPr>
        <w:tc>
          <w:tcPr>
            <w:tcW w:w="2922"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lang w:val="en-GB" w:eastAsia="fr-BE"/>
              </w:rPr>
            </w:pPr>
            <w:r>
              <w:rPr>
                <w:rFonts w:eastAsia="Times New Roman" w:cs="Times New Roman"/>
                <w:b/>
                <w:noProof/>
                <w:sz w:val="24"/>
                <w:szCs w:val="24"/>
                <w:lang w:val="en-GB" w:eastAsia="fr-BE"/>
              </w:rPr>
              <w:t>Company, name, address, EORI number and contact details of importer of importer (specify details)</w:t>
            </w:r>
          </w:p>
        </w:tc>
        <w:tc>
          <w:tcPr>
            <w:tcW w:w="1615" w:type="dxa"/>
            <w:gridSpan w:val="7"/>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2375" w:type="dxa"/>
            <w:gridSpan w:val="10"/>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Date</w:t>
            </w:r>
          </w:p>
        </w:tc>
        <w:tc>
          <w:tcPr>
            <w:tcW w:w="3436" w:type="dxa"/>
            <w:gridSpan w:val="7"/>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Seal</w:t>
            </w:r>
          </w:p>
        </w:tc>
      </w:tr>
      <w:tr>
        <w:trPr>
          <w:trHeight w:val="317"/>
        </w:trP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Company, name, address, EORI number and contact details of representative of the importer (specify details)</w:t>
            </w:r>
          </w:p>
        </w:tc>
        <w:tc>
          <w:tcPr>
            <w:tcW w:w="1615" w:type="dxa"/>
            <w:gridSpan w:val="7"/>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2375" w:type="dxa"/>
            <w:gridSpan w:val="10"/>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Date</w:t>
            </w:r>
          </w:p>
        </w:tc>
        <w:tc>
          <w:tcPr>
            <w:tcW w:w="3436" w:type="dxa"/>
            <w:gridSpan w:val="7"/>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Seal</w:t>
            </w: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Product description:</w:t>
            </w:r>
          </w:p>
        </w:tc>
        <w:tc>
          <w:tcPr>
            <w:tcW w:w="1615" w:type="dxa"/>
            <w:gridSpan w:val="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CN code</w:t>
            </w:r>
          </w:p>
        </w:tc>
        <w:tc>
          <w:tcPr>
            <w:tcW w:w="2375" w:type="dxa"/>
            <w:gridSpan w:val="1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Product description</w:t>
            </w:r>
          </w:p>
        </w:tc>
        <w:tc>
          <w:tcPr>
            <w:tcW w:w="1123" w:type="dxa"/>
            <w:gridSpan w:val="4"/>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Net weight in kg</w:t>
            </w:r>
          </w:p>
          <w:p>
            <w:pPr>
              <w:widowControl w:val="0"/>
              <w:spacing w:after="0"/>
              <w:rPr>
                <w:rFonts w:eastAsia="Times New Roman" w:cs="Times New Roman"/>
                <w:b/>
                <w:noProof/>
                <w:sz w:val="24"/>
                <w:szCs w:val="24"/>
                <w:lang w:eastAsia="fr-BE"/>
              </w:rPr>
            </w:pPr>
          </w:p>
        </w:tc>
        <w:tc>
          <w:tcPr>
            <w:tcW w:w="2313" w:type="dxa"/>
            <w:gridSpan w:val="3"/>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Net fish weight in kg</w:t>
            </w:r>
          </w:p>
          <w:p>
            <w:pPr>
              <w:widowControl w:val="0"/>
              <w:spacing w:after="0"/>
              <w:rPr>
                <w:rFonts w:eastAsia="Times New Roman" w:cs="Times New Roman"/>
                <w:noProof/>
                <w:sz w:val="24"/>
                <w:szCs w:val="24"/>
                <w:lang w:eastAsia="fr-BE"/>
              </w:rPr>
            </w:pPr>
          </w:p>
        </w:tc>
      </w:tr>
      <w:tr>
        <w:tc>
          <w:tcPr>
            <w:tcW w:w="2922"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Document under Article 14(1) of Regulation (EC) No 1005/2008:</w:t>
            </w:r>
          </w:p>
        </w:tc>
        <w:tc>
          <w:tcPr>
            <w:tcW w:w="1615"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Yes / no (as appropriate)</w:t>
            </w:r>
          </w:p>
        </w:tc>
        <w:tc>
          <w:tcPr>
            <w:tcW w:w="5811" w:type="dxa"/>
            <w:gridSpan w:val="1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References</w:t>
            </w: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Document under Article 14(2) of Regulation (EC) No 1005/2008:</w:t>
            </w:r>
          </w:p>
        </w:tc>
        <w:tc>
          <w:tcPr>
            <w:tcW w:w="1615" w:type="dxa"/>
            <w:gridSpan w:val="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Yes / no (as appropriate)</w:t>
            </w:r>
          </w:p>
        </w:tc>
        <w:tc>
          <w:tcPr>
            <w:tcW w:w="5811" w:type="dxa"/>
            <w:gridSpan w:val="1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References</w:t>
            </w: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Member State and office of import</w:t>
            </w:r>
          </w:p>
        </w:tc>
        <w:tc>
          <w:tcPr>
            <w:tcW w:w="7426" w:type="dxa"/>
            <w:gridSpan w:val="24"/>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val="en-GB" w:eastAsia="fr-BE"/>
              </w:rPr>
            </w:pP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Means of transport upon arrival (air, vehicle, ship, train)</w:t>
            </w:r>
          </w:p>
        </w:tc>
        <w:tc>
          <w:tcPr>
            <w:tcW w:w="2713" w:type="dxa"/>
            <w:gridSpan w:val="11"/>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Transport document reference</w:t>
            </w:r>
          </w:p>
        </w:tc>
        <w:tc>
          <w:tcPr>
            <w:tcW w:w="4713" w:type="dxa"/>
            <w:gridSpan w:val="13"/>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Estimated time of arrival (if submission under Art. 12(1) of Regulation (EC) No 1005/2008)</w:t>
            </w: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Customs declaration number (if issued)</w:t>
            </w:r>
          </w:p>
        </w:tc>
        <w:tc>
          <w:tcPr>
            <w:tcW w:w="2713" w:type="dxa"/>
            <w:gridSpan w:val="11"/>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CVED number  (if available)</w:t>
            </w:r>
          </w:p>
        </w:tc>
        <w:tc>
          <w:tcPr>
            <w:tcW w:w="4713" w:type="dxa"/>
            <w:gridSpan w:val="13"/>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607"/>
        </w:trPr>
        <w:tc>
          <w:tcPr>
            <w:tcW w:w="3403" w:type="dxa"/>
            <w:gridSpan w:val="11"/>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12. Import control: Authority</w:t>
            </w:r>
          </w:p>
        </w:tc>
        <w:tc>
          <w:tcPr>
            <w:tcW w:w="1134" w:type="dxa"/>
            <w:gridSpan w:val="4"/>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Place</w:t>
            </w:r>
          </w:p>
        </w:tc>
        <w:tc>
          <w:tcPr>
            <w:tcW w:w="1701"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Importation authorised(*)</w:t>
            </w:r>
          </w:p>
        </w:tc>
        <w:tc>
          <w:tcPr>
            <w:tcW w:w="1701" w:type="dxa"/>
            <w:gridSpan w:val="6"/>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Importation suspended(*)</w:t>
            </w:r>
          </w:p>
        </w:tc>
        <w:tc>
          <w:tcPr>
            <w:tcW w:w="2409" w:type="dxa"/>
            <w:gridSpan w:val="4"/>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Verification requested - date</w:t>
            </w:r>
          </w:p>
        </w:tc>
      </w:tr>
      <w:tr>
        <w:trPr>
          <w:trHeight w:val="193"/>
        </w:trPr>
        <w:tc>
          <w:tcPr>
            <w:tcW w:w="3403" w:type="dxa"/>
            <w:gridSpan w:val="11"/>
            <w:tcBorders>
              <w:top w:val="single" w:sz="4" w:space="0" w:color="auto"/>
              <w:left w:val="single" w:sz="4" w:space="0" w:color="auto"/>
              <w:right w:val="single" w:sz="4" w:space="0" w:color="auto"/>
            </w:tcBorders>
          </w:tcPr>
          <w:p>
            <w:pPr>
              <w:rPr>
                <w:noProof/>
              </w:rPr>
            </w:pPr>
            <w:r>
              <w:rPr>
                <w:noProof/>
              </w:rPr>
              <w:t xml:space="preserve">13. Refusal of Catch Certificate </w:t>
            </w: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Catch certificate refused on the basis of:</w:t>
            </w:r>
          </w:p>
          <w:p>
            <w:pPr>
              <w:widowControl w:val="0"/>
              <w:spacing w:after="0"/>
              <w:rPr>
                <w:rFonts w:eastAsia="Times New Roman" w:cs="Times New Roman"/>
                <w:b/>
                <w:noProof/>
                <w:sz w:val="24"/>
                <w:szCs w:val="24"/>
                <w:lang w:val="en-GB" w:eastAsia="fr-BE"/>
              </w:rPr>
            </w:pP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w:t>
            </w:r>
          </w:p>
        </w:tc>
      </w:tr>
      <w:tr>
        <w:trPr>
          <w:trHeight w:val="193"/>
        </w:trPr>
        <w:tc>
          <w:tcPr>
            <w:tcW w:w="3403" w:type="dxa"/>
            <w:gridSpan w:val="11"/>
            <w:vMerge w:val="restart"/>
            <w:tcBorders>
              <w:left w:val="single" w:sz="4" w:space="0" w:color="auto"/>
              <w:right w:val="single" w:sz="4" w:space="0" w:color="auto"/>
            </w:tcBorders>
          </w:tcPr>
          <w:p>
            <w:pPr>
              <w:rPr>
                <w:noProof/>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(1a)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(1b)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(1c)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(1d)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(1e)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(1f)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(1g)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(2a)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(2b)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(2c)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lang w:eastAsia="fr-BE"/>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right w:val="single" w:sz="4" w:space="0" w:color="auto"/>
            </w:tcBorders>
          </w:tcPr>
          <w:p>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Art. 18 (2d)</w:t>
            </w:r>
          </w:p>
        </w:tc>
        <w:tc>
          <w:tcPr>
            <w:tcW w:w="1595" w:type="dxa"/>
            <w:tcBorders>
              <w:top w:val="single" w:sz="4" w:space="0" w:color="auto"/>
              <w:left w:val="single" w:sz="4" w:space="0" w:color="auto"/>
              <w:right w:val="single" w:sz="4" w:space="0" w:color="auto"/>
            </w:tcBorders>
          </w:tcPr>
          <w:p>
            <w:pPr>
              <w:widowControl w:val="0"/>
              <w:spacing w:after="0"/>
              <w:rPr>
                <w:rFonts w:eastAsia="Times New Roman" w:cs="Times New Roman"/>
                <w:b/>
                <w:noProof/>
                <w:sz w:val="24"/>
                <w:szCs w:val="24"/>
                <w:lang w:eastAsia="fr-BE"/>
              </w:rPr>
            </w:pPr>
          </w:p>
        </w:tc>
      </w:tr>
    </w:tbl>
    <w:p>
      <w:pPr>
        <w:widowControl w:val="0"/>
        <w:spacing w:after="0" w:line="360" w:lineRule="auto"/>
        <w:rPr>
          <w:rFonts w:eastAsia="Times New Roman" w:cs="Times New Roman"/>
          <w:noProof/>
          <w:lang w:eastAsia="fr-BE"/>
        </w:rPr>
      </w:pPr>
      <w:r>
        <w:rPr>
          <w:rFonts w:eastAsia="Times New Roman" w:cs="Times New Roman"/>
          <w:noProof/>
          <w:lang w:eastAsia="fr-BE"/>
        </w:rPr>
        <w:t>(*) Tick as appropriate</w:t>
      </w:r>
    </w:p>
    <w:p>
      <w:pPr>
        <w:rPr>
          <w:rFonts w:eastAsia="Times New Roman" w:cs="Times New Roman"/>
          <w:noProof/>
          <w:sz w:val="24"/>
          <w:szCs w:val="24"/>
          <w:lang w:eastAsia="fr-BE"/>
        </w:rPr>
      </w:pPr>
    </w:p>
    <w:p>
      <w:pPr>
        <w:rPr>
          <w:rFonts w:eastAsia="Times New Roman" w:cs="Times New Roman"/>
          <w:noProof/>
          <w:sz w:val="24"/>
          <w:szCs w:val="24"/>
          <w:lang w:eastAsia="fr-BE"/>
        </w:rPr>
      </w:pPr>
    </w:p>
    <w:tbl>
      <w:tblPr>
        <w:tblpPr w:leftFromText="180" w:rightFromText="180" w:vertAnchor="text" w:horzAnchor="margin" w:tblpY="195"/>
        <w:tblW w:w="9290" w:type="dxa"/>
        <w:tblBorders>
          <w:bottom w:val="single" w:sz="4" w:space="0" w:color="auto"/>
          <w:right w:val="single" w:sz="4" w:space="0" w:color="auto"/>
        </w:tblBorders>
        <w:tblLayout w:type="fixed"/>
        <w:tblLook w:val="04A0" w:firstRow="1" w:lastRow="0" w:firstColumn="1" w:lastColumn="0" w:noHBand="0" w:noVBand="1"/>
      </w:tblPr>
      <w:tblGrid>
        <w:gridCol w:w="9290"/>
      </w:tblGrid>
      <w:tr>
        <w:trPr>
          <w:trHeight w:val="169"/>
        </w:trPr>
        <w:tc>
          <w:tcPr>
            <w:tcW w:w="9290" w:type="dxa"/>
          </w:tcPr>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39"/>
              <w:gridCol w:w="530"/>
              <w:gridCol w:w="1053"/>
              <w:gridCol w:w="1467"/>
              <w:gridCol w:w="242"/>
              <w:gridCol w:w="118"/>
              <w:gridCol w:w="1896"/>
              <w:gridCol w:w="1350"/>
            </w:tblGrid>
            <w:tr>
              <w:trPr>
                <w:cantSplit/>
              </w:trPr>
              <w:tc>
                <w:tcPr>
                  <w:tcW w:w="9292" w:type="dxa"/>
                  <w:gridSpan w:val="9"/>
                  <w:tcBorders>
                    <w:top w:val="single" w:sz="4" w:space="0" w:color="auto"/>
                    <w:left w:val="single" w:sz="4" w:space="0" w:color="auto"/>
                    <w:bottom w:val="single" w:sz="4" w:space="0" w:color="auto"/>
                    <w:right w:val="nil"/>
                  </w:tcBorders>
                  <w:hideMark/>
                </w:tcPr>
                <w:p>
                  <w:pPr>
                    <w:framePr w:hSpace="180" w:wrap="around" w:vAnchor="text" w:hAnchor="margin" w:y="195"/>
                    <w:widowControl w:val="0"/>
                    <w:tabs>
                      <w:tab w:val="center" w:pos="4536"/>
                      <w:tab w:val="right" w:pos="8789"/>
                    </w:tabs>
                    <w:spacing w:after="0"/>
                    <w:rPr>
                      <w:rFonts w:ascii="Times New Roman" w:eastAsia="Times New Roman" w:hAnsi="Times New Roman" w:cs="Times New Roman"/>
                      <w:b/>
                      <w:noProof/>
                      <w:color w:val="000000"/>
                      <w:sz w:val="24"/>
                      <w:szCs w:val="24"/>
                      <w:u w:val="single"/>
                      <w:lang w:eastAsia="fr-BE"/>
                    </w:rPr>
                  </w:pPr>
                  <w:r>
                    <w:rPr>
                      <w:rFonts w:ascii="Times New Roman" w:eastAsia="Times New Roman" w:hAnsi="Times New Roman" w:cs="Times New Roman"/>
                      <w:b/>
                      <w:noProof/>
                      <w:color w:val="000000"/>
                      <w:sz w:val="24"/>
                      <w:szCs w:val="24"/>
                      <w:lang w:eastAsia="fr-BE"/>
                    </w:rPr>
                    <w:tab/>
                  </w:r>
                  <w:r>
                    <w:rPr>
                      <w:rFonts w:ascii="Times New Roman" w:eastAsia="Times New Roman" w:hAnsi="Times New Roman" w:cs="Times New Roman"/>
                      <w:b/>
                      <w:noProof/>
                      <w:color w:val="000000"/>
                      <w:sz w:val="24"/>
                      <w:szCs w:val="24"/>
                      <w:u w:val="single"/>
                      <w:lang w:eastAsia="fr-BE"/>
                    </w:rPr>
                    <w:t>(ii) EUROPEAN UNION RE-EXPORT CERTIFICATE</w:t>
                  </w:r>
                </w:p>
              </w:tc>
            </w:tr>
            <w:tr>
              <w:trPr>
                <w:cantSplit/>
              </w:trPr>
              <w:tc>
                <w:tcPr>
                  <w:tcW w:w="2597"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Certificate number</w:t>
                  </w:r>
                </w:p>
              </w:tc>
              <w:tc>
                <w:tcPr>
                  <w:tcW w:w="3331" w:type="dxa"/>
                  <w:gridSpan w:val="5"/>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 xml:space="preserve">Date </w:t>
                  </w:r>
                </w:p>
              </w:tc>
              <w:tc>
                <w:tcPr>
                  <w:tcW w:w="3364" w:type="dxa"/>
                  <w:gridSpan w:val="3"/>
                  <w:tcBorders>
                    <w:top w:val="single" w:sz="4" w:space="0" w:color="auto"/>
                    <w:left w:val="single" w:sz="4" w:space="0" w:color="auto"/>
                    <w:bottom w:val="nil"/>
                    <w:right w:val="nil"/>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Member State</w:t>
                  </w:r>
                </w:p>
              </w:tc>
            </w:tr>
            <w:tr>
              <w:trPr>
                <w:cantSplit/>
                <w:trHeight w:val="391"/>
              </w:trPr>
              <w:tc>
                <w:tcPr>
                  <w:tcW w:w="4219" w:type="dxa"/>
                  <w:gridSpan w:val="4"/>
                  <w:tcBorders>
                    <w:top w:val="single" w:sz="4" w:space="0" w:color="auto"/>
                    <w:left w:val="single" w:sz="4" w:space="0" w:color="auto"/>
                    <w:bottom w:val="single" w:sz="4" w:space="0" w:color="auto"/>
                    <w:right w:val="nil"/>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1. Description of re-exported product:</w:t>
                  </w:r>
                </w:p>
              </w:tc>
              <w:tc>
                <w:tcPr>
                  <w:tcW w:w="5073" w:type="dxa"/>
                  <w:gridSpan w:val="5"/>
                  <w:tcBorders>
                    <w:top w:val="single" w:sz="4" w:space="0" w:color="auto"/>
                    <w:left w:val="single" w:sz="4" w:space="0" w:color="auto"/>
                    <w:bottom w:val="single" w:sz="4" w:space="0" w:color="auto"/>
                    <w:right w:val="single" w:sz="4" w:space="0" w:color="auto"/>
                  </w:tcBorders>
                  <w:hideMark/>
                </w:tcPr>
                <w:p>
                  <w:pPr>
                    <w:framePr w:hSpace="180" w:wrap="around" w:vAnchor="text" w:hAnchor="margin" w:y="195"/>
                    <w:widowControl w:val="0"/>
                    <w:autoSpaceDE w:val="0"/>
                    <w:autoSpaceDN w:val="0"/>
                    <w:adjustRightInd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val="en-GB" w:eastAsia="fr-BE"/>
                    </w:rPr>
                    <w:t xml:space="preserve"> </w:t>
                  </w:r>
                  <w:r>
                    <w:rPr>
                      <w:rFonts w:ascii="Times New Roman" w:eastAsia="Times New Roman" w:hAnsi="Times New Roman" w:cs="Times New Roman"/>
                      <w:b/>
                      <w:noProof/>
                      <w:color w:val="000000"/>
                      <w:sz w:val="24"/>
                      <w:szCs w:val="24"/>
                      <w:lang w:eastAsia="fr-BE"/>
                    </w:rPr>
                    <w:t xml:space="preserve">Weight (kg) </w:t>
                  </w:r>
                </w:p>
              </w:tc>
            </w:tr>
            <w:tr>
              <w:trPr>
                <w:trHeight w:val="547"/>
              </w:trPr>
              <w:tc>
                <w:tcPr>
                  <w:tcW w:w="3166" w:type="dxa"/>
                  <w:gridSpan w:val="3"/>
                  <w:tcBorders>
                    <w:top w:val="single" w:sz="4" w:space="0" w:color="auto"/>
                    <w:left w:val="single" w:sz="4" w:space="0" w:color="auto"/>
                    <w:bottom w:val="single" w:sz="4" w:space="0" w:color="auto"/>
                    <w:right w:val="single" w:sz="4" w:space="0" w:color="auto"/>
                  </w:tcBorders>
                  <w:vAlign w:val="center"/>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Species</w:t>
                  </w: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Product code</w:t>
                  </w:r>
                </w:p>
              </w:tc>
              <w:tc>
                <w:tcPr>
                  <w:tcW w:w="3246" w:type="dxa"/>
                  <w:gridSpan w:val="2"/>
                  <w:tcBorders>
                    <w:top w:val="single" w:sz="4" w:space="0" w:color="auto"/>
                    <w:left w:val="single" w:sz="4" w:space="0" w:color="auto"/>
                    <w:bottom w:val="single" w:sz="4" w:space="0" w:color="auto"/>
                    <w:right w:val="nil"/>
                  </w:tcBorders>
                  <w:vAlign w:val="center"/>
                  <w:hideMark/>
                </w:tcPr>
                <w:p>
                  <w:pPr>
                    <w:framePr w:hSpace="180" w:wrap="around" w:vAnchor="text" w:hAnchor="margin" w:y="195"/>
                    <w:widowControl w:val="0"/>
                    <w:spacing w:after="0"/>
                    <w:jc w:val="center"/>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 xml:space="preserve">Balance from total quantity declared in the catch certificate </w:t>
                  </w:r>
                </w:p>
              </w:tc>
            </w:tr>
            <w:tr>
              <w:trPr>
                <w:cantSplit/>
                <w:trHeight w:val="360"/>
              </w:trPr>
              <w:tc>
                <w:tcPr>
                  <w:tcW w:w="2636" w:type="dxa"/>
                  <w:gridSpan w:val="2"/>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2. Name of re-exporter</w:t>
                  </w:r>
                </w:p>
              </w:tc>
              <w:tc>
                <w:tcPr>
                  <w:tcW w:w="3050" w:type="dxa"/>
                  <w:gridSpan w:val="3"/>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Address</w:t>
                  </w:r>
                </w:p>
              </w:tc>
              <w:tc>
                <w:tcPr>
                  <w:tcW w:w="2256" w:type="dxa"/>
                  <w:gridSpan w:val="3"/>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 xml:space="preserve">Signature </w:t>
                  </w:r>
                </w:p>
              </w:tc>
              <w:tc>
                <w:tcPr>
                  <w:tcW w:w="1350"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Date</w:t>
                  </w:r>
                </w:p>
              </w:tc>
            </w:tr>
          </w:tbl>
          <w:p>
            <w:pPr>
              <w:widowControl w:val="0"/>
              <w:pBdr>
                <w:top w:val="single" w:sz="4" w:space="1" w:color="auto"/>
                <w:left w:val="single" w:sz="4" w:space="4" w:color="auto"/>
                <w:bottom w:val="single" w:sz="4" w:space="0" w:color="auto"/>
                <w:right w:val="single" w:sz="4" w:space="4" w:color="auto"/>
                <w:between w:val="single" w:sz="4" w:space="1" w:color="auto"/>
              </w:pBdr>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 xml:space="preserve">3. Authority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3050"/>
              <w:gridCol w:w="2104"/>
              <w:gridCol w:w="1498"/>
            </w:tblGrid>
            <w:tr>
              <w:trPr>
                <w:cantSplit/>
                <w:trHeight w:val="360"/>
              </w:trPr>
              <w:tc>
                <w:tcPr>
                  <w:tcW w:w="2638" w:type="dxa"/>
                  <w:tcBorders>
                    <w:top w:val="single" w:sz="4" w:space="0" w:color="auto"/>
                    <w:left w:val="single" w:sz="4" w:space="0" w:color="auto"/>
                    <w:bottom w:val="nil"/>
                    <w:right w:val="single" w:sz="4" w:space="0" w:color="auto"/>
                  </w:tcBorders>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 xml:space="preserve">Name/Title </w:t>
                  </w:r>
                </w:p>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p>
              </w:tc>
              <w:tc>
                <w:tcPr>
                  <w:tcW w:w="3050"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Signature</w:t>
                  </w:r>
                </w:p>
              </w:tc>
              <w:tc>
                <w:tcPr>
                  <w:tcW w:w="2104"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Date</w:t>
                  </w:r>
                </w:p>
              </w:tc>
              <w:tc>
                <w:tcPr>
                  <w:tcW w:w="1498"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Seal/Stamp</w:t>
                  </w:r>
                </w:p>
              </w:tc>
            </w:tr>
          </w:tbl>
          <w:p>
            <w:pPr>
              <w:widowControl w:val="0"/>
              <w:pBdr>
                <w:top w:val="single" w:sz="4" w:space="0" w:color="auto"/>
                <w:left w:val="single" w:sz="4" w:space="4" w:color="auto"/>
                <w:bottom w:val="single" w:sz="4" w:space="0" w:color="auto"/>
                <w:right w:val="single" w:sz="4" w:space="4" w:color="auto"/>
                <w:between w:val="single" w:sz="4" w:space="1" w:color="auto"/>
              </w:pBdr>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4. Re-export Control</w:t>
            </w:r>
          </w:p>
          <w:tbl>
            <w:tblPr>
              <w:tblW w:w="929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20"/>
              <w:gridCol w:w="2520"/>
              <w:gridCol w:w="2162"/>
            </w:tblGrid>
            <w:tr>
              <w:trPr>
                <w:cantSplit/>
                <w:trHeight w:val="501"/>
              </w:trPr>
              <w:tc>
                <w:tcPr>
                  <w:tcW w:w="2088" w:type="dxa"/>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 xml:space="preserve">Place: </w:t>
                  </w:r>
                </w:p>
              </w:tc>
              <w:tc>
                <w:tcPr>
                  <w:tcW w:w="2520" w:type="dxa"/>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Re-export authorised(*)</w:t>
                  </w:r>
                </w:p>
              </w:tc>
              <w:tc>
                <w:tcPr>
                  <w:tcW w:w="2520" w:type="dxa"/>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Verification requested(*)</w:t>
                  </w:r>
                </w:p>
              </w:tc>
              <w:tc>
                <w:tcPr>
                  <w:tcW w:w="2162" w:type="dxa"/>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Re-export declaration number and date</w:t>
                  </w:r>
                </w:p>
              </w:tc>
            </w:tr>
          </w:tbl>
          <w:p>
            <w:pPr>
              <w:widowControl w:val="0"/>
              <w:spacing w:after="0" w:line="360" w:lineRule="auto"/>
              <w:rPr>
                <w:rFonts w:ascii="Times New Roman" w:eastAsia="Times New Roman" w:hAnsi="Times New Roman" w:cs="Times New Roman"/>
                <w:b/>
                <w:noProof/>
                <w:color w:val="000000"/>
                <w:sz w:val="24"/>
                <w:szCs w:val="24"/>
                <w:u w:val="single"/>
                <w:lang w:val="en-GB" w:eastAsia="fr-BE"/>
              </w:rPr>
            </w:pPr>
          </w:p>
        </w:tc>
      </w:tr>
    </w:tbl>
    <w:p>
      <w:pPr>
        <w:rPr>
          <w:noProof/>
          <w:lang w:val="en-GB"/>
        </w:rPr>
      </w:pPr>
      <w:r>
        <w:rPr>
          <w:noProof/>
          <w:lang w:val="en-GB"/>
        </w:rPr>
        <w:t>(*) Tick as appropriate</w:t>
      </w:r>
    </w:p>
    <w:p>
      <w:pPr>
        <w:jc w:val="center"/>
        <w:rPr>
          <w:rFonts w:ascii="Times New Roman" w:hAnsi="Times New Roman" w:cs="Times New Roman"/>
          <w:b/>
          <w:noProof/>
          <w:sz w:val="24"/>
          <w:szCs w:val="24"/>
          <w:lang w:val="en-GB"/>
        </w:rPr>
      </w:pPr>
    </w:p>
    <w:p>
      <w:pPr>
        <w:rPr>
          <w:rFonts w:ascii="Times New Roman" w:hAnsi="Times New Roman" w:cs="Times New Roman"/>
          <w:b/>
          <w:noProof/>
          <w:sz w:val="24"/>
          <w:szCs w:val="24"/>
          <w:lang w:val="en-GB"/>
        </w:rPr>
      </w:pPr>
      <w:r>
        <w:rPr>
          <w:rFonts w:ascii="Times New Roman" w:hAnsi="Times New Roman" w:cs="Times New Roman"/>
          <w:b/>
          <w:noProof/>
          <w:sz w:val="24"/>
          <w:szCs w:val="24"/>
          <w:lang w:val="en-GB"/>
        </w:rPr>
        <w:br w:type="page"/>
      </w:r>
    </w:p>
    <w:p>
      <w:pP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Appendix</w:t>
      </w:r>
    </w:p>
    <w:p>
      <w:pP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TRANSPORT DETAILS</w:t>
      </w:r>
    </w:p>
    <w:tbl>
      <w:tblPr>
        <w:tblpPr w:leftFromText="180" w:rightFromText="180" w:vertAnchor="text" w:horzAnchor="margin" w:tblpY="195"/>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607"/>
        <w:gridCol w:w="1135"/>
        <w:gridCol w:w="1291"/>
        <w:gridCol w:w="1369"/>
      </w:tblGrid>
      <w:tr>
        <w:trPr>
          <w:cantSplit/>
          <w:trHeight w:val="708"/>
        </w:trPr>
        <w:tc>
          <w:tcPr>
            <w:tcW w:w="3888"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1. Country of exportation</w:t>
            </w:r>
          </w:p>
          <w:p>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Port/airport/other place of departure</w:t>
            </w:r>
          </w:p>
        </w:tc>
        <w:tc>
          <w:tcPr>
            <w:tcW w:w="5402" w:type="dxa"/>
            <w:gridSpan w:val="4"/>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b/>
                <w:noProof/>
                <w:sz w:val="24"/>
                <w:szCs w:val="24"/>
                <w:lang w:eastAsia="fr-BE"/>
              </w:rPr>
              <w:t>2. Exporter Signature</w:t>
            </w:r>
            <w:r>
              <w:rPr>
                <w:rFonts w:ascii="Times New Roman" w:eastAsia="Times New Roman" w:hAnsi="Times New Roman" w:cs="Times New Roman"/>
                <w:noProof/>
                <w:sz w:val="24"/>
                <w:szCs w:val="24"/>
                <w:lang w:eastAsia="fr-BE"/>
              </w:rPr>
              <w:t xml:space="preserve"> </w:t>
            </w:r>
          </w:p>
        </w:tc>
      </w:tr>
      <w:tr>
        <w:trPr>
          <w:cantSplit/>
        </w:trPr>
        <w:tc>
          <w:tcPr>
            <w:tcW w:w="3888"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Vessel name and flag</w:t>
            </w:r>
          </w:p>
          <w:p>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Flight number/ airway bill number</w:t>
            </w:r>
          </w:p>
          <w:p>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Truck nationality and registration number</w:t>
            </w:r>
          </w:p>
          <w:p>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Railway bill number</w:t>
            </w:r>
          </w:p>
          <w:p>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 xml:space="preserve">Other transport document </w:t>
            </w:r>
          </w:p>
        </w:tc>
        <w:tc>
          <w:tcPr>
            <w:tcW w:w="1607" w:type="dxa"/>
            <w:tcBorders>
              <w:top w:val="single" w:sz="4" w:space="0" w:color="auto"/>
              <w:left w:val="single" w:sz="4" w:space="0" w:color="auto"/>
              <w:bottom w:val="single" w:sz="4" w:space="0" w:color="auto"/>
              <w:right w:val="single" w:sz="4" w:space="0" w:color="auto"/>
            </w:tcBorders>
          </w:tcPr>
          <w:p>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 xml:space="preserve">Container number(s) </w:t>
            </w:r>
          </w:p>
          <w:p>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list attached</w:t>
            </w:r>
          </w:p>
          <w:p>
            <w:pPr>
              <w:widowControl w:val="0"/>
              <w:spacing w:after="0" w:line="360" w:lineRule="auto"/>
              <w:rPr>
                <w:rFonts w:ascii="Times New Roman" w:eastAsia="Times New Roman" w:hAnsi="Times New Roman" w:cs="Times New Roman"/>
                <w:b/>
                <w:noProof/>
                <w:color w:val="000000"/>
                <w:sz w:val="24"/>
                <w:szCs w:val="24"/>
                <w:lang w:eastAsia="fr-BE"/>
              </w:rPr>
            </w:pP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Name</w:t>
            </w:r>
          </w:p>
        </w:tc>
        <w:tc>
          <w:tcPr>
            <w:tcW w:w="1291"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Address</w:t>
            </w:r>
          </w:p>
        </w:tc>
        <w:tc>
          <w:tcPr>
            <w:tcW w:w="1369"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Signature</w:t>
            </w:r>
          </w:p>
        </w:tc>
      </w:tr>
    </w:tbl>
    <w:p>
      <w:pPr>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645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1553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tabs>
        <w:tab w:val="clear" w:pos="4536"/>
        <w:tab w:val="clear" w:pos="9072"/>
        <w:tab w:val="left" w:pos="7593"/>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en-GB"/>
        </w:rPr>
      </w:pPr>
      <w:r>
        <w:rPr>
          <w:rStyle w:val="FootnoteReference"/>
        </w:rPr>
        <w:footnoteRef/>
      </w:r>
      <w:r>
        <w:rPr>
          <w:lang w:val="en-US"/>
        </w:rPr>
        <w:t xml:space="preserve"> The amounts referred to in this annex shall be calculated on the value of the fisheries products obtained by committing the infringement according to the prices in force on the EUMOFA platform at the time of the identification of the infringement, if available. In the situation where the EUMOFA values are not available or not relevant, national prices or prices identified on principal international markets relevant for the species concerned shall be applicable, and the higher price prevails.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1E1"/>
    <w:multiLevelType w:val="hybridMultilevel"/>
    <w:tmpl w:val="652A7468"/>
    <w:lvl w:ilvl="0" w:tplc="DB284B9C">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12364FE9"/>
    <w:multiLevelType w:val="hybridMultilevel"/>
    <w:tmpl w:val="B4442934"/>
    <w:lvl w:ilvl="0" w:tplc="DB284B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2C341B"/>
    <w:multiLevelType w:val="hybridMultilevel"/>
    <w:tmpl w:val="458CA336"/>
    <w:lvl w:ilvl="0" w:tplc="DCB25C0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D870636"/>
    <w:multiLevelType w:val="hybridMultilevel"/>
    <w:tmpl w:val="E4949D18"/>
    <w:lvl w:ilvl="0" w:tplc="DB284B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753263"/>
    <w:multiLevelType w:val="hybridMultilevel"/>
    <w:tmpl w:val="6F20BC96"/>
    <w:lvl w:ilvl="0" w:tplc="153E4E6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0F7CBE"/>
    <w:multiLevelType w:val="hybridMultilevel"/>
    <w:tmpl w:val="1F488ADA"/>
    <w:lvl w:ilvl="0" w:tplc="0FF216F6">
      <w:start w:val="1"/>
      <w:numFmt w:val="lowerLetter"/>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50849"/>
    <w:multiLevelType w:val="hybridMultilevel"/>
    <w:tmpl w:val="DA28B2B0"/>
    <w:lvl w:ilvl="0" w:tplc="5CA23DA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F912A1"/>
    <w:multiLevelType w:val="hybridMultilevel"/>
    <w:tmpl w:val="FF6ED2D0"/>
    <w:lvl w:ilvl="0" w:tplc="F1A0225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F32C74"/>
    <w:multiLevelType w:val="hybridMultilevel"/>
    <w:tmpl w:val="6F2EA180"/>
    <w:lvl w:ilvl="0" w:tplc="BE86A0D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570528"/>
    <w:multiLevelType w:val="hybridMultilevel"/>
    <w:tmpl w:val="62C6B3B6"/>
    <w:lvl w:ilvl="0" w:tplc="14D0C9EE">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1059AF"/>
    <w:multiLevelType w:val="hybridMultilevel"/>
    <w:tmpl w:val="44D4C740"/>
    <w:lvl w:ilvl="0" w:tplc="0ED6699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313FBB"/>
    <w:multiLevelType w:val="hybridMultilevel"/>
    <w:tmpl w:val="36F83072"/>
    <w:lvl w:ilvl="0" w:tplc="7AEC0FBE">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E65757"/>
    <w:multiLevelType w:val="hybridMultilevel"/>
    <w:tmpl w:val="7B2C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811E9D"/>
    <w:multiLevelType w:val="hybridMultilevel"/>
    <w:tmpl w:val="4D1A6D58"/>
    <w:lvl w:ilvl="0" w:tplc="DB284B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FB3DF9"/>
    <w:multiLevelType w:val="hybridMultilevel"/>
    <w:tmpl w:val="9E828F68"/>
    <w:lvl w:ilvl="0" w:tplc="CDDAA6E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6917BE"/>
    <w:multiLevelType w:val="hybridMultilevel"/>
    <w:tmpl w:val="9620B6F8"/>
    <w:lvl w:ilvl="0" w:tplc="FD06514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6"/>
  </w:num>
  <w:num w:numId="10">
    <w:abstractNumId w:val="12"/>
  </w:num>
  <w:num w:numId="11">
    <w:abstractNumId w:val="7"/>
  </w:num>
  <w:num w:numId="12">
    <w:abstractNumId w:val="8"/>
  </w:num>
  <w:num w:numId="13">
    <w:abstractNumId w:val="10"/>
  </w:num>
  <w:num w:numId="14">
    <w:abstractNumId w:val="5"/>
  </w:num>
  <w:num w:numId="15">
    <w:abstractNumId w:val="11"/>
  </w:num>
  <w:num w:numId="16">
    <w:abstractNumId w:val="15"/>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w:docVar w:name="LW_ANNEX_NBR_FIRST" w:val="1"/>
    <w:docVar w:name="LW_ANNEX_NBR_LAST" w:val="1"/>
    <w:docVar w:name="LW_ANNEX_UNIQUE" w:val="1"/>
    <w:docVar w:name="LW_CORRIGENDUM" w:val="&lt;UNUSED&gt;"/>
    <w:docVar w:name="LW_COVERPAGE_EXISTS" w:val="True"/>
    <w:docVar w:name="LW_COVERPAGE_GUID" w:val="3B637DA2-B2F6-4B7B-8A8F-B059637FE8A3"/>
    <w:docVar w:name="LW_COVERPAGE_TYPE" w:val="1"/>
    <w:docVar w:name="LW_CROSSREFERENCE" w:val="{SEC(2018) 267 final}_x000b_{SWD(2018) 279 final}_x000b_{SWD(2018) 280 final}"/>
    <w:docVar w:name="LW_DocType" w:val="NORMAL"/>
    <w:docVar w:name="LW_EMISSION" w:val="30.5.2018"/>
    <w:docVar w:name="LW_EMISSION_ISODATE" w:val="2018-05-30"/>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amending Council Regulation (EC) No 1224/2009, and amending Council Regulations (EC) No 768/2005, (EC) No 1967/2006, (EC) No 1005/2008, and Regulation (EU) No 2016/1139 of the European Parliament and of the Council as regards fisheries controls_x000b_"/>
    <w:docVar w:name="LW_PART_NBR" w:val="1"/>
    <w:docVar w:name="LW_PART_NBR_TOTAL" w:val="1"/>
    <w:docVar w:name="LW_REF.INST.NEW" w:val="COM"/>
    <w:docVar w:name="LW_REF.INST.NEW_ADOPTED" w:val="final"/>
    <w:docVar w:name="LW_REF.INST.NEW_TEXT" w:val="(2018)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paragraph" w:styleId="Header">
    <w:name w:val="header"/>
    <w:basedOn w:val="Normal"/>
    <w:link w:val="HeaderChar"/>
    <w:uiPriority w:val="99"/>
    <w:unhideWhenUsed/>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Pr>
      <w:lang w:val="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lang w:val="en-GB"/>
    </w:rPr>
  </w:style>
  <w:style w:type="paragraph" w:customStyle="1" w:styleId="Point0number">
    <w:name w:val="Point 0 (number)"/>
    <w:basedOn w:val="Normal"/>
    <w:pPr>
      <w:numPr>
        <w:numId w:val="5"/>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pPr>
      <w:numPr>
        <w:ilvl w:val="2"/>
        <w:numId w:val="5"/>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pPr>
      <w:numPr>
        <w:ilvl w:val="4"/>
        <w:numId w:val="5"/>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pPr>
      <w:numPr>
        <w:ilvl w:val="6"/>
        <w:numId w:val="5"/>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pPr>
      <w:numPr>
        <w:ilvl w:val="1"/>
        <w:numId w:val="5"/>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pPr>
      <w:numPr>
        <w:ilvl w:val="3"/>
        <w:numId w:val="5"/>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pPr>
      <w:numPr>
        <w:ilvl w:val="5"/>
        <w:numId w:val="5"/>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pPr>
      <w:numPr>
        <w:ilvl w:val="7"/>
        <w:numId w:val="5"/>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pPr>
      <w:numPr>
        <w:ilvl w:val="8"/>
        <w:numId w:val="5"/>
      </w:numPr>
      <w:spacing w:before="120" w:after="120" w:line="240" w:lineRule="auto"/>
      <w:jc w:val="both"/>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lang w:val="fr-FR"/>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paragraph" w:styleId="Header">
    <w:name w:val="header"/>
    <w:basedOn w:val="Normal"/>
    <w:link w:val="HeaderChar"/>
    <w:uiPriority w:val="99"/>
    <w:unhideWhenUsed/>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Pr>
      <w:lang w:val="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lang w:val="en-GB"/>
    </w:rPr>
  </w:style>
  <w:style w:type="paragraph" w:customStyle="1" w:styleId="Point0number">
    <w:name w:val="Point 0 (number)"/>
    <w:basedOn w:val="Normal"/>
    <w:pPr>
      <w:numPr>
        <w:numId w:val="5"/>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pPr>
      <w:numPr>
        <w:ilvl w:val="2"/>
        <w:numId w:val="5"/>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pPr>
      <w:numPr>
        <w:ilvl w:val="4"/>
        <w:numId w:val="5"/>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pPr>
      <w:numPr>
        <w:ilvl w:val="6"/>
        <w:numId w:val="5"/>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pPr>
      <w:numPr>
        <w:ilvl w:val="1"/>
        <w:numId w:val="5"/>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pPr>
      <w:numPr>
        <w:ilvl w:val="3"/>
        <w:numId w:val="5"/>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pPr>
      <w:numPr>
        <w:ilvl w:val="5"/>
        <w:numId w:val="5"/>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pPr>
      <w:numPr>
        <w:ilvl w:val="7"/>
        <w:numId w:val="5"/>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pPr>
      <w:numPr>
        <w:ilvl w:val="8"/>
        <w:numId w:val="5"/>
      </w:numPr>
      <w:spacing w:before="120" w:after="120" w:line="240" w:lineRule="auto"/>
      <w:jc w:val="both"/>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lang w:val="fr-FR"/>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0918-5CE0-49C5-B6C7-D6AF083C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2425</Words>
  <Characters>12952</Characters>
  <Application>Microsoft Office Word</Application>
  <DocSecurity>0</DocSecurity>
  <Lines>588</Lines>
  <Paragraphs>341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COURCY Nils (MARE)</dc:creator>
  <cp:lastModifiedBy>DIGIT/A3</cp:lastModifiedBy>
  <cp:revision>11</cp:revision>
  <dcterms:created xsi:type="dcterms:W3CDTF">2018-05-08T09:37:00Z</dcterms:created>
  <dcterms:modified xsi:type="dcterms:W3CDTF">2018-05-30T09:20:00Z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