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6A879BF-CA6B-4ECD-BE0B-04F51E0836A3"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II</w:t>
      </w:r>
    </w:p>
    <w:p>
      <w:pPr>
        <w:jc w:val="center"/>
        <w:rPr>
          <w:b/>
          <w:noProof/>
        </w:rPr>
      </w:pPr>
      <w:r>
        <w:rPr>
          <w:b/>
          <w:noProof/>
        </w:rPr>
        <w:t>MONITORING INDICATORS FOR REPORTING AND REVIEW</w:t>
      </w:r>
    </w:p>
    <w:p>
      <w:pPr>
        <w:rPr>
          <w:b/>
          <w:noProof/>
          <w:szCs w:val="24"/>
        </w:rPr>
      </w:pPr>
    </w:p>
    <w:p>
      <w:pPr>
        <w:rPr>
          <w:b/>
          <w:noProof/>
        </w:rPr>
      </w:pPr>
      <w:r>
        <w:rPr>
          <w:b/>
          <w:noProof/>
        </w:rPr>
        <w:t xml:space="preserve">1. Scope </w:t>
      </w:r>
    </w:p>
    <w:p>
      <w:pPr>
        <w:rPr>
          <w:noProof/>
        </w:rPr>
      </w:pPr>
      <w:r>
        <w:rPr>
          <w:noProof/>
        </w:rPr>
        <w:t>Pursuant to Article 22 of the Regulation and paragraph 22 and 23 of the Inter-institutional agreement for Better Law-Making of 13 April 2016, there is a need to evaluate the Regulation in order to ensure the effective assessment of progress of the Regulation towards the achievement of the objectives set out in recital 35 and Article 1.</w:t>
      </w:r>
    </w:p>
    <w:p>
      <w:pPr>
        <w:rPr>
          <w:noProof/>
        </w:rPr>
      </w:pPr>
      <w:r>
        <w:rPr>
          <w:noProof/>
        </w:rPr>
        <w:t xml:space="preserve">This will be done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Regulation on the ground. </w:t>
      </w:r>
    </w:p>
    <w:p>
      <w:pPr>
        <w:rPr>
          <w:b/>
          <w:noProof/>
        </w:rPr>
      </w:pPr>
      <w:r>
        <w:rPr>
          <w:b/>
          <w:noProof/>
        </w:rPr>
        <w:t>2. Indicators</w:t>
      </w:r>
    </w:p>
    <w:p>
      <w:pPr>
        <w:rPr>
          <w:noProof/>
        </w:rPr>
      </w:pPr>
      <w:r>
        <w:rPr>
          <w:noProof/>
        </w:rPr>
        <w:t xml:space="preserve">The following indicators to review and report on progress of the Regulation towards the achievement of its objectives may be used by the Commission in the context of the review and reporting referred to in Article 22: </w:t>
      </w:r>
    </w:p>
    <w:p>
      <w:pPr>
        <w:rPr>
          <w:noProof/>
        </w:rPr>
      </w:pPr>
      <w:r>
        <w:rPr>
          <w:noProof/>
        </w:rPr>
        <w:t>(a) GDP;</w:t>
      </w:r>
    </w:p>
    <w:p>
      <w:pPr>
        <w:rPr>
          <w:noProof/>
        </w:rPr>
      </w:pPr>
      <w:r>
        <w:rPr>
          <w:noProof/>
        </w:rPr>
        <w:t>(b) measures of the output gap;</w:t>
      </w:r>
    </w:p>
    <w:p>
      <w:pPr>
        <w:rPr>
          <w:noProof/>
        </w:rPr>
      </w:pPr>
      <w:r>
        <w:rPr>
          <w:noProof/>
        </w:rPr>
        <w:t>(c) employment, unemployment rate, participation rates, indicators of part time employment, hours worked;</w:t>
      </w:r>
    </w:p>
    <w:p>
      <w:pPr>
        <w:rPr>
          <w:noProof/>
        </w:rPr>
      </w:pPr>
      <w:r>
        <w:rPr>
          <w:noProof/>
        </w:rPr>
        <w:t>(d) gross fixed capital formation of the general government, including sectoral data;</w:t>
      </w:r>
    </w:p>
    <w:p>
      <w:pPr>
        <w:rPr>
          <w:noProof/>
        </w:rPr>
      </w:pPr>
      <w:r>
        <w:rPr>
          <w:noProof/>
        </w:rPr>
        <w:t>(e) gross fixed capital formation financed by programmes supported by the Union under the European Regional Development Fund, the Cohesion fund, the European Social Fund, the European Maritime and Fisheries Fund and the European Agricultural Fund for Rural Development;</w:t>
      </w:r>
    </w:p>
    <w:p>
      <w:pPr>
        <w:rPr>
          <w:noProof/>
        </w:rPr>
      </w:pPr>
      <w:r>
        <w:rPr>
          <w:noProof/>
        </w:rPr>
        <w:t xml:space="preserve">(f) general government accounts, including the budget balance, the cyclically adjusted budget balance, the fiscal stance, public deficit, debt, revenue patterns including windfalls and shortfalls, automatic stabilisers, interest expenditure; </w:t>
      </w:r>
    </w:p>
    <w:p>
      <w:pPr>
        <w:rPr>
          <w:noProof/>
        </w:rPr>
      </w:pPr>
      <w:r>
        <w:rPr>
          <w:noProof/>
        </w:rPr>
        <w:t>(g) financial market data, such as interest rates of sovereign bonds.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7EF9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CA1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642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8015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287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663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A28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230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12:40: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66A879BF-CA6B-4ECD-BE0B-04F51E0836A3"/>
    <w:docVar w:name="LW_COVERPAGE_TYPE" w:val="1"/>
    <w:docVar w:name="LW_CROSSREFERENCE" w:val="{SEC(2018) 277 final}_x000b_{SWD(2018) 297 final}_x000b_{SWD(2018) 298 final}"/>
    <w:docVar w:name="LW_DocType" w:val="ANNEX"/>
    <w:docVar w:name="LW_EMISSION" w:val="31.5.2018"/>
    <w:docVar w:name="LW_EMISSION_ISODATE" w:val="2018-05-3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stablishment of a European Investment Stabilisation Function"/>
    <w:docVar w:name="LW_OBJETACTEPRINCIPAL.CP" w:val="on the establishment of a European Investment Stabilisation Function"/>
    <w:docVar w:name="LW_PART_NBR" w:val="1"/>
    <w:docVar w:name="LW_PART_NBR_TOTAL" w:val="1"/>
    <w:docVar w:name="LW_REF.INST.NEW" w:val="COM"/>
    <w:docVar w:name="LW_REF.INST.NEW_ADOPTED" w:val="final"/>
    <w:docVar w:name="LW_REF.INST.NEW_TEXT" w:val="(2018)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EE3C-6E83-4577-AE97-8191D040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265</Words>
  <Characters>1526</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7</cp:revision>
  <cp:lastPrinted>2017-11-30T16:13:00Z</cp:lastPrinted>
  <dcterms:created xsi:type="dcterms:W3CDTF">2018-05-28T15:05:00Z</dcterms:created>
  <dcterms:modified xsi:type="dcterms:W3CDTF">2018-05-29T14:22:00Z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