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27A73F0-19CF-40BE-AC18-5297798C90B7" style="width:450.35pt;height:436.7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Споразумението между Европейския съюз и Конфедерация Швейцария за свързване на техните системи за търговия с емисии на парникови газове, във връзка с предвиденото приемане на неговия процедурен правилник.</w:t>
      </w:r>
    </w:p>
    <w:p>
      <w:pPr>
        <w:pStyle w:val="ManualHeading1"/>
        <w:rPr>
          <w:noProof/>
        </w:rPr>
      </w:pPr>
      <w:r>
        <w:t>2.</w:t>
      </w:r>
      <w:r>
        <w:tab/>
      </w:r>
      <w:r>
        <w:rPr>
          <w:noProof/>
        </w:rPr>
        <w:t>Контекст на предложението</w:t>
      </w:r>
    </w:p>
    <w:p>
      <w:pPr>
        <w:pStyle w:val="ManualHeading2"/>
        <w:rPr>
          <w:noProof/>
        </w:rPr>
      </w:pPr>
      <w:r>
        <w:t>2.1.</w:t>
      </w:r>
      <w:r>
        <w:tab/>
      </w:r>
      <w:r>
        <w:rPr>
          <w:noProof/>
        </w:rPr>
        <w:t>Споразумението между Европейския съюз и Конфедерация Швейцария за свързване на техните системи за търговия с емисии на парникови газове</w:t>
      </w:r>
    </w:p>
    <w:p>
      <w:pPr>
        <w:rPr>
          <w:rFonts w:eastAsia="Arial Unicode MS"/>
          <w:noProof/>
        </w:rPr>
      </w:pPr>
      <w:r>
        <w:rPr>
          <w:noProof/>
        </w:rPr>
        <w:t xml:space="preserve">Споразумението между Европейския съюз и Конфедерация Швейцария за свързване на техните системи за търговия с емисии на парникови газове („споразумението“) има за цел да свърже системата на ЕС за търговия с емисии (СТЕ на ЕС) с тази на Швейцария, като даде възможност квотите от едната система да могат да бъдат търгувани и използвани за отчитане на емисии в другата система и разшири възможностите за смекчаване на последиците от изменението на климата. Споразумението бе подписано на 23 ноември 2017 г. То ще влезе в сила на 1 януари след размяната на инструментите за ратифициране или одобрение на страните. В споразумението обаче се предвижда, че членове 11—13 от него се прилагат временно от датата на неговото подписване. </w:t>
      </w:r>
    </w:p>
    <w:p>
      <w:pPr>
        <w:pStyle w:val="ManualHeading2"/>
        <w:rPr>
          <w:noProof/>
        </w:rPr>
      </w:pPr>
      <w:r>
        <w:t>2.2.</w:t>
      </w:r>
      <w:r>
        <w:tab/>
      </w:r>
      <w:r>
        <w:rPr>
          <w:noProof/>
        </w:rPr>
        <w:t>Съвместният комитет</w:t>
      </w:r>
    </w:p>
    <w:p>
      <w:pPr>
        <w:rPr>
          <w:rFonts w:eastAsia="Arial Unicode MS"/>
          <w:noProof/>
        </w:rPr>
      </w:pPr>
      <w:r>
        <w:rPr>
          <w:noProof/>
        </w:rPr>
        <w:t>Съвместният комитет, създаден по силата на член 12 от споразумението, носи отговорност за администрирането на споразумението и за гарантиране на неговото изпълнение. Той може да взема решение за приемане на нови приложения към споразумението или за изменение на вече съществуващите такива. Той може също така да обсъжда изменения на членовете на споразумението, да улеснява обмена на мнения по отношение на законодателството на страните и да извършва преглед на споразумението.</w:t>
      </w:r>
    </w:p>
    <w:p>
      <w:pPr>
        <w:rPr>
          <w:rFonts w:eastAsia="Arial Unicode MS"/>
          <w:noProof/>
        </w:rPr>
      </w:pPr>
      <w:r>
        <w:rPr>
          <w:noProof/>
        </w:rPr>
        <w:t>Съвместният комитет е двустранен орган, съставен от представители на страните (ЕС и Швейцария). Вземаните от Съвместния комитет решения трябва да бъдат одобрени и от двете страни.</w:t>
      </w:r>
    </w:p>
    <w:p>
      <w:pPr>
        <w:rPr>
          <w:rFonts w:eastAsia="Arial Unicode MS"/>
          <w:noProof/>
        </w:rPr>
      </w:pPr>
    </w:p>
    <w:p>
      <w:pPr>
        <w:pStyle w:val="ManualHeading2"/>
        <w:rPr>
          <w:noProof/>
        </w:rPr>
      </w:pPr>
      <w:r>
        <w:t>2.3.</w:t>
      </w:r>
      <w:r>
        <w:tab/>
      </w:r>
      <w:r>
        <w:rPr>
          <w:noProof/>
        </w:rPr>
        <w:t xml:space="preserve">Предвиденият акт на Съвместния комитет </w:t>
      </w:r>
    </w:p>
    <w:p>
      <w:pPr>
        <w:rPr>
          <w:rFonts w:eastAsia="Arial Unicode MS"/>
          <w:noProof/>
        </w:rPr>
      </w:pPr>
      <w:r>
        <w:rPr>
          <w:noProof/>
        </w:rPr>
        <w:t>На 27 юни 2018 г. по време на своето първо заседание Съвместният комитет трябва да приеме свой процедурен правилник.</w:t>
      </w:r>
    </w:p>
    <w:p>
      <w:pPr>
        <w:rPr>
          <w:rFonts w:eastAsia="Arial Unicode MS"/>
          <w:noProof/>
        </w:rPr>
      </w:pPr>
      <w:r>
        <w:rPr>
          <w:noProof/>
        </w:rPr>
        <w:t xml:space="preserve">Целта на предвидения акт е да се определят правилата, съгласно които Съвместният комитет следва да функционира и да решава задачите си. </w:t>
      </w:r>
    </w:p>
    <w:p>
      <w:pPr>
        <w:rPr>
          <w:rFonts w:eastAsia="Arial Unicode MS"/>
          <w:noProof/>
        </w:rPr>
      </w:pPr>
      <w:r>
        <w:rPr>
          <w:noProof/>
        </w:rPr>
        <w:t xml:space="preserve">В член 12, параграф 4 от споразумението се предвижда, че Съвместният комитет следва да приеме свой процедурен правилник. </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r>
        <w:rPr>
          <w:noProof/>
        </w:rPr>
        <w:t xml:space="preserve">С предложението се определя позицията на Съюза по отношение на приемането на процедурния правилник, който ще урежда дейността на Съвместния комитет. Проектът </w:t>
      </w:r>
      <w:r>
        <w:rPr>
          <w:noProof/>
        </w:rPr>
        <w:lastRenderedPageBreak/>
        <w:t>на процедурен правилник съдържа стандартни разпоредби, уреждащи функционирането на органа: неговия състав, председателството и секретарските функции, правилата относно провеждането на заседания, определянето на дневния ред, вземането на решения и т.н. В него също така се предвижда възможността за създаване на работни групи, в съответствие с член 12, параграф 5 от споразумението</w:t>
      </w:r>
    </w:p>
    <w:p>
      <w:pPr>
        <w:rPr>
          <w:rFonts w:eastAsia="Arial Unicode MS"/>
          <w:noProof/>
        </w:rPr>
      </w:pPr>
      <w:r>
        <w:rPr>
          <w:noProof/>
        </w:rPr>
        <w:t xml:space="preserve">Приемането на процедурния правилник на Съвместния комитет е необходимо, за да може той да започне работа по подготовка за изпълнение на споразумението. Това ще позволи прилагането на практическите договорености за осъществяването на свързването между двете системи за търговия с емисии. </w:t>
      </w:r>
    </w:p>
    <w:p>
      <w:pPr>
        <w:rPr>
          <w:noProof/>
        </w:rPr>
      </w:pPr>
      <w:r>
        <w:rPr>
          <w:noProof/>
        </w:rPr>
        <w:t>Разработването на добре функциониращ международен пазар на въглеродни емисии посредством свързване отдолу-нагоре на системите за търговия с емисии представлява дългосрочна политическа цел на ЕС и на международната общност, по-специално като средство за постигане на целите в областта на климата по Парижкото споразумение. В това отношение член 25 от Директивата за създаване на системата на ЕС за търговия с емисии (СТЕ на ЕС) дава възможност за свързване на СТЕ на ЕС с други системи за търговия с емисии, при условие че те са задължителни, имат абсолютен лимит върху емисиите и са съвместими, какъвто е случаят със системата на Швейцария. За да се гарантира дългосрочната съвместимост на СТЕ на ЕС със швейцарската СТЕ, Съвместният комитет следва да започне работа по нейното прилагане.</w:t>
      </w:r>
    </w:p>
    <w:p>
      <w:pPr>
        <w:pStyle w:val="ManualHeading1"/>
        <w:rPr>
          <w:noProof/>
        </w:rPr>
      </w:pPr>
      <w:r>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1"/>
      </w:r>
      <w:r>
        <w:rPr>
          <w:noProof/>
        </w:rPr>
        <w:t>.</w:t>
      </w:r>
    </w:p>
    <w:p>
      <w:pPr>
        <w:pStyle w:val="ManualHeading3"/>
        <w:rPr>
          <w:noProof/>
        </w:rPr>
      </w:pPr>
      <w:r>
        <w:t>4.1.2.</w:t>
      </w:r>
      <w:r>
        <w:tab/>
      </w:r>
      <w:r>
        <w:rPr>
          <w:noProof/>
        </w:rPr>
        <w:t>Приложение в конкретния случай</w:t>
      </w:r>
    </w:p>
    <w:p>
      <w:pPr>
        <w:rPr>
          <w:noProof/>
        </w:rPr>
      </w:pPr>
      <w:r>
        <w:rPr>
          <w:noProof/>
        </w:rPr>
        <w:t>Съвместният комитет е орган, създаден със споразумение, а именно Споразумението между Европейския съюз и Конфедерация Швейцария за свързване на техните системи за търговия с емисии на парникови газове.</w:t>
      </w:r>
    </w:p>
    <w:p>
      <w:pPr>
        <w:rPr>
          <w:noProof/>
        </w:rPr>
      </w:pPr>
      <w:r>
        <w:rPr>
          <w:noProof/>
        </w:rPr>
        <w:t xml:space="preserve">Актът, който Съвместният комитет има за задача да приеме, представлява акт с правно действие. Предвидения акт е с правно действие, защото ще определи правилата, приложими спрямо Съвместния комитет — органът, който администрира споразумението и може да взема решения относно приемането на нови приложения или за изменение на вече съществуващите такива. </w:t>
      </w:r>
    </w:p>
    <w:p>
      <w:pPr>
        <w:rPr>
          <w:noProof/>
        </w:rPr>
      </w:pPr>
      <w:r>
        <w:rPr>
          <w:noProof/>
        </w:rPr>
        <w:lastRenderedPageBreak/>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t>4.2.2.</w:t>
      </w:r>
      <w:r>
        <w:tab/>
      </w:r>
      <w:r>
        <w:rPr>
          <w:noProof/>
        </w:rPr>
        <w:t>Приложение в конкретния случай</w:t>
      </w:r>
    </w:p>
    <w:p>
      <w:pPr>
        <w:rPr>
          <w:noProof/>
        </w:rPr>
      </w:pPr>
      <w:r>
        <w:rPr>
          <w:noProof/>
        </w:rPr>
        <w:t>Основната цел и съдържанието на предвидения акт са свързани с околната среда.</w:t>
      </w:r>
    </w:p>
    <w:p>
      <w:pPr>
        <w:rPr>
          <w:i/>
          <w:noProof/>
        </w:rPr>
      </w:pPr>
      <w:r>
        <w:rPr>
          <w:noProof/>
        </w:rPr>
        <w:t>Поради това материалноправното основание за предложеното решение е член 191 от ДФЕС.</w:t>
      </w:r>
    </w:p>
    <w:p>
      <w:pPr>
        <w:pStyle w:val="ManualHeading2"/>
        <w:rPr>
          <w:noProof/>
        </w:rPr>
      </w:pPr>
      <w:r>
        <w:t>4.3.</w:t>
      </w:r>
      <w:r>
        <w:tab/>
      </w:r>
      <w:r>
        <w:rPr>
          <w:noProof/>
        </w:rPr>
        <w:t>Заключение</w:t>
      </w:r>
    </w:p>
    <w:p>
      <w:pPr>
        <w:rPr>
          <w:noProof/>
        </w:rPr>
      </w:pPr>
      <w:r>
        <w:rPr>
          <w:noProof/>
        </w:rPr>
        <w:t>Правното основание за предложеното решение следва да бъде член 191 от ДФЕС във връзка с член 218, параграф 9 от ДФЕС.</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2018/0192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Споразумението между Европейския съюз и Конфедерация Швейцария за свързване на техните системи за търговия с емисии на парникови газове, във връзка с приемането на неговия процедурен правилник</w:t>
      </w:r>
    </w:p>
    <w:p>
      <w:pPr>
        <w:pStyle w:val="IntrtEEE"/>
        <w:rPr>
          <w:noProof/>
        </w:rPr>
      </w:pPr>
      <w:r>
        <w:rPr>
          <w:noProof/>
        </w:rPr>
        <w:t>(текст от значение за ЕИП)</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191,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между Европейския съюз и Конфедерация Швейцария за свързване на техните системи за търговия с емисии на парникови газове („споразумението“) бе подписано на 23 ноември 2017 г.</w:t>
      </w:r>
    </w:p>
    <w:p>
      <w:pPr>
        <w:pStyle w:val="ManualConsidrant"/>
        <w:rPr>
          <w:noProof/>
        </w:rPr>
      </w:pPr>
      <w:r>
        <w:t>(2)</w:t>
      </w:r>
      <w:r>
        <w:tab/>
      </w:r>
      <w:r>
        <w:rPr>
          <w:noProof/>
        </w:rPr>
        <w:t>В съответствие с член 22 от споразумението преди влизането в сила на споразумението членове 11—13 от него се прилагат временно, считано от датата на подписване на споразумението.</w:t>
      </w:r>
    </w:p>
    <w:p>
      <w:pPr>
        <w:pStyle w:val="ManualConsidrant"/>
        <w:rPr>
          <w:noProof/>
        </w:rPr>
      </w:pPr>
      <w:r>
        <w:t>(3)</w:t>
      </w:r>
      <w:r>
        <w:tab/>
      </w:r>
      <w:r>
        <w:rPr>
          <w:noProof/>
        </w:rPr>
        <w:t xml:space="preserve">В съответствие с член 12 от споразумението Съвместният комитет трябва да приеме свой процедурен правилник по време на първото си заседание на 27 юни 2018 г. </w:t>
      </w:r>
    </w:p>
    <w:p>
      <w:pPr>
        <w:pStyle w:val="ManualConsidrant"/>
        <w:rPr>
          <w:noProof/>
        </w:rPr>
      </w:pPr>
      <w:r>
        <w:t>(4)</w:t>
      </w:r>
      <w:r>
        <w:tab/>
      </w:r>
      <w:r>
        <w:rPr>
          <w:noProof/>
        </w:rPr>
        <w:t>Целесъобразно е да се установи позицията, която трябва да се заеме от името на Съюза в рамките на Съвместния комитет, тъй като процедурният правилник ще определи функционирането на този орган, който отговаря за администрирането на споразумението и за гарантиране на неговото изпълнение,</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по време на първото заседание на Съвместния комитет, създаден по силата на Споразумението между Европейския съюз и Конфедерация Швейцария за свързване на техните системи за търговия с емисии на парникови газове, във връзка с приемането на неговия процедурен правилник, се основава на проекта на решение на Съвместния комитет, приложен към настоящото решение.</w:t>
      </w:r>
    </w:p>
    <w:p>
      <w:pPr>
        <w:pStyle w:val="Titrearticle"/>
        <w:rPr>
          <w:noProof/>
        </w:rPr>
      </w:pPr>
      <w:r>
        <w:rPr>
          <w:noProof/>
        </w:rPr>
        <w:lastRenderedPageBreak/>
        <w:t>Член 2</w:t>
      </w:r>
    </w:p>
    <w:p>
      <w:pPr>
        <w:rPr>
          <w:noProof/>
        </w:rPr>
      </w:pPr>
      <w:r>
        <w:rPr>
          <w:noProof/>
        </w:rPr>
        <w:t>Адресат на настоящото решение е Комисията.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4 09:25: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27A73F0-19CF-40BE-AC18-5297798C90B7"/>
    <w:docVar w:name="LW_COVERPAGE_TYPE" w:val="1"/>
    <w:docVar w:name="LW_CROSSREFERENCE" w:val="&lt;UNUSED&gt;"/>
    <w:docVar w:name="LW_DocType" w:val="COM"/>
    <w:docVar w:name="LW_EMISSION" w:val="31.5.2018"/>
    <w:docVar w:name="LW_EMISSION_ISODATE" w:val="2018-05-3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92"/>
    <w:docVar w:name="LW_REF.II.NEW.CP_YEAR" w:val="2018"/>
    <w:docVar w:name="LW_REF.INST.NEW" w:val="COM"/>
    <w:docVar w:name="LW_REF.INST.NEW_ADOPTED" w:val="final"/>
    <w:docVar w:name="LW_REF.INST.NEW_TEXT" w:val="(2018) 3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80?\u1103? \u1089?\u1098?\u1102?\u1079? \u1080? \u1050?\u1086?\u1085?\u1092?\u1077?\u1076?\u1077?\u1088?\u1072?\u1094?\u1080?\u1103? \u1064?\u1074?\u1077?\u1081?\u1094?\u1072?\u1088?\u1080?\u1103? \u1079?\u1072? \u1089?\u1074?\u1098?\u1088?\u1079?\u1074?\u1072?\u1085?\u1077? \u1085?\u1072? \u1090?\u1077?\u1093?\u1085?\u1080?\u1090?\u1077? \u1089?\u1080?\u1089?\u1090?\u1077?\u1084?\u1080? \u1079?\u1072? \u1090?\u1098?\u1088?\u1075?\u1086?\u1074?\u1080?\u1103? \u1089? \u1077?\u1084?\u1080?\u1089?\u1080?\u1080? \u1085?\u1072? \u1087?\u1072?\u1088?\u1085?\u1080?\u1082?\u1086?\u1074?\u1080? \u1075?\u1072?\u1079?\u1086?\u1074?\u1077?, \u1074?\u1098?\u1074? \u1074?\u1088?\u1098?\u1079?\u1082?\u1072? \u1089? \u1087?\u1088?\u1080?\u1077?\u1084?\u1072?\u1085?\u1077?\u1090?\u1086? \u1085?\u1072? \u1085?\u1077?\u1075?\u1086?\u1074?\u1080?\u1103? \u1087?\u1088?\u1086?\u1094?\u1077?\u1076?\u1091?\u1088?\u1077?\u1085? \u1087?\u1088?\u1072?\u1074?\u1080?\u1083?\u1085?\u1080?\u108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uiPriority w:val="99"/>
    <w:semiHidden/>
    <w:unhideWhenUsed/>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F4AF2E41-B4F0-4C53-907A-932271BBE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1292</Words>
  <Characters>7393</Characters>
  <Application>Microsoft Office Word</Application>
  <DocSecurity>0</DocSecurity>
  <Lines>147</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2018-05-16T08:39:00Z</dcterms:created>
  <dcterms:modified xsi:type="dcterms:W3CDTF">2018-05-24T07:25:00Z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