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35" w:rsidRDefault="009E65DD" w:rsidP="009E65DD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5AC73F87-5D1B-41E9-ABF4-E14042F72ED1" style="width:450.8pt;height:460.15pt">
            <v:imagedata r:id="rId9" o:title=""/>
          </v:shape>
        </w:pict>
      </w:r>
    </w:p>
    <w:p w:rsidR="00445635" w:rsidRDefault="00445635">
      <w:pPr>
        <w:rPr>
          <w:noProof/>
        </w:rPr>
        <w:sectPr w:rsidR="00445635" w:rsidSect="009E65D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445635" w:rsidRDefault="00445635">
      <w:pPr>
        <w:pStyle w:val="Exposdesmotifstitre"/>
        <w:rPr>
          <w:noProof/>
        </w:rPr>
      </w:pPr>
      <w:bookmarkStart w:id="0" w:name="_GoBack"/>
      <w:bookmarkEnd w:id="0"/>
    </w:p>
    <w:p w:rsidR="00445635" w:rsidRDefault="00445635">
      <w:pPr>
        <w:rPr>
          <w:noProof/>
        </w:rPr>
      </w:pPr>
    </w:p>
    <w:p w:rsidR="00445635" w:rsidRDefault="009E65DD" w:rsidP="009E65DD">
      <w:pPr>
        <w:pStyle w:val="Statut"/>
        <w:rPr>
          <w:noProof/>
        </w:rPr>
      </w:pPr>
      <w:r w:rsidRPr="009E65DD">
        <w:t>Препоръка за</w:t>
      </w:r>
    </w:p>
    <w:p w:rsidR="00445635" w:rsidRDefault="009E65DD" w:rsidP="009E65DD">
      <w:pPr>
        <w:pStyle w:val="Typedudocument"/>
        <w:rPr>
          <w:noProof/>
        </w:rPr>
      </w:pPr>
      <w:r w:rsidRPr="009E65DD">
        <w:t>ПРЕПОРЪКА НА СЪВЕТА</w:t>
      </w:r>
    </w:p>
    <w:p w:rsidR="00445635" w:rsidRDefault="009E65DD" w:rsidP="009E65DD">
      <w:pPr>
        <w:pStyle w:val="Titreobjet"/>
        <w:rPr>
          <w:noProof/>
        </w:rPr>
      </w:pPr>
      <w:r w:rsidRPr="009E65DD">
        <w:t>относно националната програма за реформи на Дания за 2018 г.</w:t>
      </w:r>
      <w:r w:rsidRPr="009E65DD">
        <w:br/>
      </w:r>
      <w:r w:rsidRPr="009E65DD">
        <w:br/>
        <w:t>и съдържаща становище на Съвета относно програмата за конвергенция на Дания за 2018 г.</w:t>
      </w:r>
    </w:p>
    <w:p w:rsidR="00445635" w:rsidRDefault="009E65DD"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 w:rsidR="00445635" w:rsidRDefault="009E65DD">
      <w:pPr>
        <w:rPr>
          <w:rFonts w:eastAsia="Calibri"/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121, параграф 2 и член 148, параграф 4 от него,</w:t>
      </w:r>
    </w:p>
    <w:p w:rsidR="00445635" w:rsidRDefault="009E65DD">
      <w:pPr>
        <w:rPr>
          <w:rFonts w:eastAsia="Calibri"/>
          <w:noProof/>
        </w:rPr>
      </w:pPr>
      <w:r>
        <w:rPr>
          <w:noProof/>
        </w:rPr>
        <w:t>като взе предвид Регламент (ЕО) № 1466/97 на Съвета от 7 юли</w:t>
      </w:r>
      <w:r>
        <w:rPr>
          <w:noProof/>
        </w:rPr>
        <w:t xml:space="preserve"> 1997 г. за засилване на надзора върху състоянието на бюджета и на надзора и координацията на икономическите политики</w:t>
      </w:r>
      <w:r>
        <w:rPr>
          <w:rStyle w:val="FootnoteReference"/>
          <w:noProof/>
        </w:rPr>
        <w:footnoteReference w:id="1"/>
      </w:r>
      <w:r>
        <w:rPr>
          <w:noProof/>
        </w:rPr>
        <w:t>, и по-специално член 9, параграф 2 от него,</w:t>
      </w:r>
    </w:p>
    <w:p w:rsidR="00445635" w:rsidRDefault="009E65DD">
      <w:pPr>
        <w:rPr>
          <w:rFonts w:eastAsia="Calibri"/>
          <w:noProof/>
        </w:rPr>
      </w:pPr>
      <w:r>
        <w:rPr>
          <w:noProof/>
        </w:rPr>
        <w:t>като взе предвид препоръката на Европейската комисия</w:t>
      </w:r>
      <w:r>
        <w:rPr>
          <w:rStyle w:val="FootnoteReference"/>
          <w:noProof/>
        </w:rPr>
        <w:footnoteReference w:id="2"/>
      </w:r>
      <w:r>
        <w:rPr>
          <w:noProof/>
        </w:rPr>
        <w:t>,</w:t>
      </w:r>
    </w:p>
    <w:p w:rsidR="00445635" w:rsidRDefault="009E65DD">
      <w:pPr>
        <w:rPr>
          <w:rFonts w:eastAsia="Calibri"/>
          <w:noProof/>
        </w:rPr>
      </w:pPr>
      <w:r>
        <w:rPr>
          <w:noProof/>
        </w:rPr>
        <w:t>като взе предвид резолюциите на Европе</w:t>
      </w:r>
      <w:r>
        <w:rPr>
          <w:noProof/>
        </w:rPr>
        <w:t>йския парламент</w:t>
      </w:r>
      <w:r>
        <w:rPr>
          <w:rStyle w:val="FootnoteReference"/>
          <w:noProof/>
        </w:rPr>
        <w:footnoteReference w:id="3"/>
      </w:r>
      <w:r>
        <w:rPr>
          <w:noProof/>
        </w:rPr>
        <w:t>,</w:t>
      </w:r>
    </w:p>
    <w:p w:rsidR="00445635" w:rsidRDefault="009E65DD">
      <w:pPr>
        <w:outlineLvl w:val="0"/>
        <w:rPr>
          <w:rFonts w:eastAsia="Calibri"/>
          <w:noProof/>
        </w:rPr>
      </w:pPr>
      <w:r>
        <w:rPr>
          <w:noProof/>
        </w:rPr>
        <w:t>като взе предвид заключенията на Европейския съвет,</w:t>
      </w:r>
    </w:p>
    <w:p w:rsidR="00445635" w:rsidRDefault="009E65DD">
      <w:pPr>
        <w:rPr>
          <w:rFonts w:eastAsia="Calibri"/>
          <w:noProof/>
        </w:rPr>
      </w:pPr>
      <w:r>
        <w:rPr>
          <w:noProof/>
        </w:rPr>
        <w:t>като взе предвид становището на Комитета по заетостта,</w:t>
      </w:r>
    </w:p>
    <w:p w:rsidR="00445635" w:rsidRDefault="009E65DD">
      <w:pPr>
        <w:rPr>
          <w:rFonts w:eastAsia="Calibri"/>
          <w:noProof/>
        </w:rPr>
      </w:pPr>
      <w:r>
        <w:rPr>
          <w:noProof/>
        </w:rPr>
        <w:t>като взе предвид становището на Икономическия и финансов комитет,</w:t>
      </w:r>
    </w:p>
    <w:p w:rsidR="00445635" w:rsidRDefault="009E65DD">
      <w:pPr>
        <w:rPr>
          <w:rFonts w:eastAsia="Calibri"/>
          <w:noProof/>
        </w:rPr>
      </w:pPr>
      <w:r>
        <w:rPr>
          <w:noProof/>
        </w:rPr>
        <w:t>като взе предвид становището на Комитета за социална закрила,</w:t>
      </w:r>
    </w:p>
    <w:p w:rsidR="00445635" w:rsidRDefault="009E65DD">
      <w:pPr>
        <w:rPr>
          <w:rFonts w:eastAsia="Calibri"/>
          <w:noProof/>
        </w:rPr>
      </w:pPr>
      <w:r>
        <w:rPr>
          <w:noProof/>
        </w:rPr>
        <w:t>като взе предвид становището на Комитета за икономическа политика,</w:t>
      </w:r>
    </w:p>
    <w:p w:rsidR="00445635" w:rsidRDefault="009E65DD">
      <w:pPr>
        <w:rPr>
          <w:rFonts w:eastAsia="Calibri"/>
          <w:noProof/>
        </w:rPr>
      </w:pPr>
      <w:r>
        <w:rPr>
          <w:noProof/>
        </w:rPr>
        <w:t>като има предвид, че:</w:t>
      </w:r>
    </w:p>
    <w:p w:rsidR="00445635" w:rsidRDefault="009E65DD"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 xml:space="preserve">На 22 ноември 2017 г. Комисията прие годишния обзор на растежа, с което постави началото на европейския семестър за координация на икономическите политики за 2018 </w:t>
      </w:r>
      <w:r>
        <w:rPr>
          <w:noProof/>
        </w:rPr>
        <w:t>г. Тя взе предвид Европейския стълб на социалните права, провъзгласен от Европейския парламент, Съвета и Комисията на 17 ноември 2017 г. Приоритетите на годишния обзор на растежа бяха одобрени от Европейския съвет на 22 март 2018 г. Въз основа на Регламент</w:t>
      </w:r>
      <w:r>
        <w:rPr>
          <w:noProof/>
        </w:rPr>
        <w:t xml:space="preserve"> (ЕС) № 1176/2011 на 22 ноември 2017 г. Комисията прие също Доклада за механизма за предупреждение, в който Дания не е посочена като една от държавите членки, за които ще се извърши задълбочен преглед. </w:t>
      </w:r>
    </w:p>
    <w:p w:rsidR="00445635" w:rsidRDefault="009E65DD"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>Докладът за Дания за 2018 г.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беше публикуван на </w:t>
      </w:r>
      <w:r>
        <w:rPr>
          <w:noProof/>
        </w:rPr>
        <w:t xml:space="preserve">7 март 2018 г. В него бе оценен напредъкът на Дания в изпълнението на специфичните за държавата препоръки, приети от Съвета на 11 юли 2017 г., последващите действия във </w:t>
      </w:r>
      <w:r>
        <w:rPr>
          <w:noProof/>
        </w:rPr>
        <w:lastRenderedPageBreak/>
        <w:t>връзка с препоръките, отправени към Дания през предходните години, както и напредъкът н</w:t>
      </w:r>
      <w:r>
        <w:rPr>
          <w:noProof/>
        </w:rPr>
        <w:t>а страната по националните ѝ цели по стратегията „Европа 2020“.</w:t>
      </w:r>
    </w:p>
    <w:p w:rsidR="00445635" w:rsidRDefault="009E65DD"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На 24 април 2018 г. Дания представи своята национална програма за реформи за 2018 г. и своята програма за конвергенция за 2018 г. Двете програми бяха оценени едновременно, за да бъдат отче</w:t>
      </w:r>
      <w:r>
        <w:rPr>
          <w:noProof/>
        </w:rPr>
        <w:t>тени взаимовръзките между тях.</w:t>
      </w:r>
    </w:p>
    <w:p w:rsidR="00445635" w:rsidRDefault="009E65DD"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>Съответните специфични за всяка държава препоръки бяха взети предвид при програмирането на европейските структурни и инвестиционни фондове за периода 2014—2020 г. Както е предвидено в член 23 от Регламент (ЕС) № 1303/2013</w:t>
      </w:r>
      <w:r>
        <w:rPr>
          <w:noProof/>
        </w:rPr>
        <w:t xml:space="preserve"> на Европейския парламент и на Съвета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, когато това е необходимо за подпомагане на изпълнението на съответните препоръки на Съвета, Комисията може да поиска от дадена държава членка да преразгледа своето споразумение за партньорство и съответните програми </w:t>
      </w:r>
      <w:r>
        <w:rPr>
          <w:noProof/>
        </w:rPr>
        <w:t>и да предложи промени в тях. Комисията предостави допълнителни подробности за начина, по който ще използва тази разпоредба, в насоките относно прилагането на мерките, обвързващи ефективността на европейските структурни и инвестиционни фондове с доброто ико</w:t>
      </w:r>
      <w:r>
        <w:rPr>
          <w:noProof/>
        </w:rPr>
        <w:t>номическо управление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. </w:t>
      </w:r>
    </w:p>
    <w:p w:rsidR="00445635" w:rsidRDefault="009E65DD">
      <w:pPr>
        <w:pStyle w:val="ManualConsidrant"/>
        <w:rPr>
          <w:noProof/>
        </w:rPr>
      </w:pPr>
      <w:r>
        <w:rPr>
          <w:noProof/>
        </w:rPr>
        <w:t>(5)</w:t>
      </w:r>
      <w:r>
        <w:rPr>
          <w:noProof/>
        </w:rPr>
        <w:tab/>
        <w:t>Спрямо Дания понастоящем се прилагат предпазните мерки на Пакта за стабилност и растеж. В своята програма за конвергенция за 2018 г. правителството планира да постигне номинален дефицит през 2018 г. от 0,7 % от БВП и да продължи</w:t>
      </w:r>
      <w:r>
        <w:rPr>
          <w:noProof/>
        </w:rPr>
        <w:t xml:space="preserve"> да спазва средносрочната бюджетна цел — структурен дефицит от 0,5 % от БВП — през целия период на програмата до 2025 г. Според програмата за конвергенция за 2018 г. съотношението консолидиран държавен дълг/БВП се очаква да намалее до 35,6 % през 2018 г. и</w:t>
      </w:r>
      <w:r>
        <w:rPr>
          <w:noProof/>
        </w:rPr>
        <w:t xml:space="preserve"> да продължи да спада до 34,2 % през 2020 г., преди да се покачи до малко под 40 % до 2025 г. Макроикономическият сценарий в основата на тези бюджетни прогнози е реалистичен през програмния период. Според прогнозата на Комисията от пролетта на 2018 г. стру</w:t>
      </w:r>
      <w:r>
        <w:rPr>
          <w:noProof/>
        </w:rPr>
        <w:t>ктурното салдо се очаква да бъде в излишък от 0,3 % от БВП през 2018 г. и 0,9 % от БВП през 2019 г., което е малко над целта на програмата за конвергенция за 2018 г. и надвишава средносрочната бюджетна цел. Като цяло Съветът е на мнение, че се предвижда Да</w:t>
      </w:r>
      <w:r>
        <w:rPr>
          <w:noProof/>
        </w:rPr>
        <w:t>ния да спази разпоредбите на Пакта за стабилност и растеж през 2018 г. и 2019 г.</w:t>
      </w:r>
    </w:p>
    <w:p w:rsidR="00445635" w:rsidRDefault="009E65DD">
      <w:pPr>
        <w:pStyle w:val="ManualConsidrant"/>
        <w:rPr>
          <w:noProof/>
        </w:rPr>
      </w:pPr>
      <w:r>
        <w:rPr>
          <w:noProof/>
        </w:rPr>
        <w:t>(6)</w:t>
      </w:r>
      <w:r>
        <w:rPr>
          <w:noProof/>
        </w:rPr>
        <w:tab/>
        <w:t>Осигуряването на предлагане на работна ръка в период на демографски промени и справянето с възникващия недостиг на работна ръка в някои сектори са предпоставка за устойчив</w:t>
      </w:r>
      <w:r>
        <w:rPr>
          <w:noProof/>
        </w:rPr>
        <w:t xml:space="preserve"> растеж в Дания. Реформите за увеличаване на участието и успешното приключване на професионално образование и обучение и мерките за по-добро развитие на цифровите умения вероятно ще доведат до увеличаване на предлагането на квалифицирана работна ръка. Осве</w:t>
      </w:r>
      <w:r>
        <w:rPr>
          <w:noProof/>
        </w:rPr>
        <w:t>н това в това отношение ще бъдат от полза мерки за по-добро приобщаване на маргинализираните групи и групите в неравностойно положение на пазара на труда. Това се отнася за младите хора с ниски образователни постижения, за хората с намалена работоспособнос</w:t>
      </w:r>
      <w:r>
        <w:rPr>
          <w:noProof/>
        </w:rPr>
        <w:t xml:space="preserve">т и с увреждания, както и за хората с </w:t>
      </w:r>
      <w:r>
        <w:rPr>
          <w:noProof/>
        </w:rPr>
        <w:lastRenderedPageBreak/>
        <w:t>мигрантски произход. Неотдавнашните мерки за работна интеграция започнаха бавно, но изглежда подобряват положението на наскоро пристигналите бежанци. Интеграцията на децата с мигрантски произход в образователната систе</w:t>
      </w:r>
      <w:r>
        <w:rPr>
          <w:noProof/>
        </w:rPr>
        <w:t>ма продължава да е основно предизвикателство, което води до по-слаби постижения в образователната система в сравнение с останалите деца.</w:t>
      </w:r>
    </w:p>
    <w:p w:rsidR="00445635" w:rsidRDefault="009E65DD">
      <w:pPr>
        <w:pStyle w:val="ManualConsidrant"/>
        <w:rPr>
          <w:noProof/>
        </w:rPr>
      </w:pPr>
      <w:r>
        <w:rPr>
          <w:noProof/>
        </w:rPr>
        <w:t>(7)</w:t>
      </w:r>
      <w:r>
        <w:rPr>
          <w:noProof/>
        </w:rPr>
        <w:tab/>
        <w:t>Високият ръст на производителността е от основно значение за подкрепата на икономическия растеж, за поддържането на</w:t>
      </w:r>
      <w:r>
        <w:rPr>
          <w:noProof/>
        </w:rPr>
        <w:t xml:space="preserve"> сравнително високото равнище на благосъстояние в Дания и за гарантирането на дългосрочната конкурентоспособност на страната. Въпреки че равнището на производителност на Дания е високо в сравнение с други държави — членки на ЕС, ръстът на производителностт</w:t>
      </w:r>
      <w:r>
        <w:rPr>
          <w:noProof/>
        </w:rPr>
        <w:t>а намалява от дълъг период от време и са налице множество възможни препятствия пред ръста на производителността (което също бе посочено от датския съвет по производителността и конкуренцията). По-конкретно услугите, ориентирани към вътрешния пазар, се хара</w:t>
      </w:r>
      <w:r>
        <w:rPr>
          <w:noProof/>
        </w:rPr>
        <w:t xml:space="preserve">ктеризират с бавна производителност предвид само ограничените мерки, предприети от правителството през 2017 г., за увеличаване на конкуренцията и факта, че някои области — като например ипотечните банки, не са изложени на чуждестранна конкуренция. Слабата </w:t>
      </w:r>
      <w:r>
        <w:rPr>
          <w:noProof/>
        </w:rPr>
        <w:t>конкуренция в секторите на услугите, ориентирани към вътрешния пазар (например в търговията на дребно, финансите, разпределението на комунални услуги и мрежовите индустрии, транспорта и продажбата на едро на фармацевтични продукти) все още тежи върху произ</w:t>
      </w:r>
      <w:r>
        <w:rPr>
          <w:noProof/>
        </w:rPr>
        <w:t xml:space="preserve">водителността, инвестициите и създаването на работни места. </w:t>
      </w:r>
    </w:p>
    <w:p w:rsidR="00445635" w:rsidRDefault="009E65DD">
      <w:pPr>
        <w:pStyle w:val="ManualConsidrant"/>
        <w:rPr>
          <w:noProof/>
        </w:rPr>
      </w:pPr>
      <w:r>
        <w:rPr>
          <w:noProof/>
        </w:rPr>
        <w:t>(8)</w:t>
      </w:r>
      <w:r>
        <w:rPr>
          <w:noProof/>
        </w:rPr>
        <w:tab/>
        <w:t>След няколко години на значителни увеличения на цените на жилищата възникват рискове от надценяване, особено в основните градски райони. Европейският съвет за системен риск е издал предупрежд</w:t>
      </w:r>
      <w:r>
        <w:rPr>
          <w:noProof/>
        </w:rPr>
        <w:t>ение към осем държави — членки на ЕС, сред които Дания, което показва слабости в средносрочен план в сектора на жилищните недвижими имоти поради повишаващите се цени на жилищата в съчетание с висока задлъжнялост на домакинствата. Домакинствата продължиха д</w:t>
      </w:r>
      <w:r>
        <w:rPr>
          <w:noProof/>
        </w:rPr>
        <w:t>а намаляват задлъжнялостта си през 2017 г., но тя остава сред най-високите в ЕС (като % от БВП) и е над равнището на основните икономически показатели и пруденциалните прагове съгласно оценките на Комисията. Освен това делът на ипотечните кредити с много в</w:t>
      </w:r>
      <w:r>
        <w:rPr>
          <w:noProof/>
        </w:rPr>
        <w:t>исока стойност на заема спрямо доходите се е увеличил значително от 2013 г. насам, особено във и около Копенхаген. Датските органи приеха няколко нови макропруденциални мерки за допълнително ограничаване на рисковите заеми (в сила от 2018 г. и 2020 г.) и о</w:t>
      </w:r>
      <w:r>
        <w:rPr>
          <w:noProof/>
        </w:rPr>
        <w:t>съществиха данъчна реформа на недвижимото имущество (в сила от 2021 г.) с цел преодоляване на регионалните дисбаланси в цените на жилищата. Въпреки това съчетанието от много високи стойности на заемите спрямо доходите, високата лихвена чувствителност и пот</w:t>
      </w:r>
      <w:r>
        <w:rPr>
          <w:noProof/>
        </w:rPr>
        <w:t>енциално надценените цени на жилищата увеличава риска от корекция на цените, която би могла да навреди на реалната икономика и банковия сектор.</w:t>
      </w:r>
    </w:p>
    <w:p w:rsidR="00445635" w:rsidRDefault="009E65DD">
      <w:pPr>
        <w:pStyle w:val="ManualConsidrant"/>
        <w:rPr>
          <w:noProof/>
        </w:rPr>
      </w:pPr>
      <w:r>
        <w:rPr>
          <w:noProof/>
        </w:rPr>
        <w:t>(9)</w:t>
      </w:r>
      <w:r>
        <w:rPr>
          <w:noProof/>
        </w:rPr>
        <w:tab/>
        <w:t xml:space="preserve">В контекста на европейския семестър за 2018 г. Комисията изготви цялостен анализ на икономическата политика </w:t>
      </w:r>
      <w:r>
        <w:rPr>
          <w:noProof/>
        </w:rPr>
        <w:t>на Дания и го публикува в доклада за страната за 2018 г. Комисията оцени също програмата за конвергенция за 2018 г. и националната програма за реформи за 2018 г., както и предприетите последващи действия във връзка с препоръките, отправени към Дания през п</w:t>
      </w:r>
      <w:r>
        <w:rPr>
          <w:noProof/>
        </w:rPr>
        <w:t>редходните години. Комисията взе предвид не само тяхното значение за провеждането на устойчива фискална и социално-икономическа политика в Дания, но и тяхното съответствие с правилата и насоките на Съюза предвид необходимостта от засилване на цялостното ик</w:t>
      </w:r>
      <w:r>
        <w:rPr>
          <w:noProof/>
        </w:rPr>
        <w:t xml:space="preserve">ономическо управление на Съюза чрез принос на равнището на Съюза към бъдещите национални решения. </w:t>
      </w:r>
    </w:p>
    <w:p w:rsidR="00445635" w:rsidRDefault="009E65DD">
      <w:pPr>
        <w:pStyle w:val="ManualConsidrant"/>
        <w:rPr>
          <w:noProof/>
        </w:rPr>
      </w:pPr>
      <w:r>
        <w:rPr>
          <w:noProof/>
        </w:rPr>
        <w:t>(10)</w:t>
      </w:r>
      <w:r>
        <w:rPr>
          <w:noProof/>
        </w:rPr>
        <w:tab/>
        <w:t>Предвид тази оценка Съветът разгледа програмата за конвергенция за 2018 г. и становището му е, че се очаква Дания да спази Пакта за стабилност и растеж,</w:t>
      </w:r>
    </w:p>
    <w:p w:rsidR="00445635" w:rsidRDefault="009E65DD">
      <w:pPr>
        <w:pStyle w:val="Formuledadoption"/>
        <w:rPr>
          <w:noProof/>
        </w:rPr>
      </w:pPr>
      <w:r>
        <w:rPr>
          <w:noProof/>
        </w:rPr>
        <w:t>ПРЕПОРЪЧВА на Дания да предприеме следните действия през 2018 г. и 2019 г.:</w:t>
      </w:r>
    </w:p>
    <w:p w:rsidR="00445635" w:rsidRDefault="009E65DD">
      <w:pPr>
        <w:pStyle w:val="ManualNumPar1"/>
        <w:rPr>
          <w:noProof/>
          <w:highlight w:val="yellow"/>
        </w:rPr>
      </w:pPr>
      <w:bookmarkStart w:id="1" w:name="_CopyToNewDocument_"/>
      <w:bookmarkEnd w:id="1"/>
      <w:r>
        <w:rPr>
          <w:noProof/>
        </w:rPr>
        <w:t>1.</w:t>
      </w:r>
      <w:r>
        <w:rPr>
          <w:noProof/>
        </w:rPr>
        <w:tab/>
        <w:t>Да увеличи конкуренцията в сектора на услугите, ориентирани към вътрешния пазар, например разпределението на комунални услуги, мрежовите индустрии и във финансовия сектор.</w:t>
      </w:r>
    </w:p>
    <w:p w:rsidR="00445635" w:rsidRDefault="009E65DD" w:rsidP="009E65DD">
      <w:pPr>
        <w:pStyle w:val="Fait"/>
        <w:rPr>
          <w:noProof/>
        </w:rPr>
      </w:pPr>
      <w:r w:rsidRPr="009E65DD">
        <w:t xml:space="preserve">Съставено в Брюксел на </w:t>
      </w:r>
      <w:r w:rsidRPr="009E65DD">
        <w:rPr>
          <w:rStyle w:val="Marker"/>
        </w:rPr>
        <w:t>[…]</w:t>
      </w:r>
      <w:r w:rsidRPr="009E65DD">
        <w:t xml:space="preserve"> година.</w:t>
      </w:r>
    </w:p>
    <w:p w:rsidR="00445635" w:rsidRDefault="009E65DD"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 w:rsidR="00445635" w:rsidRDefault="009E65DD">
      <w:pPr>
        <w:pStyle w:val="Personnequisigne"/>
        <w:keepNext/>
        <w:rPr>
          <w:noProof/>
        </w:rPr>
      </w:pPr>
      <w:r>
        <w:rPr>
          <w:noProof/>
        </w:rPr>
        <w:tab/>
        <w:t>Председател</w:t>
      </w:r>
    </w:p>
    <w:p w:rsidR="00445635" w:rsidRDefault="00445635">
      <w:pPr>
        <w:pStyle w:val="Personnequisigne"/>
        <w:rPr>
          <w:i w:val="0"/>
          <w:noProof/>
        </w:rPr>
      </w:pPr>
    </w:p>
    <w:sectPr w:rsidR="00445635" w:rsidSect="009E65DD"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635" w:rsidRDefault="009E65DD">
      <w:pPr>
        <w:spacing w:before="0" w:after="0"/>
      </w:pPr>
      <w:r>
        <w:separator/>
      </w:r>
    </w:p>
  </w:endnote>
  <w:endnote w:type="continuationSeparator" w:id="0">
    <w:p w:rsidR="00445635" w:rsidRDefault="009E65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5DD" w:rsidRPr="009E65DD" w:rsidRDefault="009E65DD" w:rsidP="009E65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635" w:rsidRPr="009E65DD" w:rsidRDefault="009E65DD" w:rsidP="009E65DD">
    <w:pPr>
      <w:pStyle w:val="Footer"/>
      <w:rPr>
        <w:rFonts w:ascii="Arial" w:hAnsi="Arial" w:cs="Arial"/>
        <w:b/>
        <w:sz w:val="48"/>
      </w:rPr>
    </w:pPr>
    <w:r w:rsidRPr="009E65DD">
      <w:rPr>
        <w:rFonts w:ascii="Arial" w:hAnsi="Arial" w:cs="Arial"/>
        <w:b/>
        <w:sz w:val="48"/>
      </w:rPr>
      <w:t>BG</w:t>
    </w:r>
    <w:r w:rsidRPr="009E65DD">
      <w:rPr>
        <w:rFonts w:ascii="Arial" w:hAnsi="Arial" w:cs="Arial"/>
        <w:b/>
        <w:sz w:val="48"/>
      </w:rPr>
      <w:tab/>
    </w:r>
    <w:r w:rsidRPr="009E65DD">
      <w:rPr>
        <w:rFonts w:ascii="Arial" w:hAnsi="Arial" w:cs="Arial"/>
        <w:b/>
        <w:sz w:val="48"/>
      </w:rPr>
      <w:tab/>
    </w:r>
    <w:r w:rsidRPr="009E65DD">
      <w:tab/>
    </w:r>
    <w:proofErr w:type="spellStart"/>
    <w:r w:rsidRPr="009E65DD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5DD" w:rsidRPr="009E65DD" w:rsidRDefault="009E65DD" w:rsidP="009E65D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5DD" w:rsidRPr="009E65DD" w:rsidRDefault="009E65DD" w:rsidP="009E65DD">
    <w:pPr>
      <w:pStyle w:val="Footer"/>
      <w:rPr>
        <w:rFonts w:ascii="Arial" w:hAnsi="Arial" w:cs="Arial"/>
        <w:b/>
        <w:sz w:val="48"/>
      </w:rPr>
    </w:pPr>
    <w:r w:rsidRPr="009E65DD">
      <w:rPr>
        <w:rFonts w:ascii="Arial" w:hAnsi="Arial" w:cs="Arial"/>
        <w:b/>
        <w:sz w:val="48"/>
      </w:rPr>
      <w:t>BG</w:t>
    </w:r>
    <w:r w:rsidRPr="009E65DD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 w:rsidRPr="009E65DD">
      <w:tab/>
    </w:r>
    <w:r w:rsidRPr="009E65DD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5DD" w:rsidRPr="009E65DD" w:rsidRDefault="009E65DD" w:rsidP="009E65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635" w:rsidRDefault="009E65DD">
      <w:pPr>
        <w:spacing w:before="0" w:after="0"/>
      </w:pPr>
      <w:r>
        <w:separator/>
      </w:r>
    </w:p>
  </w:footnote>
  <w:footnote w:type="continuationSeparator" w:id="0">
    <w:p w:rsidR="00445635" w:rsidRDefault="009E65DD">
      <w:pPr>
        <w:spacing w:before="0" w:after="0"/>
      </w:pPr>
      <w:r>
        <w:continuationSeparator/>
      </w:r>
    </w:p>
  </w:footnote>
  <w:footnote w:id="1">
    <w:p w:rsidR="00445635" w:rsidRDefault="009E65DD">
      <w:pPr>
        <w:pStyle w:val="FootnoteText"/>
      </w:pPr>
      <w:r>
        <w:rPr>
          <w:rStyle w:val="FootnoteReference"/>
        </w:rPr>
        <w:footnoteRef/>
      </w:r>
      <w:r>
        <w:tab/>
        <w:t>ОВ L 209, 2.8.1997 г., стр. 1.</w:t>
      </w:r>
    </w:p>
  </w:footnote>
  <w:footnote w:id="2">
    <w:p w:rsidR="00445635" w:rsidRDefault="009E65DD">
      <w:pPr>
        <w:pStyle w:val="FootnoteText"/>
      </w:pPr>
      <w:r>
        <w:rPr>
          <w:rStyle w:val="FootnoteReference"/>
        </w:rPr>
        <w:footnoteRef/>
      </w:r>
      <w:r>
        <w:tab/>
      </w:r>
      <w:r>
        <w:t xml:space="preserve">COM(2018) 404 </w:t>
      </w:r>
      <w:proofErr w:type="spellStart"/>
      <w:r>
        <w:t>final</w:t>
      </w:r>
      <w:proofErr w:type="spellEnd"/>
      <w:r>
        <w:t>.</w:t>
      </w:r>
    </w:p>
  </w:footnote>
  <w:footnote w:id="3">
    <w:p w:rsidR="00445635" w:rsidRDefault="009E65DD">
      <w:pPr>
        <w:pStyle w:val="FootnoteText"/>
      </w:pPr>
      <w:r>
        <w:rPr>
          <w:rStyle w:val="FootnoteReference"/>
        </w:rPr>
        <w:footnoteRef/>
      </w:r>
      <w:r>
        <w:tab/>
      </w:r>
      <w:r>
        <w:t>P8_TA(2018)0077 и P8_TA(2018)0078.</w:t>
      </w:r>
    </w:p>
  </w:footnote>
  <w:footnote w:id="4">
    <w:p w:rsidR="00445635" w:rsidRDefault="009E65DD">
      <w:pPr>
        <w:pStyle w:val="FootnoteText"/>
      </w:pPr>
      <w:r>
        <w:rPr>
          <w:rStyle w:val="FootnoteReference"/>
        </w:rPr>
        <w:footnoteRef/>
      </w:r>
      <w:r>
        <w:tab/>
      </w:r>
      <w:r>
        <w:t xml:space="preserve">SWD(2018) 203 </w:t>
      </w:r>
      <w:proofErr w:type="spellStart"/>
      <w:r>
        <w:t>final</w:t>
      </w:r>
      <w:proofErr w:type="spellEnd"/>
      <w:r>
        <w:t>.</w:t>
      </w:r>
    </w:p>
  </w:footnote>
  <w:footnote w:id="5">
    <w:p w:rsidR="00445635" w:rsidRDefault="009E65DD">
      <w:pPr>
        <w:pStyle w:val="FootnoteText"/>
      </w:pPr>
      <w:r>
        <w:rPr>
          <w:rStyle w:val="FootnoteReference"/>
        </w:rPr>
        <w:footnoteRef/>
      </w:r>
      <w:r>
        <w:tab/>
      </w:r>
      <w:r>
        <w:t xml:space="preserve">Регламент (ЕС) № 1303/2013 на Европейския </w:t>
      </w:r>
      <w:r>
        <w:t xml:space="preserve">парламент и на Съвета от 17 декември 2013 г. за определяне на </w:t>
      </w:r>
      <w:proofErr w:type="spellStart"/>
      <w:r>
        <w:t>общоприложими</w:t>
      </w:r>
      <w:proofErr w:type="spellEnd"/>
      <w:r>
        <w:t xml:space="preserve"> разпоредби за Европейския фонд за регионално развитие, Европейския социален фонд, </w:t>
      </w:r>
      <w:proofErr w:type="spellStart"/>
      <w:r>
        <w:t>Кохезионния</w:t>
      </w:r>
      <w:proofErr w:type="spellEnd"/>
      <w:r>
        <w:t xml:space="preserve"> фонд, Европейския земеделски фонд за развитие на селските райони и Европейския фонд за</w:t>
      </w:r>
      <w:r>
        <w:t xml:space="preserve"> морско дело и рибарство и за определяне на общи разпоредби за Европейския фонд за регионално развитие, Европейския социален фонд, </w:t>
      </w:r>
      <w:proofErr w:type="spellStart"/>
      <w:r>
        <w:t>Кохезионния</w:t>
      </w:r>
      <w:proofErr w:type="spellEnd"/>
      <w:r>
        <w:t xml:space="preserve"> фонд и Европейския фонд за морско дело и рибарство, и за отмяна на Регламент (ЕО) № 1083/2006 на Съвета (OB L 347</w:t>
      </w:r>
      <w:r>
        <w:t>, 20.12.2013 г., стр. 320).</w:t>
      </w:r>
    </w:p>
  </w:footnote>
  <w:footnote w:id="6">
    <w:p w:rsidR="00445635" w:rsidRDefault="009E65DD">
      <w:pPr>
        <w:pStyle w:val="FootnoteText"/>
      </w:pPr>
      <w:r>
        <w:rPr>
          <w:rStyle w:val="FootnoteReference"/>
        </w:rPr>
        <w:footnoteRef/>
      </w:r>
      <w:r>
        <w:tab/>
      </w:r>
      <w:r>
        <w:t xml:space="preserve">COM(2014) 494 </w:t>
      </w:r>
      <w:proofErr w:type="spellStart"/>
      <w:r>
        <w:t>final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5DD" w:rsidRPr="009E65DD" w:rsidRDefault="009E65DD" w:rsidP="009E65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5DD" w:rsidRPr="009E65DD" w:rsidRDefault="009E65DD" w:rsidP="009E65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5DD" w:rsidRPr="009E65DD" w:rsidRDefault="009E65DD" w:rsidP="009E65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8FA28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ECE87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F68EF4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3A223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C4A8E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52480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5A200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FEA96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hideSpellingErrors/>
  <w:hideGrammaticalErrors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30 13:43:48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RRIGENDUM" w:val="CORRIGENDUM_x000b_This document corrects the COM (2018) 404 final of 23.5.2018_x000b_Concerns all languages versions_x000b_Level of sensibility removed from the cover page_x000b_The text should read as follows:_x000b_"/>
    <w:docVar w:name="LW_COVERPAGE_EXISTS" w:val="True"/>
    <w:docVar w:name="LW_COVERPAGE_GUID" w:val="5AC73F87-5D1B-41E9-ABF4-E14042F72ED1"/>
    <w:docVar w:name="LW_COVERPAGE_TYPE" w:val="1"/>
    <w:docVar w:name="LW_CROSSREFERENCE" w:val="&lt;UNUSED&gt;"/>
    <w:docVar w:name="LW_DocType" w:val="COM"/>
    <w:docVar w:name="LW_EMISSION" w:val="31.5.2018"/>
    <w:docVar w:name="LW_EMISSION_ISODATE" w:val="2018-05-31"/>
    <w:docVar w:name="LW_EMISSION_LOCATION" w:val="BRX"/>
    <w:docVar w:name="LW_EMISSION_PREFIX" w:val="\u1041?\u1088?\u1102?\u1082?\u1089?\u1077?\u1083?,"/>
    <w:docVar w:name="LW_EMISSION_SUFFIX" w:val="&lt;EMPTY&gt;"/>
    <w:docVar w:name="LW_ID_DOCMODEL" w:val="SG-002"/>
    <w:docVar w:name="LW_ID_DOCSIGNATURE" w:val="SG-002"/>
    <w:docVar w:name="LW_ID_DOCSTRUCTURE" w:val="COM/PL/ORG"/>
    <w:docVar w:name="LW_ID_DOCTYPE" w:val="SG-002"/>
    <w:docVar w:name="LW_ID_EXP.MOTIFS.NEW" w:val="EM_PL_"/>
    <w:docVar w:name="LW_ID_STATUT" w:val="SG-002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8"/>
    <w:docVar w:name="LW_REF.INST.NEW" w:val="COM"/>
    <w:docVar w:name="LW_REF.INST.NEW_ADOPTED" w:val="final/2"/>
    <w:docVar w:name="LW_REF.INST.NEW_TEXT" w:val="(2018) 40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87?\u1086?\u1088?\u1098?\u1082?\u1072? \u1079?\u1072?"/>
    <w:docVar w:name="LW_SUPERTITRE" w:val="&lt;UNUSED&gt;"/>
    <w:docVar w:name="LW_TITRE.OBJ.CP" w:val="\u1086?\u1090?\u1085?\u1086?\u1089?\u1085?\u1086? \u1085?\u1072?\u1094?\u1080?\u1086?\u1085?\u1072?\u1083?\u1085?\u1072?\u1090?\u1072? \u1087?\u1088?\u1086?\u1075?\u1088?\u1072?\u1084?\u1072? \u1079?\u1072? \u1088?\u1077?\u1092?\u1086?\u1088?\u1084?\u1080? \u1085?\u1072? \u1044?\u1072?\u1085?\u1080?\u1103? \u1079?\u1072? 2018 \u1075?._x000b__x000b_\u1080? \u1089?\u1098?\u1076?\u1098?\u1088?\u1078?\u1072?\u1097?\u1072? \u1089?\u1090?\u1072?\u1085?\u1086?\u1074?\u1080?\u1097?\u1077? \u1085?\u1072? \u1057?\u1098?\u1074?\u1077?\u1090?\u1072? \u1086?\u1090?\u1085?\u1086?\u1089?\u1085?\u1086? \u1087?\u1088?\u1086?\u1075?\u1088?\u1072?\u1084?\u1072?\u1090?\u1072? \u1079?\u1072? \u1082?\u1086?\u1085?\u1074?\u1077?\u1088?\u1075?\u1077?\u1085?\u1094?\u1080?\u1103? \u1085?\u1072? \u1044?\u1072?\u1085?\u1080?\u1103? \u1079?\u1072? 2018 \u1075?."/>
    <w:docVar w:name="LW_TYPE.DOC.CP" w:val="\u1055?\u1056?\u1045?\u1055?\u1054?\u1056?\u1066?\u1050?\u1040? \u1053?\u1040? \u1057?\u1066?\u1042?\u1045?\u1058?\u1040?"/>
  </w:docVars>
  <w:rsids>
    <w:rsidRoot w:val="00445635"/>
    <w:rsid w:val="00445635"/>
    <w:rsid w:val="009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E65DD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9E65DD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9E65D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9E65DD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9E65DD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9E65DD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9E65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9E65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E65DD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9E65DD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9E65D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9E65DD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9E65DD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9E65DD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9E65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9E65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6EA60-1ED3-4118-826A-C050EE52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3</TotalTime>
  <Pages>5</Pages>
  <Words>1351</Words>
  <Characters>7560</Characters>
  <Application>Microsoft Office Word</Application>
  <DocSecurity>0</DocSecurity>
  <Lines>137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ANDRIKAKIS Nikolaos (SG)</cp:lastModifiedBy>
  <cp:revision>34</cp:revision>
  <dcterms:created xsi:type="dcterms:W3CDTF">2018-05-29T08:06:00Z</dcterms:created>
  <dcterms:modified xsi:type="dcterms:W3CDTF">2018-05-31T11:50:00Z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SG-002</vt:lpwstr>
  </property>
  <property fmtid="{D5CDD505-2E9C-101B-9397-08002B2CF9AE}" pid="10" name="DQCStatus">
    <vt:lpwstr>Yellow (DQC version 03)</vt:lpwstr>
  </property>
</Properties>
</file>