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A1EF5824-0990-451F-A5CD-2CDDD608D9B9" style="width:450.75pt;height:379.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keepNext/>
        <w:tabs>
          <w:tab w:val="left" w:pos="850"/>
        </w:tabs>
        <w:snapToGrid w:val="0"/>
        <w:spacing w:before="360"/>
        <w:ind w:left="850" w:hanging="850"/>
        <w:rPr>
          <w:rFonts w:eastAsia="Times New Roman"/>
          <w:b/>
          <w:smallCaps/>
          <w:noProof/>
          <w:color w:val="000000"/>
        </w:rPr>
      </w:pPr>
      <w:r>
        <w:rPr>
          <w:b/>
          <w:smallCaps/>
          <w:noProof/>
          <w:color w:val="000000"/>
        </w:rPr>
        <w:t>1.</w:t>
      </w:r>
      <w:r>
        <w:rPr>
          <w:b/>
          <w:smallCaps/>
          <w:noProof/>
          <w:color w:val="000000"/>
        </w:rPr>
        <w:tab/>
        <w:t>КОНТЕКСТ НА ПРЕДЛОЖЕНИЕТО</w:t>
      </w:r>
    </w:p>
    <w:p>
      <w:pPr>
        <w:keepNext/>
        <w:tabs>
          <w:tab w:val="left" w:pos="850"/>
        </w:tabs>
        <w:snapToGrid w:val="0"/>
        <w:ind w:left="850" w:hanging="850"/>
        <w:rPr>
          <w:rFonts w:eastAsia="Arial Unicode MS"/>
          <w:b/>
          <w:noProof/>
          <w:color w:val="000000"/>
        </w:rPr>
      </w:pPr>
      <w:r>
        <w:rPr>
          <w:b/>
          <w:noProof/>
          <w:color w:val="000000"/>
        </w:rPr>
        <w:t>•</w:t>
      </w:r>
      <w:r>
        <w:rPr>
          <w:b/>
          <w:noProof/>
          <w:color w:val="000000"/>
        </w:rPr>
        <w:tab/>
        <w:t>Основания и цели на предложението</w:t>
      </w:r>
    </w:p>
    <w:p>
      <w:pPr>
        <w:snapToGrid w:val="0"/>
        <w:rPr>
          <w:rFonts w:eastAsia="Times New Roman"/>
          <w:noProof/>
          <w:color w:val="000000"/>
        </w:rPr>
      </w:pPr>
      <w:r>
        <w:rPr>
          <w:noProof/>
          <w:color w:val="000000"/>
        </w:rPr>
        <w:t>Директива 96/53/ЕО на Съвета от 25 юли 1996 година относно максимално допустимите размери в националния и международен трафик на някои пътни превозни средства, които се движат на територията на Общността, както и максимално допустимите маси в международния трафик</w:t>
      </w:r>
      <w:r>
        <w:rPr>
          <w:rStyle w:val="FootnoteReference"/>
          <w:rFonts w:eastAsia="Times New Roman"/>
          <w:noProof/>
          <w:color w:val="000000"/>
        </w:rPr>
        <w:footnoteReference w:id="1"/>
      </w:r>
      <w:r>
        <w:rPr>
          <w:noProof/>
          <w:color w:val="000000"/>
        </w:rPr>
        <w:t xml:space="preserve"> беше последно изменена с Директива 2015/719/EО на Европейския парламент и на Съвета от 29 април 2015 г. относно максимално допустимите размери в националния и международен трафик на някои пътни превозни средства, които се движат на територията на Общността, както и максимално допустимите маси в международния трафик</w:t>
      </w:r>
      <w:r>
        <w:rPr>
          <w:rStyle w:val="FootnoteReference"/>
          <w:rFonts w:eastAsia="Times New Roman"/>
          <w:noProof/>
          <w:color w:val="000000"/>
        </w:rPr>
        <w:footnoteReference w:id="2"/>
      </w:r>
      <w:r>
        <w:rPr>
          <w:noProof/>
          <w:color w:val="000000"/>
        </w:rPr>
        <w:t>.</w:t>
      </w:r>
    </w:p>
    <w:p>
      <w:pPr>
        <w:snapToGrid w:val="0"/>
        <w:rPr>
          <w:rFonts w:eastAsia="Times New Roman"/>
          <w:noProof/>
          <w:color w:val="000000"/>
        </w:rPr>
      </w:pPr>
      <w:r>
        <w:rPr>
          <w:noProof/>
          <w:color w:val="000000"/>
        </w:rPr>
        <w:t>Една от целите на Директива (ЕС) 2015/719 беше да се подобрят аеродинамичните характеристики на моторните превозни средства, попадащи в приложното поле на директивата, като им се позволи да ползват дерогация от максимално допустимите ограничения за дължина, ако са спазени определени условия.</w:t>
      </w:r>
    </w:p>
    <w:p>
      <w:pPr>
        <w:snapToGrid w:val="0"/>
        <w:rPr>
          <w:rFonts w:eastAsia="Times New Roman"/>
          <w:noProof/>
          <w:color w:val="000000"/>
        </w:rPr>
      </w:pPr>
      <w:r>
        <w:rPr>
          <w:noProof/>
        </w:rPr>
        <w:t>Дерогацията от ограниченията за максималната дължина беше дадена за задната част на превозните средства, за монтиране на аеродинамични устройства</w:t>
      </w:r>
      <w:r>
        <w:rPr>
          <w:rStyle w:val="FootnoteReference"/>
          <w:noProof/>
        </w:rPr>
        <w:footnoteReference w:id="3"/>
      </w:r>
      <w:r>
        <w:rPr>
          <w:noProof/>
        </w:rPr>
        <w:t xml:space="preserve"> и за предната част на превозните средства</w:t>
      </w:r>
      <w:r>
        <w:rPr>
          <w:rStyle w:val="FootnoteReference"/>
          <w:noProof/>
        </w:rPr>
        <w:footnoteReference w:id="4"/>
      </w:r>
      <w:r>
        <w:rPr>
          <w:noProof/>
        </w:rPr>
        <w:t>, за да се даде възможност за придаване на кабините на камионите на по-заоблена и аеродинамична форма.</w:t>
      </w:r>
    </w:p>
    <w:p>
      <w:pPr>
        <w:snapToGrid w:val="0"/>
        <w:rPr>
          <w:rFonts w:eastAsia="Times New Roman"/>
          <w:noProof/>
          <w:color w:val="000000"/>
        </w:rPr>
      </w:pPr>
      <w:r>
        <w:rPr>
          <w:noProof/>
          <w:color w:val="000000"/>
        </w:rPr>
        <w:t>Настоящото решение се отнася за предната част на превозното средство, т.е. за кабините, както това е предвидено в член 9а от Директива 96/53/ЕО, изменена с Директива (ЕС) 2015/719. Тази разпоредба установява редица условия, сред които съответствието на превозното средство с изискванията за радиус на завоя, определени в точка 1.5 от приложение I.</w:t>
      </w:r>
    </w:p>
    <w:p>
      <w:pPr>
        <w:snapToGrid w:val="0"/>
        <w:rPr>
          <w:rFonts w:eastAsia="Times New Roman"/>
          <w:noProof/>
          <w:color w:val="000000"/>
        </w:rPr>
      </w:pPr>
      <w:r>
        <w:rPr>
          <w:noProof/>
        </w:rPr>
        <w:t>В своята оценка на въздействието</w:t>
      </w:r>
      <w:r>
        <w:rPr>
          <w:rStyle w:val="FootnoteReference"/>
          <w:noProof/>
        </w:rPr>
        <w:footnoteReference w:id="5"/>
      </w:r>
      <w:r>
        <w:rPr>
          <w:noProof/>
        </w:rPr>
        <w:t>, придружаваща предложението за изменение на Директива 96/53/ЕО</w:t>
      </w:r>
      <w:r>
        <w:rPr>
          <w:rStyle w:val="FootnoteReference"/>
          <w:noProof/>
        </w:rPr>
        <w:footnoteReference w:id="6"/>
      </w:r>
      <w:r>
        <w:rPr>
          <w:noProof/>
        </w:rPr>
        <w:t>, Комисията установи значителни ползи от предоставянето на дерогации за дължина, които са предвидени понастоящем в Директивата за изменение (ЕС) 2015/719.</w:t>
      </w:r>
      <w:r>
        <w:rPr>
          <w:noProof/>
          <w:color w:val="000000"/>
        </w:rPr>
        <w:t xml:space="preserve"> Освен важните аеродинамични подобрения, произтичащи от аеродинамичните кабини и задните устройства с удължена форма, такива кабини ще предоставят и ползи по отношение на по-добра видимост за водачите, подобряване на безопасността за другите участници в движението по пътищата, както и безопасност и удобство на водачите.</w:t>
      </w:r>
    </w:p>
    <w:p>
      <w:pPr>
        <w:snapToGrid w:val="0"/>
        <w:rPr>
          <w:rFonts w:eastAsia="Times New Roman"/>
          <w:noProof/>
          <w:color w:val="000000"/>
        </w:rPr>
      </w:pPr>
      <w:r>
        <w:rPr>
          <w:noProof/>
          <w:color w:val="000000"/>
        </w:rPr>
        <w:t>Като има предвид, че оценката на въздействието на Комисията не показа необходимост от мораториум за влизането в сила на продълговати кабини, окончателният компромис между законодателите, приет в член 9а, параграф 3 от Директива (ЕС) 2015/719, всъщност предвижда мораториум за срок от 3 години.</w:t>
      </w:r>
    </w:p>
    <w:p>
      <w:pPr>
        <w:snapToGrid w:val="0"/>
        <w:rPr>
          <w:rFonts w:eastAsia="Times New Roman"/>
          <w:noProof/>
          <w:color w:val="000000"/>
        </w:rPr>
      </w:pPr>
      <w:r>
        <w:rPr>
          <w:noProof/>
          <w:color w:val="000000"/>
        </w:rPr>
        <w:t xml:space="preserve">Предвид настоящото положение и като се има предвид, че емисиите на CO2 от пътния транспорт представляват една четвърт от всички емисии на CO2 в ЕС, че се очаква емисиите от автомобилния транспорт да нараснат с 6 % в периода 2015—2030 г., </w:t>
      </w:r>
      <w:r>
        <w:rPr>
          <w:noProof/>
          <w:color w:val="000000"/>
        </w:rPr>
        <w:lastRenderedPageBreak/>
        <w:t>Комисията е на мнение, че ползите от кабините с удължена форма трябва да се извлекат възможно най-бързо. Важността на този въпрос се потвърждава и от предложението за стандарти за емисиите на CO2 за тежкотоварни автомобили, както е предложено от Комисията като част от III пакет за мобилността, в което специално се изтъква значението на аеродинамичните кабини</w:t>
      </w:r>
      <w:r>
        <w:rPr>
          <w:rStyle w:val="FootnoteReference"/>
          <w:rFonts w:eastAsia="Times New Roman"/>
          <w:noProof/>
          <w:color w:val="000000"/>
        </w:rPr>
        <w:footnoteReference w:id="7"/>
      </w:r>
      <w:r>
        <w:rPr>
          <w:noProof/>
          <w:color w:val="000000"/>
        </w:rPr>
        <w:t>. Всъщност за спазването на бъдещите стандарти за емисиите на CO2 за тежкотоварни превозни средства ще се наложи прилагането на различни технологии за подобряване на енергийната ефективност; сред тях въвеждането на аеродинамичните кабини е най-ефективната мярка за намаляване на въздушното съпротивление.</w:t>
      </w:r>
    </w:p>
    <w:p>
      <w:pPr>
        <w:snapToGrid w:val="0"/>
        <w:rPr>
          <w:rFonts w:eastAsia="Times New Roman"/>
          <w:noProof/>
          <w:color w:val="000000"/>
        </w:rPr>
      </w:pPr>
      <w:r>
        <w:rPr>
          <w:noProof/>
          <w:color w:val="000000"/>
        </w:rPr>
        <w:t>Предвиденият в настоящата правна уредба мораториум обаче възпира производителите от подобряване на аеродинамичните характеристики на кабината, като начин за постигане на съответствие с бъдещите стандарти за емисиите на CO2 за тежкотоварни превозни средства. Освен това мораториумът е и в разрез с принципа на иновации и принципите на по-добро регулиране, тъй като възпрепятства развитието на нови технологии и концепции.</w:t>
      </w:r>
    </w:p>
    <w:p>
      <w:pPr>
        <w:snapToGrid w:val="0"/>
        <w:rPr>
          <w:rFonts w:eastAsia="Times New Roman"/>
          <w:noProof/>
          <w:color w:val="000000"/>
        </w:rPr>
      </w:pPr>
      <w:r>
        <w:rPr>
          <w:noProof/>
          <w:color w:val="000000"/>
        </w:rPr>
        <w:t>Поради това Комисията предлага да се съкрати срокът за транспонирането на член 9а, параграф 1 от Директива 95/53/ЕО. С предложеният нов текст на член 9а, параграф 3, на държавите членки се оставя достатъчно време да предприемат необходимите стъпки.</w:t>
      </w:r>
    </w:p>
    <w:p>
      <w:pPr>
        <w:snapToGrid w:val="0"/>
        <w:rPr>
          <w:rFonts w:eastAsia="Times New Roman"/>
          <w:noProof/>
          <w:color w:val="000000"/>
        </w:rPr>
      </w:pPr>
      <w:r>
        <w:rPr>
          <w:noProof/>
          <w:color w:val="000000"/>
        </w:rPr>
        <w:t>В този контекст е отчетено и времето, необходимо за приемането на настоящото решение.</w:t>
      </w:r>
    </w:p>
    <w:p>
      <w:pPr>
        <w:snapToGrid w:val="0"/>
        <w:rPr>
          <w:rFonts w:eastAsia="Times New Roman"/>
          <w:noProof/>
          <w:color w:val="000000"/>
        </w:rPr>
      </w:pPr>
      <w:r>
        <w:rPr>
          <w:noProof/>
          <w:color w:val="000000"/>
        </w:rPr>
        <w:t>Следва да се отбележи още, че от една страна, промяната на одобрението на типа, предвидена в член 9а, параграф 2, може да се осъществи чрез изменение на Регламент (ЕС) № 1230/2012 на Комисията</w:t>
      </w:r>
      <w:r>
        <w:rPr>
          <w:rStyle w:val="FootnoteReference"/>
          <w:rFonts w:eastAsia="Times New Roman"/>
          <w:noProof/>
          <w:color w:val="000000"/>
        </w:rPr>
        <w:footnoteReference w:id="8"/>
      </w:r>
      <w:r>
        <w:rPr>
          <w:noProof/>
          <w:color w:val="000000"/>
        </w:rPr>
        <w:t>, както е видно от по-обстойно разглеждане на въпроса. Изменението на Регламент (ЕС) № 1230/2012, което се очаква да приключи до края на 2018 г., ще се извърши с мярка за прилагане съгласно Регламента относно общата безопасност</w:t>
      </w:r>
      <w:r>
        <w:rPr>
          <w:rStyle w:val="FootnoteReference"/>
          <w:rFonts w:eastAsia="Times New Roman"/>
          <w:noProof/>
          <w:color w:val="000000"/>
        </w:rPr>
        <w:footnoteReference w:id="9"/>
      </w:r>
      <w:r>
        <w:rPr>
          <w:noProof/>
          <w:color w:val="000000"/>
        </w:rPr>
        <w:t>. С новия срок, посочен в настоящото предложение, се отчита този факт и се гарантира, че националните мерки за транспониране на член 9а, параграф 1 от Директива 96/53/ЕО започват да се прилагат приблизително по същото време както и изменението на Регламент (ЕС) № 1230/2012 на Комисията.</w:t>
      </w:r>
    </w:p>
    <w:p>
      <w:pPr>
        <w:snapToGrid w:val="0"/>
        <w:rPr>
          <w:rFonts w:eastAsia="Times New Roman"/>
          <w:noProof/>
          <w:color w:val="000000"/>
        </w:rPr>
      </w:pPr>
      <w:r>
        <w:rPr>
          <w:noProof/>
          <w:color w:val="000000"/>
        </w:rPr>
        <w:t>Второ, не е необходимо да се запази точната последователност на промени, както е предвидена понастоящем в член 9а, параграф 3 от Директива 96/53/ЕО. За движението на съответните автомобили по пътищата се налага да бъдат извършени, кумулативно, промени в одобрението на типа и промяната, залегнала в член 9а, параграф 1 от Директива 96/53/ЕО. Транспонирането на последната промяна само по себе си не налага предварително изменение на одобрението на типа. Националните правила за одобрение на типа са достатъчни като условие, както е залегнало в член 9а, параграф 1 от Директива 96/53/ЕО.</w:t>
      </w:r>
    </w:p>
    <w:p>
      <w:pPr>
        <w:snapToGrid w:val="0"/>
        <w:rPr>
          <w:rFonts w:eastAsia="Times New Roman"/>
          <w:noProof/>
          <w:color w:val="000000"/>
        </w:rPr>
      </w:pPr>
      <w:r>
        <w:rPr>
          <w:noProof/>
        </w:rPr>
        <w:t>Предложената промяна е в пълно съответствие с оценката на въздействието</w:t>
      </w:r>
      <w:r>
        <w:rPr>
          <w:rStyle w:val="FootnoteReference"/>
          <w:noProof/>
        </w:rPr>
        <w:footnoteReference w:id="10"/>
      </w:r>
      <w:r>
        <w:rPr>
          <w:noProof/>
        </w:rPr>
        <w:t xml:space="preserve">, осъществена от Комисията, която — както е посочено — не предвиждаше мораториум, </w:t>
      </w:r>
      <w:r>
        <w:rPr>
          <w:noProof/>
        </w:rPr>
        <w:lastRenderedPageBreak/>
        <w:t>както беше прието от съзаконодателите.</w:t>
      </w:r>
      <w:r>
        <w:rPr>
          <w:noProof/>
          <w:color w:val="000000"/>
        </w:rPr>
        <w:t xml:space="preserve"> По същата причина няма нужда да се провежда оценка на въздействието за настоящото предложение.</w:t>
      </w:r>
    </w:p>
    <w:p>
      <w:pPr>
        <w:keepNext/>
        <w:tabs>
          <w:tab w:val="left" w:pos="850"/>
        </w:tabs>
        <w:snapToGrid w:val="0"/>
        <w:ind w:left="850" w:hanging="850"/>
        <w:rPr>
          <w:rFonts w:eastAsia="Arial Unicode MS"/>
          <w:b/>
          <w:noProof/>
          <w:color w:val="000000"/>
        </w:rPr>
      </w:pPr>
      <w:r>
        <w:rPr>
          <w:b/>
          <w:noProof/>
          <w:color w:val="000000"/>
        </w:rPr>
        <w:t>•</w:t>
      </w:r>
      <w:r>
        <w:rPr>
          <w:b/>
          <w:noProof/>
          <w:color w:val="000000"/>
        </w:rPr>
        <w:tab/>
        <w:t>Съгласуваност с действащите разпоредби в тази област на политиката</w:t>
      </w:r>
    </w:p>
    <w:p>
      <w:pPr>
        <w:snapToGrid w:val="0"/>
        <w:rPr>
          <w:noProof/>
          <w:color w:val="000000"/>
        </w:rPr>
      </w:pPr>
      <w:r>
        <w:rPr>
          <w:noProof/>
          <w:color w:val="000000"/>
        </w:rPr>
        <w:t>Настоящото предложение е в съответствие със и подкрепя съществуващите политики по отношение на стандартите за емисиите на CO2 за тежкотоварни автомобили, както се предлагат понастоящем. То е в съответствие и със съществуващите политики, целящи намаляване на злополуките и случаите със смъртен изход в автомобилния транспорт.</w:t>
      </w:r>
    </w:p>
    <w:p>
      <w:pPr>
        <w:snapToGrid w:val="0"/>
        <w:rPr>
          <w:rFonts w:eastAsia="Arial Unicode MS"/>
          <w:noProof/>
          <w:color w:val="000000"/>
        </w:rPr>
      </w:pPr>
      <w:r>
        <w:rPr>
          <w:noProof/>
          <w:color w:val="000000"/>
        </w:rPr>
        <w:t xml:space="preserve">Настоящото </w:t>
      </w:r>
      <w:r>
        <w:rPr>
          <w:rFonts w:eastAsia="Arial Unicode MS"/>
          <w:noProof/>
          <w:color w:val="000000"/>
        </w:rPr>
        <w:t>предложение само определя по-ранна дата, от която могат да се използват по-аеродинамични и/или по-безопасни кабини, както вече е предвидено след Директива 2015/719, следователно няма въздействие върху интермодалния транспорт и общата цел за насърчаване на алтернативи на автомобилния транспорт.</w:t>
      </w:r>
    </w:p>
    <w:p>
      <w:pPr>
        <w:keepNext/>
        <w:tabs>
          <w:tab w:val="left" w:pos="850"/>
        </w:tabs>
        <w:snapToGrid w:val="0"/>
        <w:ind w:left="850" w:hanging="850"/>
        <w:rPr>
          <w:rFonts w:eastAsia="Arial Unicode MS"/>
          <w:b/>
          <w:noProof/>
          <w:color w:val="000000"/>
        </w:rPr>
      </w:pPr>
      <w:r>
        <w:rPr>
          <w:b/>
          <w:noProof/>
          <w:color w:val="000000"/>
        </w:rPr>
        <w:t>•</w:t>
      </w:r>
      <w:r>
        <w:rPr>
          <w:b/>
          <w:noProof/>
          <w:color w:val="000000"/>
        </w:rPr>
        <w:tab/>
        <w:t>Съгласуваност с другите политики на Съюза</w:t>
      </w:r>
    </w:p>
    <w:p>
      <w:pPr>
        <w:keepNext/>
        <w:tabs>
          <w:tab w:val="left" w:pos="0"/>
        </w:tabs>
        <w:snapToGrid w:val="0"/>
        <w:rPr>
          <w:rFonts w:eastAsia="Arial Unicode MS"/>
          <w:b/>
          <w:noProof/>
          <w:color w:val="000000"/>
        </w:rPr>
      </w:pPr>
      <w:r>
        <w:rPr>
          <w:noProof/>
          <w:color w:val="000000"/>
        </w:rPr>
        <w:t>Предложението допринася пряко за постигането на първия политически приоритет на Комисията „Юнкер“: „Работни места, растеж и инвестиции“, като позволява на производителите на тежкотоварни автомобили и производителите на оборудване за тях да въвеждат иновации и да създадат нови модели на тежкотоварни превозни средства. Настоящото предложение има за цел да допринесе и за приоритета „Енергиен съюз и действия в областта на климата“ чрез намаляване на емисиите от тежкотоварни превозни средства.</w:t>
      </w:r>
    </w:p>
    <w:p>
      <w:pPr>
        <w:keepNext/>
        <w:tabs>
          <w:tab w:val="left" w:pos="850"/>
        </w:tabs>
        <w:snapToGrid w:val="0"/>
        <w:spacing w:before="360"/>
        <w:ind w:left="850" w:hanging="850"/>
        <w:rPr>
          <w:rFonts w:eastAsia="Times New Roman"/>
          <w:b/>
          <w:smallCaps/>
          <w:noProof/>
          <w:color w:val="000000"/>
        </w:rPr>
      </w:pPr>
      <w:r>
        <w:rPr>
          <w:b/>
          <w:smallCaps/>
          <w:noProof/>
          <w:color w:val="000000"/>
        </w:rPr>
        <w:t>2.</w:t>
      </w:r>
      <w:r>
        <w:rPr>
          <w:b/>
          <w:smallCaps/>
          <w:noProof/>
          <w:color w:val="000000"/>
        </w:rPr>
        <w:tab/>
        <w:t>ПРАВНО ОСНОВАНИЕ, СУБСИДИАРНОСТ И ПРОПОРЦИОНАЛНОСТ</w:t>
      </w:r>
    </w:p>
    <w:p>
      <w:pPr>
        <w:keepNext/>
        <w:tabs>
          <w:tab w:val="left" w:pos="850"/>
        </w:tabs>
        <w:snapToGrid w:val="0"/>
        <w:ind w:left="850" w:hanging="850"/>
        <w:rPr>
          <w:rFonts w:eastAsia="Arial Unicode MS"/>
          <w:b/>
          <w:noProof/>
          <w:color w:val="000000"/>
        </w:rPr>
      </w:pPr>
      <w:r>
        <w:rPr>
          <w:b/>
          <w:noProof/>
          <w:color w:val="000000"/>
        </w:rPr>
        <w:t>•</w:t>
      </w:r>
      <w:r>
        <w:rPr>
          <w:b/>
          <w:noProof/>
          <w:color w:val="000000"/>
        </w:rPr>
        <w:tab/>
        <w:t>Правно основание</w:t>
      </w:r>
    </w:p>
    <w:p>
      <w:pPr>
        <w:keepNext/>
        <w:tabs>
          <w:tab w:val="left" w:pos="850"/>
        </w:tabs>
        <w:snapToGrid w:val="0"/>
        <w:rPr>
          <w:rFonts w:eastAsia="Arial Unicode MS"/>
          <w:noProof/>
          <w:color w:val="000000"/>
        </w:rPr>
      </w:pPr>
      <w:r>
        <w:rPr>
          <w:noProof/>
          <w:color w:val="000000"/>
        </w:rPr>
        <w:t>Правното основание на предложеното изменение е член 91(1) от Договора за функционирането на Европейския съюз (ДФЕС).</w:t>
      </w:r>
    </w:p>
    <w:p>
      <w:pPr>
        <w:keepNext/>
        <w:tabs>
          <w:tab w:val="left" w:pos="850"/>
        </w:tabs>
        <w:snapToGrid w:val="0"/>
        <w:ind w:left="850" w:hanging="850"/>
        <w:rPr>
          <w:rFonts w:eastAsia="Arial Unicode MS"/>
          <w:b/>
          <w:noProof/>
          <w:color w:val="000000"/>
        </w:rPr>
      </w:pPr>
      <w:r>
        <w:rPr>
          <w:b/>
          <w:noProof/>
          <w:color w:val="000000"/>
        </w:rPr>
        <w:t>•</w:t>
      </w:r>
      <w:r>
        <w:rPr>
          <w:b/>
          <w:noProof/>
          <w:color w:val="000000"/>
        </w:rPr>
        <w:tab/>
        <w:t>Субсидиарност</w:t>
      </w:r>
    </w:p>
    <w:p>
      <w:pPr>
        <w:snapToGrid w:val="0"/>
        <w:rPr>
          <w:rFonts w:eastAsia="Times New Roman"/>
          <w:noProof/>
          <w:color w:val="000000"/>
        </w:rPr>
      </w:pPr>
      <w:r>
        <w:rPr>
          <w:noProof/>
          <w:color w:val="000000"/>
        </w:rPr>
        <w:t>Предложението се отнася само до промяна на срока, посочен в член 9а, параграф 3 на Директива 96/53/ЕО. Такава корекция може да се направи само от самия Съюз.</w:t>
      </w:r>
    </w:p>
    <w:p>
      <w:pPr>
        <w:snapToGrid w:val="0"/>
        <w:rPr>
          <w:rFonts w:eastAsia="Times New Roman"/>
          <w:noProof/>
          <w:color w:val="000000"/>
        </w:rPr>
      </w:pPr>
      <w:r>
        <w:rPr>
          <w:noProof/>
          <w:color w:val="000000"/>
        </w:rPr>
        <w:t>Освен това нарушаването на вътрешния пазар може да бъде избегнато само чрез единна дата за прилагане на новите правила.</w:t>
      </w:r>
    </w:p>
    <w:p>
      <w:pPr>
        <w:keepNext/>
        <w:tabs>
          <w:tab w:val="left" w:pos="850"/>
        </w:tabs>
        <w:snapToGrid w:val="0"/>
        <w:ind w:left="850" w:hanging="850"/>
        <w:rPr>
          <w:rFonts w:eastAsia="Arial Unicode MS"/>
          <w:b/>
          <w:noProof/>
          <w:color w:val="000000"/>
        </w:rPr>
      </w:pPr>
      <w:r>
        <w:rPr>
          <w:b/>
          <w:noProof/>
          <w:color w:val="000000"/>
        </w:rPr>
        <w:t>•</w:t>
      </w:r>
      <w:r>
        <w:rPr>
          <w:b/>
          <w:noProof/>
          <w:color w:val="000000"/>
        </w:rPr>
        <w:tab/>
        <w:t>Пропорционалност</w:t>
      </w:r>
    </w:p>
    <w:p>
      <w:pPr>
        <w:snapToGrid w:val="0"/>
        <w:rPr>
          <w:rFonts w:eastAsia="Times New Roman"/>
          <w:noProof/>
          <w:color w:val="000000"/>
        </w:rPr>
      </w:pPr>
      <w:r>
        <w:rPr>
          <w:noProof/>
          <w:color w:val="000000"/>
        </w:rPr>
        <w:t>Предложението относно политиката е пропорционално на установените проблеми и не надхвърля необходимото за решаването им. По-специално мярката се ограничава до промяна на срока за транспониране на член 9а, параграф 1 от Директива 96/53/ЕО и в допълнение все пак оставя достатъчно време на държавите членки да предприемат необходимите стъпки.</w:t>
      </w:r>
    </w:p>
    <w:p>
      <w:pPr>
        <w:keepNext/>
        <w:tabs>
          <w:tab w:val="left" w:pos="850"/>
        </w:tabs>
        <w:snapToGrid w:val="0"/>
        <w:ind w:left="850" w:hanging="850"/>
        <w:rPr>
          <w:rFonts w:eastAsia="Arial Unicode MS"/>
          <w:b/>
          <w:noProof/>
          <w:color w:val="000000"/>
        </w:rPr>
      </w:pPr>
      <w:r>
        <w:rPr>
          <w:b/>
          <w:noProof/>
          <w:color w:val="000000"/>
        </w:rPr>
        <w:lastRenderedPageBreak/>
        <w:t>•</w:t>
      </w:r>
      <w:r>
        <w:rPr>
          <w:b/>
          <w:noProof/>
          <w:color w:val="000000"/>
        </w:rPr>
        <w:tab/>
        <w:t>Избор на инструмент</w:t>
      </w:r>
    </w:p>
    <w:p>
      <w:pPr>
        <w:keepNext/>
        <w:tabs>
          <w:tab w:val="left" w:pos="0"/>
        </w:tabs>
        <w:snapToGrid w:val="0"/>
        <w:rPr>
          <w:rFonts w:eastAsia="Times New Roman"/>
          <w:noProof/>
          <w:color w:val="000000"/>
        </w:rPr>
      </w:pPr>
      <w:r>
        <w:rPr>
          <w:noProof/>
          <w:color w:val="000000"/>
        </w:rPr>
        <w:t>Директивите обикновено се изменят в същата форма, т.е. чрез изменящи директиви.</w:t>
      </w:r>
    </w:p>
    <w:p>
      <w:pPr>
        <w:keepNext/>
        <w:tabs>
          <w:tab w:val="left" w:pos="0"/>
        </w:tabs>
        <w:snapToGrid w:val="0"/>
        <w:rPr>
          <w:rFonts w:eastAsia="Times New Roman"/>
          <w:noProof/>
          <w:color w:val="000000"/>
        </w:rPr>
      </w:pPr>
      <w:r>
        <w:rPr>
          <w:noProof/>
          <w:color w:val="000000"/>
        </w:rPr>
        <w:t>В този конкретен случай обаче става дума само за промяната на срока, определен за държавите членки. Тази промяна, като такава, не трябва да се транспонира от държавите членки. Поради това следва да бъде под формата на решение.</w:t>
      </w:r>
    </w:p>
    <w:p>
      <w:pPr>
        <w:keepNext/>
        <w:tabs>
          <w:tab w:val="left" w:pos="850"/>
        </w:tabs>
        <w:snapToGrid w:val="0"/>
        <w:ind w:left="850" w:hanging="850"/>
        <w:rPr>
          <w:rFonts w:eastAsia="Times New Roman"/>
          <w:b/>
          <w:smallCaps/>
          <w:noProof/>
          <w:color w:val="000000"/>
        </w:rPr>
      </w:pPr>
      <w:r>
        <w:rPr>
          <w:b/>
          <w:smallCaps/>
          <w:noProof/>
          <w:color w:val="000000"/>
        </w:rPr>
        <w:t>3.</w:t>
      </w:r>
      <w:r>
        <w:rPr>
          <w:b/>
          <w:smallCaps/>
          <w:noProof/>
          <w:color w:val="000000"/>
        </w:rPr>
        <w:tab/>
        <w:t>РЕЗУЛТАТИ ОТ ПОСЛЕДВАЩИТЕ ОЦЕНКИ, КОНСУЛТАЦИИТЕ СЪС ЗАИНТЕРЕСОВАНИТЕ СТРАНИ И ОЦЕНКИТЕ НА ВЪЗДЕЙСТВИЕТО</w:t>
      </w:r>
    </w:p>
    <w:p>
      <w:pPr>
        <w:keepNext/>
        <w:tabs>
          <w:tab w:val="left" w:pos="0"/>
        </w:tabs>
        <w:snapToGrid w:val="0"/>
        <w:rPr>
          <w:rFonts w:eastAsia="Times New Roman"/>
          <w:b/>
          <w:smallCaps/>
          <w:noProof/>
          <w:color w:val="000000"/>
        </w:rPr>
      </w:pPr>
      <w:r>
        <w:rPr>
          <w:noProof/>
          <w:color w:val="000000"/>
        </w:rPr>
        <w:t>Като се има предвид, че не е необходима допълнителна оценка на въздействието за настоящото предложение, се прави препратка към вече осъществената от Комисията оценка на въздействието: SWD (2013) 108 final.</w:t>
      </w:r>
    </w:p>
    <w:p>
      <w:pPr>
        <w:keepNext/>
        <w:tabs>
          <w:tab w:val="left" w:pos="850"/>
        </w:tabs>
        <w:snapToGrid w:val="0"/>
        <w:spacing w:before="360"/>
        <w:ind w:left="850" w:hanging="850"/>
        <w:rPr>
          <w:rFonts w:eastAsia="Times New Roman"/>
          <w:b/>
          <w:smallCaps/>
          <w:noProof/>
          <w:color w:val="000000"/>
        </w:rPr>
      </w:pPr>
      <w:r>
        <w:rPr>
          <w:b/>
          <w:smallCaps/>
          <w:noProof/>
          <w:color w:val="000000"/>
        </w:rPr>
        <w:t xml:space="preserve"> 4.</w:t>
      </w:r>
      <w:r>
        <w:rPr>
          <w:b/>
          <w:smallCaps/>
          <w:noProof/>
          <w:color w:val="000000"/>
        </w:rPr>
        <w:tab/>
        <w:t>ОТРАЖЕНИЕ ВЪРХУ БЮДЖЕТА</w:t>
      </w:r>
    </w:p>
    <w:p>
      <w:pPr>
        <w:keepNext/>
        <w:tabs>
          <w:tab w:val="left" w:pos="850"/>
        </w:tabs>
        <w:snapToGrid w:val="0"/>
        <w:spacing w:before="360"/>
        <w:ind w:left="850" w:hanging="850"/>
        <w:rPr>
          <w:rFonts w:eastAsia="Times New Roman"/>
          <w:b/>
          <w:smallCaps/>
          <w:noProof/>
          <w:color w:val="000000"/>
        </w:rPr>
      </w:pPr>
      <w:r>
        <w:rPr>
          <w:noProof/>
          <w:color w:val="000000"/>
        </w:rPr>
        <w:t>Предложената промяна няма отражение върху бюджета на Съюза.</w:t>
      </w:r>
    </w:p>
    <w:p>
      <w:pPr>
        <w:keepNext/>
        <w:tabs>
          <w:tab w:val="left" w:pos="850"/>
        </w:tabs>
        <w:snapToGrid w:val="0"/>
        <w:spacing w:before="360"/>
        <w:ind w:left="850" w:hanging="850"/>
        <w:rPr>
          <w:rFonts w:eastAsia="Times New Roman"/>
          <w:b/>
          <w:smallCaps/>
          <w:noProof/>
          <w:color w:val="000000"/>
        </w:rPr>
      </w:pPr>
      <w:r>
        <w:rPr>
          <w:b/>
          <w:smallCaps/>
          <w:noProof/>
          <w:color w:val="000000"/>
        </w:rPr>
        <w:t>5.</w:t>
      </w:r>
      <w:r>
        <w:rPr>
          <w:b/>
          <w:smallCaps/>
          <w:noProof/>
          <w:color w:val="000000"/>
        </w:rPr>
        <w:tab/>
        <w:t>ДРУГИ ЕЛЕМЕНТИ</w:t>
      </w:r>
    </w:p>
    <w:p>
      <w:pPr>
        <w:keepNext/>
        <w:tabs>
          <w:tab w:val="left" w:pos="850"/>
        </w:tabs>
        <w:snapToGrid w:val="0"/>
        <w:ind w:left="850" w:hanging="850"/>
        <w:rPr>
          <w:rFonts w:eastAsia="Arial Unicode MS"/>
          <w:b/>
          <w:noProof/>
          <w:color w:val="000000"/>
        </w:rPr>
      </w:pPr>
      <w:r>
        <w:rPr>
          <w:b/>
          <w:noProof/>
          <w:color w:val="000000"/>
        </w:rPr>
        <w:t>•</w:t>
      </w:r>
      <w:r>
        <w:rPr>
          <w:b/>
          <w:noProof/>
          <w:color w:val="000000"/>
        </w:rPr>
        <w:tab/>
        <w:t>Подробно разяснение на конкретните разпоредби на предложението</w:t>
      </w:r>
    </w:p>
    <w:p>
      <w:pPr>
        <w:snapToGrid w:val="0"/>
        <w:rPr>
          <w:rFonts w:eastAsia="Times New Roman"/>
          <w:noProof/>
          <w:color w:val="000000"/>
        </w:rPr>
      </w:pPr>
      <w:r>
        <w:rPr>
          <w:noProof/>
          <w:color w:val="000000"/>
        </w:rPr>
        <w:t>Основните елементи на предложението са следните:</w:t>
      </w:r>
    </w:p>
    <w:p>
      <w:pPr>
        <w:keepNext/>
        <w:snapToGrid w:val="0"/>
        <w:rPr>
          <w:rFonts w:eastAsia="Times New Roman"/>
          <w:b/>
          <w:noProof/>
          <w:color w:val="000000"/>
          <w:u w:val="single"/>
        </w:rPr>
      </w:pPr>
      <w:r>
        <w:rPr>
          <w:b/>
          <w:noProof/>
          <w:color w:val="000000"/>
          <w:u w:val="single"/>
        </w:rPr>
        <w:t>Директива 96/53/ЕО</w:t>
      </w:r>
    </w:p>
    <w:p>
      <w:pPr>
        <w:keepNext/>
        <w:snapToGrid w:val="0"/>
        <w:rPr>
          <w:rFonts w:eastAsia="Times New Roman"/>
          <w:noProof/>
          <w:color w:val="000000"/>
        </w:rPr>
      </w:pPr>
      <w:r>
        <w:rPr>
          <w:i/>
          <w:noProof/>
          <w:color w:val="000000"/>
        </w:rPr>
        <w:t>Член 9a</w:t>
      </w:r>
    </w:p>
    <w:p>
      <w:pPr>
        <w:snapToGrid w:val="0"/>
        <w:rPr>
          <w:rFonts w:eastAsia="Times New Roman"/>
          <w:noProof/>
          <w:color w:val="000000"/>
        </w:rPr>
      </w:pPr>
      <w:r>
        <w:rPr>
          <w:noProof/>
          <w:color w:val="000000"/>
        </w:rPr>
        <w:t>Действащият член 9а, параграф 3 предвижда 3-годишен мораториум за въвеждането на аеродинамични кабини след датата на транспонирането или на прилагането на необходимите изменения по отношение на техническите изисквания за одобрението на типа.</w:t>
      </w:r>
    </w:p>
    <w:p>
      <w:pPr>
        <w:snapToGrid w:val="0"/>
        <w:rPr>
          <w:rFonts w:eastAsia="Times New Roman"/>
          <w:noProof/>
          <w:color w:val="000000"/>
        </w:rPr>
      </w:pPr>
      <w:r>
        <w:rPr>
          <w:noProof/>
          <w:color w:val="000000"/>
        </w:rPr>
        <w:t>Предлага се да се адаптира член 9а, параграф 3, за да се прекрати тригодишният мораториум и да се определи по-кратък, но пропорционален срок.</w:t>
      </w:r>
    </w:p>
    <w:p>
      <w:pPr>
        <w:snapToGrid w:val="0"/>
        <w:rPr>
          <w:noProof/>
        </w:rPr>
        <w:sectPr>
          <w:footerReference w:type="default" r:id="rId15"/>
          <w:footerReference w:type="first" r:id="rId16"/>
          <w:pgSz w:w="11907" w:h="16839"/>
          <w:pgMar w:top="1134" w:right="1417" w:bottom="1134" w:left="1417" w:header="709" w:footer="709" w:gutter="0"/>
          <w:pgNumType w:start="2"/>
          <w:cols w:space="720"/>
          <w:docGrid w:linePitch="360"/>
        </w:sectPr>
      </w:pPr>
    </w:p>
    <w:p>
      <w:pPr>
        <w:pStyle w:val="Rfrenceinterinstitutionnelle"/>
        <w:rPr>
          <w:noProof/>
        </w:rPr>
      </w:pPr>
      <w:r>
        <w:rPr>
          <w:noProof/>
        </w:rPr>
        <w:lastRenderedPageBreak/>
        <w:t>2018/0130 (COD)</w:t>
      </w:r>
    </w:p>
    <w:p>
      <w:pPr>
        <w:pStyle w:val="Statut"/>
        <w:rPr>
          <w:noProof/>
        </w:rPr>
      </w:pPr>
      <w:r>
        <w:rPr>
          <w:noProof/>
        </w:rPr>
        <w:t>Предложение за</w:t>
      </w:r>
    </w:p>
    <w:p>
      <w:pPr>
        <w:pStyle w:val="Typedudocument"/>
        <w:rPr>
          <w:noProof/>
        </w:rPr>
      </w:pPr>
      <w:r>
        <w:rPr>
          <w:noProof/>
        </w:rPr>
        <w:t>РЕШЕНИЕ НА ЕВРОПЕЙСКИЯ ПАРЛАМЕНТ И НА СЪВЕТА</w:t>
      </w:r>
    </w:p>
    <w:p>
      <w:pPr>
        <w:pStyle w:val="Titreobjet"/>
        <w:rPr>
          <w:noProof/>
        </w:rPr>
      </w:pPr>
      <w:r>
        <w:rPr>
          <w:noProof/>
        </w:rPr>
        <w:t>за изменение на Директива 96/53/ЕО на Съвета по отношение на срока за прилагането на специалните правила относно максималната дължина на кабини с подобрени аеродинамични характеристики, енергийна ефективност и безопасност</w:t>
      </w:r>
      <w:r>
        <w:rPr>
          <w:noProof/>
        </w:rPr>
        <w:br/>
      </w:r>
    </w:p>
    <w:p>
      <w:pPr>
        <w:pStyle w:val="Institutionquiagit"/>
        <w:rPr>
          <w:noProof/>
        </w:rPr>
      </w:pPr>
      <w:r>
        <w:rPr>
          <w:noProof/>
        </w:rPr>
        <w:t>ЕВРОПЕЙСКИЯТ ПАРЛАМЕНТ И СЪВЕТЪТ НА ЕВРОПЕЙСКИЯ СЪЮЗ,</w:t>
      </w:r>
    </w:p>
    <w:p>
      <w:pPr>
        <w:snapToGrid w:val="0"/>
        <w:rPr>
          <w:rFonts w:eastAsia="Times New Roman"/>
          <w:noProof/>
          <w:color w:val="000000"/>
        </w:rPr>
      </w:pPr>
      <w:r>
        <w:rPr>
          <w:noProof/>
          <w:color w:val="000000"/>
        </w:rPr>
        <w:t>като взеха предвид Договора за функционирането на Европейския съюз, и по-специално член 91, параграф 1 от него,</w:t>
      </w:r>
    </w:p>
    <w:p>
      <w:pPr>
        <w:snapToGrid w:val="0"/>
        <w:rPr>
          <w:rFonts w:eastAsia="Times New Roman"/>
          <w:noProof/>
          <w:color w:val="000000"/>
        </w:rPr>
      </w:pPr>
      <w:r>
        <w:rPr>
          <w:noProof/>
          <w:color w:val="000000"/>
        </w:rPr>
        <w:t>като взеха предвид предложението на Европейската комисия,</w:t>
      </w:r>
    </w:p>
    <w:p>
      <w:pPr>
        <w:snapToGrid w:val="0"/>
        <w:rPr>
          <w:rFonts w:eastAsia="Times New Roman"/>
          <w:noProof/>
          <w:color w:val="000000"/>
        </w:rPr>
      </w:pPr>
      <w:r>
        <w:rPr>
          <w:noProof/>
          <w:color w:val="000000"/>
        </w:rPr>
        <w:t>след предаване на проекта на законодателния акт на националните парламенти,</w:t>
      </w:r>
    </w:p>
    <w:p>
      <w:pPr>
        <w:snapToGrid w:val="0"/>
        <w:rPr>
          <w:rFonts w:eastAsia="Times New Roman"/>
          <w:noProof/>
          <w:color w:val="000000"/>
        </w:rPr>
      </w:pPr>
      <w:r>
        <w:rPr>
          <w:noProof/>
        </w:rPr>
        <w:t>като взеха предвид становището на Европейския икономически и социален комитет</w:t>
      </w:r>
      <w:r>
        <w:rPr>
          <w:rStyle w:val="FootnoteReference"/>
          <w:noProof/>
        </w:rPr>
        <w:footnoteReference w:id="11"/>
      </w:r>
      <w:r>
        <w:rPr>
          <w:noProof/>
        </w:rPr>
        <w:t>,</w:t>
      </w:r>
    </w:p>
    <w:p>
      <w:pPr>
        <w:snapToGrid w:val="0"/>
        <w:rPr>
          <w:rFonts w:eastAsia="Times New Roman"/>
          <w:noProof/>
          <w:color w:val="000000"/>
        </w:rPr>
      </w:pPr>
      <w:r>
        <w:rPr>
          <w:noProof/>
        </w:rPr>
        <w:t>като взеха предвид становището на Комитета на регионите</w:t>
      </w:r>
      <w:r>
        <w:rPr>
          <w:rStyle w:val="FootnoteReference"/>
          <w:noProof/>
        </w:rPr>
        <w:footnoteReference w:id="12"/>
      </w:r>
      <w:r>
        <w:rPr>
          <w:noProof/>
        </w:rPr>
        <w:t>,</w:t>
      </w:r>
    </w:p>
    <w:p>
      <w:pPr>
        <w:snapToGrid w:val="0"/>
        <w:rPr>
          <w:rFonts w:eastAsia="Times New Roman"/>
          <w:noProof/>
          <w:color w:val="000000"/>
        </w:rPr>
      </w:pPr>
      <w:r>
        <w:rPr>
          <w:noProof/>
          <w:color w:val="000000"/>
        </w:rPr>
        <w:t>в съответствие с обикновената законодателна процедура,</w:t>
      </w:r>
    </w:p>
    <w:p>
      <w:pPr>
        <w:snapToGrid w:val="0"/>
        <w:rPr>
          <w:rFonts w:eastAsia="Times New Roman"/>
          <w:noProof/>
          <w:color w:val="000000"/>
        </w:rPr>
      </w:pPr>
      <w:r>
        <w:rPr>
          <w:noProof/>
          <w:color w:val="000000"/>
        </w:rPr>
        <w:t>като имат предвид, че:</w:t>
      </w:r>
    </w:p>
    <w:p>
      <w:pPr>
        <w:pStyle w:val="ManualConsidrant"/>
        <w:rPr>
          <w:noProof/>
        </w:rPr>
      </w:pPr>
      <w:r>
        <w:rPr>
          <w:noProof/>
        </w:rPr>
        <w:t>(1)</w:t>
      </w:r>
      <w:r>
        <w:rPr>
          <w:noProof/>
        </w:rPr>
        <w:tab/>
        <w:t>Директива 96/53/ЕО на Съвета от 25 юли 1996 година относно максимално допустимите размери в националния и международен трафик на някои пътни превозни средства, които се движат на територията на Общността, както и максимално допустимите маси в международния трафик</w:t>
      </w:r>
      <w:r>
        <w:rPr>
          <w:rStyle w:val="FootnoteReference"/>
          <w:noProof/>
        </w:rPr>
        <w:footnoteReference w:id="13"/>
      </w:r>
      <w:r>
        <w:rPr>
          <w:noProof/>
        </w:rPr>
        <w:t xml:space="preserve"> беше изменена с Директива (EС) 2015/719 на Европейския парламент и на Съвета</w:t>
      </w:r>
      <w:r>
        <w:rPr>
          <w:rStyle w:val="FootnoteReference"/>
          <w:noProof/>
        </w:rPr>
        <w:footnoteReference w:id="14"/>
      </w:r>
      <w:r>
        <w:rPr>
          <w:noProof/>
        </w:rPr>
        <w:t xml:space="preserve"> с цел намаляване на енергопотреблението и емисиите на парникови газове, адаптиране на законодателството към технологичното развитие и променящите се пазарни нужди и улесняване на интермодалния транспорт.</w:t>
      </w:r>
    </w:p>
    <w:p>
      <w:pPr>
        <w:pStyle w:val="ManualConsidrant"/>
        <w:rPr>
          <w:noProof/>
        </w:rPr>
      </w:pPr>
      <w:r>
        <w:rPr>
          <w:noProof/>
        </w:rPr>
        <w:t>(2)</w:t>
      </w:r>
      <w:r>
        <w:rPr>
          <w:noProof/>
        </w:rPr>
        <w:tab/>
        <w:t>Подобряването на аеродинамичните характеристики на кабината на моторните превозни средства би позволило и значително повишение на енергийната ефективност на превозните средства. Това подобряване обаче е невъзможно при ограниченията за дължината, поставени с Директива 96/53/ЕО, без да се намали товароносимостта на превозните средства. Поради това беше въведена дерогация от ограниченията за максимална дължина с Директива (ЕС) 2015/719.</w:t>
      </w:r>
    </w:p>
    <w:p>
      <w:pPr>
        <w:pStyle w:val="ManualConsidrant"/>
        <w:rPr>
          <w:noProof/>
        </w:rPr>
      </w:pPr>
      <w:r>
        <w:rPr>
          <w:noProof/>
        </w:rPr>
        <w:t>(3)</w:t>
      </w:r>
      <w:r>
        <w:rPr>
          <w:noProof/>
        </w:rPr>
        <w:tab/>
        <w:t xml:space="preserve">Освен това Директива (ЕС) 2015/719 предвижда 3-годишен мораториум за въвеждането на аеродинамични кабини след датата на транспонирането или на </w:t>
      </w:r>
      <w:r>
        <w:rPr>
          <w:noProof/>
        </w:rPr>
        <w:lastRenderedPageBreak/>
        <w:t>прилагането на необходимите изменения по отношение на техническите изисквания за одобрението на типа.</w:t>
      </w:r>
    </w:p>
    <w:p>
      <w:pPr>
        <w:pStyle w:val="ManualConsidrant"/>
        <w:rPr>
          <w:noProof/>
        </w:rPr>
      </w:pPr>
      <w:r>
        <w:rPr>
          <w:noProof/>
        </w:rPr>
        <w:t>(4)</w:t>
      </w:r>
      <w:r>
        <w:rPr>
          <w:noProof/>
        </w:rPr>
        <w:tab/>
        <w:t>За да се осъществяват на възможно най-ранен етап ползите от аеродинамичните кабини, изразени в енергийните характеристики на тежкотоварните превозни средства, но също така и в по-добрата видимост за водачите, сигурност на останалите участници в пътното движение и безопасността и удобството на водачите, е необходимо да се гарантира, че такива аеродинамични кабини могат да се въведат без ненужно забавяне, веднага след изпълнението на необходимите изисквания за одобрение на типа.</w:t>
      </w:r>
    </w:p>
    <w:p>
      <w:pPr>
        <w:pStyle w:val="ManualConsidrant"/>
        <w:rPr>
          <w:noProof/>
        </w:rPr>
      </w:pPr>
      <w:r>
        <w:rPr>
          <w:noProof/>
        </w:rPr>
        <w:t>(5)</w:t>
      </w:r>
      <w:r>
        <w:rPr>
          <w:noProof/>
        </w:rPr>
        <w:tab/>
        <w:t>Поради това Директива 96/53/ЕО на Съвета следва да бъде съответно изменена,</w:t>
      </w:r>
    </w:p>
    <w:p>
      <w:pPr>
        <w:pStyle w:val="Formuledadoption"/>
        <w:rPr>
          <w:noProof/>
        </w:rPr>
      </w:pPr>
      <w:r>
        <w:rPr>
          <w:noProof/>
        </w:rPr>
        <w:t>ПРИЕХА НАСТОЯЩОТО РЕШЕНИЕ:</w:t>
      </w:r>
    </w:p>
    <w:p>
      <w:pPr>
        <w:pStyle w:val="Titrearticle"/>
        <w:rPr>
          <w:noProof/>
        </w:rPr>
      </w:pPr>
      <w:r>
        <w:rPr>
          <w:noProof/>
        </w:rPr>
        <w:t>Член 1</w:t>
      </w:r>
    </w:p>
    <w:p>
      <w:pPr>
        <w:tabs>
          <w:tab w:val="left" w:pos="850"/>
        </w:tabs>
        <w:snapToGrid w:val="0"/>
        <w:rPr>
          <w:rFonts w:eastAsia="Times New Roman"/>
          <w:i/>
          <w:noProof/>
          <w:color w:val="000000"/>
        </w:rPr>
      </w:pPr>
      <w:r>
        <w:rPr>
          <w:noProof/>
          <w:color w:val="000000"/>
        </w:rPr>
        <w:t>В член 9a от Директива (ЕС) 96/53/ЕО на Съвета параграф 3 се заменя със следното:</w:t>
      </w:r>
    </w:p>
    <w:p>
      <w:pPr>
        <w:keepNext/>
        <w:spacing w:before="360"/>
        <w:jc w:val="center"/>
        <w:rPr>
          <w:rFonts w:eastAsia="Times New Roman"/>
          <w:noProof/>
          <w:color w:val="000000"/>
        </w:rPr>
      </w:pPr>
      <w:r>
        <w:rPr>
          <w:noProof/>
          <w:color w:val="000000"/>
        </w:rPr>
        <w:t xml:space="preserve">„(3) Параграф 1 се прилага, считано от </w:t>
      </w:r>
      <w:r>
        <w:rPr>
          <w:noProof/>
        </w:rPr>
        <w:t>[XXX] [до Службата за публикации: моля, въведете дата: 4 месеца от влизането в сила на настоящото решение]</w:t>
      </w:r>
      <w:r>
        <w:rPr>
          <w:noProof/>
          <w:color w:val="000000"/>
        </w:rPr>
        <w:t>.“</w:t>
      </w:r>
    </w:p>
    <w:p>
      <w:pPr>
        <w:pStyle w:val="Titrearticle"/>
        <w:rPr>
          <w:noProof/>
        </w:rPr>
      </w:pPr>
      <w:r>
        <w:rPr>
          <w:noProof/>
        </w:rPr>
        <w:t>Член 2</w:t>
      </w:r>
    </w:p>
    <w:p>
      <w:pPr>
        <w:keepNext/>
        <w:snapToGrid w:val="0"/>
        <w:rPr>
          <w:rFonts w:eastAsia="Times New Roman"/>
          <w:noProof/>
          <w:color w:val="000000"/>
        </w:rPr>
      </w:pPr>
      <w:r>
        <w:rPr>
          <w:noProof/>
          <w:color w:val="000000"/>
        </w:rPr>
        <w:t>Настоящото решение влиза в сила на двадесетия ден след публикуването му в Официален вестник на Европейския съюз.</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OВ L 235, 17.9.1996 г., стр. 59.</w:t>
      </w:r>
    </w:p>
  </w:footnote>
  <w:footnote w:id="2">
    <w:p>
      <w:pPr>
        <w:pStyle w:val="FootnoteText"/>
      </w:pPr>
      <w:r>
        <w:rPr>
          <w:rStyle w:val="FootnoteReference"/>
        </w:rPr>
        <w:footnoteRef/>
      </w:r>
      <w:r>
        <w:tab/>
        <w:t>OВ L 115, 6.5.2015 г., стр. 1.</w:t>
      </w:r>
    </w:p>
  </w:footnote>
  <w:footnote w:id="3">
    <w:p>
      <w:pPr>
        <w:snapToGrid w:val="0"/>
        <w:spacing w:before="0" w:after="0"/>
        <w:ind w:left="720" w:hanging="720"/>
        <w:rPr>
          <w:rFonts w:eastAsia="Times New Roman"/>
          <w:color w:val="000000"/>
          <w:sz w:val="20"/>
        </w:rPr>
      </w:pPr>
      <w:r>
        <w:rPr>
          <w:rStyle w:val="FootnoteReference"/>
        </w:rPr>
        <w:footnoteRef/>
      </w:r>
      <w:r>
        <w:rPr>
          <w:color w:val="000000"/>
          <w:sz w:val="20"/>
          <w:shd w:val="clear" w:color="000000" w:fill="FCFCFC"/>
          <w:vertAlign w:val="superscript"/>
        </w:rPr>
        <w:tab/>
      </w:r>
      <w:r>
        <w:rPr>
          <w:color w:val="000000"/>
          <w:sz w:val="20"/>
        </w:rPr>
        <w:t>Член 8б.</w:t>
      </w:r>
    </w:p>
  </w:footnote>
  <w:footnote w:id="4">
    <w:p>
      <w:pPr>
        <w:snapToGrid w:val="0"/>
        <w:spacing w:before="0" w:after="0"/>
        <w:ind w:left="720" w:hanging="720"/>
        <w:rPr>
          <w:rFonts w:eastAsia="Times New Roman"/>
          <w:color w:val="000000"/>
          <w:sz w:val="20"/>
        </w:rPr>
      </w:pPr>
      <w:r>
        <w:rPr>
          <w:rStyle w:val="FootnoteReference"/>
        </w:rPr>
        <w:footnoteRef/>
      </w:r>
      <w:r>
        <w:rPr>
          <w:color w:val="000000"/>
          <w:sz w:val="20"/>
          <w:shd w:val="clear" w:color="000000" w:fill="FCFCFC"/>
          <w:vertAlign w:val="superscript"/>
        </w:rPr>
        <w:tab/>
      </w:r>
      <w:r>
        <w:rPr>
          <w:color w:val="000000"/>
          <w:sz w:val="20"/>
        </w:rPr>
        <w:t>Член 9a.</w:t>
      </w:r>
    </w:p>
  </w:footnote>
  <w:footnote w:id="5">
    <w:p>
      <w:pPr>
        <w:snapToGrid w:val="0"/>
        <w:spacing w:before="0" w:after="0"/>
        <w:ind w:left="720" w:hanging="720"/>
        <w:rPr>
          <w:rFonts w:eastAsia="Times New Roman"/>
          <w:color w:val="000000"/>
          <w:sz w:val="20"/>
        </w:rPr>
      </w:pPr>
      <w:r>
        <w:rPr>
          <w:rStyle w:val="FootnoteReference"/>
        </w:rPr>
        <w:footnoteRef/>
      </w:r>
      <w:r>
        <w:rPr>
          <w:color w:val="000000"/>
          <w:sz w:val="20"/>
          <w:shd w:val="clear" w:color="000000" w:fill="FCFCFC"/>
          <w:vertAlign w:val="superscript"/>
        </w:rPr>
        <w:tab/>
      </w:r>
      <w:r>
        <w:rPr>
          <w:color w:val="000000"/>
          <w:sz w:val="20"/>
        </w:rPr>
        <w:t>SWD(2013) 108 final.</w:t>
      </w:r>
    </w:p>
  </w:footnote>
  <w:footnote w:id="6">
    <w:p>
      <w:pPr>
        <w:snapToGrid w:val="0"/>
        <w:spacing w:before="0" w:after="0"/>
        <w:ind w:left="720" w:hanging="720"/>
        <w:rPr>
          <w:rFonts w:eastAsia="Times New Roman"/>
          <w:color w:val="000000"/>
          <w:sz w:val="20"/>
        </w:rPr>
      </w:pPr>
      <w:r>
        <w:rPr>
          <w:rStyle w:val="FootnoteReference"/>
        </w:rPr>
        <w:footnoteRef/>
      </w:r>
      <w:r>
        <w:rPr>
          <w:color w:val="000000"/>
          <w:sz w:val="20"/>
          <w:shd w:val="clear" w:color="000000" w:fill="FCFCFC"/>
          <w:vertAlign w:val="superscript"/>
        </w:rPr>
        <w:tab/>
      </w:r>
      <w:r>
        <w:rPr>
          <w:color w:val="000000"/>
          <w:sz w:val="20"/>
        </w:rPr>
        <w:t>COM(2013) 195 final.</w:t>
      </w:r>
    </w:p>
  </w:footnote>
  <w:footnote w:id="7">
    <w:p>
      <w:pPr>
        <w:pStyle w:val="FootnoteText"/>
      </w:pPr>
      <w:r>
        <w:rPr>
          <w:rStyle w:val="FootnoteReference"/>
        </w:rPr>
        <w:footnoteRef/>
      </w:r>
      <w:r>
        <w:tab/>
        <w:t>Да се включи позоваване на ОВ.</w:t>
      </w:r>
    </w:p>
  </w:footnote>
  <w:footnote w:id="8">
    <w:p>
      <w:pPr>
        <w:pStyle w:val="FootnoteText"/>
      </w:pPr>
      <w:r>
        <w:rPr>
          <w:rStyle w:val="FootnoteReference"/>
        </w:rPr>
        <w:footnoteRef/>
      </w:r>
      <w:r>
        <w:tab/>
        <w:t>Регламент (ЕС) № 1230/2012 на Комисията от 12 декември 2012 г. за прилагане на Регламент (ЕО) № 661/2009 на Европейския парламент и на Съвета във връзка с изискванията за одобрение на типа по отношение на масите и размерите на моторните превозни средства и техните ремаркета и за изменение на Директива 2007/46/ЕО на Европейския парламент и на Съвета, OB L 353, 21.12.2012 г., стр. 31.</w:t>
      </w:r>
    </w:p>
  </w:footnote>
  <w:footnote w:id="9">
    <w:p>
      <w:pPr>
        <w:pStyle w:val="FootnoteText"/>
      </w:pPr>
      <w:r>
        <w:rPr>
          <w:rStyle w:val="FootnoteReference"/>
        </w:rPr>
        <w:footnoteRef/>
      </w:r>
      <w:r>
        <w:tab/>
        <w:t>Регламент (ЕС) № 661/2009.</w:t>
      </w:r>
    </w:p>
  </w:footnote>
  <w:footnote w:id="10">
    <w:p>
      <w:pPr>
        <w:snapToGrid w:val="0"/>
        <w:spacing w:before="0" w:after="0"/>
        <w:ind w:left="720" w:hanging="720"/>
        <w:rPr>
          <w:rFonts w:eastAsia="Times New Roman"/>
          <w:color w:val="000000"/>
          <w:sz w:val="20"/>
        </w:rPr>
      </w:pPr>
      <w:r>
        <w:rPr>
          <w:rStyle w:val="FootnoteReference"/>
        </w:rPr>
        <w:footnoteRef/>
      </w:r>
      <w:r>
        <w:rPr>
          <w:color w:val="000000"/>
          <w:sz w:val="20"/>
          <w:shd w:val="clear" w:color="000000" w:fill="FCFCFC"/>
          <w:vertAlign w:val="superscript"/>
        </w:rPr>
        <w:tab/>
      </w:r>
      <w:r>
        <w:rPr>
          <w:color w:val="000000"/>
          <w:sz w:val="20"/>
        </w:rPr>
        <w:t>SWD(2013) 108 final.</w:t>
      </w:r>
    </w:p>
  </w:footnote>
  <w:footnote w:id="11">
    <w:p>
      <w:pPr>
        <w:snapToGrid w:val="0"/>
        <w:spacing w:before="0" w:after="0"/>
        <w:ind w:left="720" w:hanging="720"/>
        <w:rPr>
          <w:rFonts w:eastAsia="Times New Roman"/>
          <w:color w:val="000000"/>
          <w:sz w:val="20"/>
        </w:rPr>
      </w:pPr>
      <w:r>
        <w:rPr>
          <w:rStyle w:val="FootnoteReference"/>
        </w:rPr>
        <w:footnoteRef/>
      </w:r>
      <w:r>
        <w:rPr>
          <w:color w:val="000000"/>
          <w:sz w:val="20"/>
          <w:shd w:val="clear" w:color="000000" w:fill="FCFCFC"/>
          <w:vertAlign w:val="superscript"/>
        </w:rPr>
        <w:tab/>
      </w:r>
      <w:r>
        <w:rPr>
          <w:color w:val="000000"/>
          <w:sz w:val="20"/>
        </w:rPr>
        <w:t>ОВ C</w:t>
      </w:r>
      <w:r>
        <w:rPr>
          <w:sz w:val="20"/>
        </w:rPr>
        <w:t xml:space="preserve"> </w:t>
      </w:r>
      <w:r>
        <w:rPr>
          <w:color w:val="0000FF"/>
          <w:sz w:val="20"/>
          <w:shd w:val="clear" w:color="000000" w:fill="FCFCFC"/>
        </w:rPr>
        <w:t>[…]</w:t>
      </w:r>
      <w:r>
        <w:rPr>
          <w:sz w:val="20"/>
        </w:rPr>
        <w:t xml:space="preserve">, </w:t>
      </w:r>
      <w:r>
        <w:rPr>
          <w:color w:val="0000FF"/>
          <w:sz w:val="20"/>
          <w:shd w:val="clear" w:color="000000" w:fill="FCFCFC"/>
        </w:rPr>
        <w:t>[…]</w:t>
      </w:r>
      <w:r>
        <w:rPr>
          <w:sz w:val="20"/>
        </w:rPr>
        <w:t xml:space="preserve">, стр. </w:t>
      </w:r>
      <w:r>
        <w:rPr>
          <w:color w:val="0000FF"/>
          <w:sz w:val="20"/>
          <w:shd w:val="clear" w:color="000000" w:fill="FCFCFC"/>
        </w:rPr>
        <w:t>[…]</w:t>
      </w:r>
      <w:r>
        <w:rPr>
          <w:sz w:val="20"/>
        </w:rPr>
        <w:t>.</w:t>
      </w:r>
    </w:p>
  </w:footnote>
  <w:footnote w:id="12">
    <w:p>
      <w:pPr>
        <w:snapToGrid w:val="0"/>
        <w:spacing w:before="0" w:after="0"/>
        <w:ind w:left="720" w:hanging="720"/>
        <w:rPr>
          <w:rFonts w:eastAsia="Times New Roman"/>
          <w:color w:val="000000"/>
          <w:sz w:val="20"/>
        </w:rPr>
      </w:pPr>
      <w:r>
        <w:rPr>
          <w:rStyle w:val="FootnoteReference"/>
        </w:rPr>
        <w:footnoteRef/>
      </w:r>
      <w:r>
        <w:rPr>
          <w:color w:val="000000"/>
          <w:sz w:val="20"/>
          <w:shd w:val="clear" w:color="000000" w:fill="FCFCFC"/>
          <w:vertAlign w:val="superscript"/>
        </w:rPr>
        <w:tab/>
      </w:r>
      <w:r>
        <w:rPr>
          <w:color w:val="000000"/>
          <w:sz w:val="20"/>
        </w:rPr>
        <w:t>ОВ C</w:t>
      </w:r>
      <w:r>
        <w:rPr>
          <w:sz w:val="20"/>
        </w:rPr>
        <w:t xml:space="preserve"> </w:t>
      </w:r>
      <w:r>
        <w:rPr>
          <w:color w:val="0000FF"/>
          <w:sz w:val="20"/>
          <w:shd w:val="clear" w:color="000000" w:fill="FCFCFC"/>
        </w:rPr>
        <w:t>[…]</w:t>
      </w:r>
      <w:r>
        <w:rPr>
          <w:sz w:val="20"/>
        </w:rPr>
        <w:t xml:space="preserve">, </w:t>
      </w:r>
      <w:r>
        <w:rPr>
          <w:color w:val="0000FF"/>
          <w:sz w:val="20"/>
          <w:shd w:val="clear" w:color="000000" w:fill="FCFCFC"/>
        </w:rPr>
        <w:t>[…]</w:t>
      </w:r>
      <w:r>
        <w:rPr>
          <w:sz w:val="20"/>
        </w:rPr>
        <w:t xml:space="preserve">, стр. </w:t>
      </w:r>
      <w:r>
        <w:rPr>
          <w:color w:val="0000FF"/>
          <w:sz w:val="20"/>
          <w:shd w:val="clear" w:color="000000" w:fill="FCFCFC"/>
        </w:rPr>
        <w:t>[…]</w:t>
      </w:r>
      <w:r>
        <w:rPr>
          <w:sz w:val="20"/>
        </w:rPr>
        <w:t>.</w:t>
      </w:r>
    </w:p>
  </w:footnote>
  <w:footnote w:id="13">
    <w:p>
      <w:pPr>
        <w:pStyle w:val="FootnoteText"/>
      </w:pPr>
      <w:r>
        <w:rPr>
          <w:rStyle w:val="FootnoteReference"/>
        </w:rPr>
        <w:footnoteRef/>
      </w:r>
      <w:r>
        <w:tab/>
        <w:t>OВ L 235, 17.9.1996 г, стр. 59.</w:t>
      </w:r>
    </w:p>
  </w:footnote>
  <w:footnote w:id="14">
    <w:p>
      <w:pPr>
        <w:pStyle w:val="FootnoteText"/>
      </w:pPr>
      <w:r>
        <w:rPr>
          <w:rStyle w:val="FootnoteReference"/>
        </w:rPr>
        <w:footnoteRef/>
      </w:r>
      <w:r>
        <w:tab/>
        <w:t>Директива (ЕС) 2015/719 на Европейския парламент и на Съвета от 29 април 2015 година за изменение на Директива 96/53/ЕО на Съвета относно максимално допустимите размери в националния и международен трафик на някои пътни превозни средства, които се движат на територията на Общността, както и максимално допустимите маси в международния трафик (ОВ L 115, 6.5.2015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D3AD07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A3C674A"/>
    <w:lvl w:ilvl="0">
      <w:start w:val="1"/>
      <w:numFmt w:val="decimal"/>
      <w:pStyle w:val="ListNumber3"/>
      <w:lvlText w:val="%1."/>
      <w:lvlJc w:val="left"/>
      <w:pPr>
        <w:tabs>
          <w:tab w:val="num" w:pos="926"/>
        </w:tabs>
        <w:ind w:left="926" w:hanging="360"/>
      </w:pPr>
    </w:lvl>
  </w:abstractNum>
  <w:abstractNum w:abstractNumId="2">
    <w:nsid w:val="FFFFFF7F"/>
    <w:multiLevelType w:val="singleLevel"/>
    <w:tmpl w:val="A8925AE6"/>
    <w:lvl w:ilvl="0">
      <w:start w:val="1"/>
      <w:numFmt w:val="decimal"/>
      <w:pStyle w:val="ListNumber2"/>
      <w:lvlText w:val="%1."/>
      <w:lvlJc w:val="left"/>
      <w:pPr>
        <w:tabs>
          <w:tab w:val="num" w:pos="643"/>
        </w:tabs>
        <w:ind w:left="643" w:hanging="360"/>
      </w:pPr>
    </w:lvl>
  </w:abstractNum>
  <w:abstractNum w:abstractNumId="3">
    <w:nsid w:val="FFFFFF81"/>
    <w:multiLevelType w:val="singleLevel"/>
    <w:tmpl w:val="DE143CD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3781C0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430D6B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DB677A0"/>
    <w:lvl w:ilvl="0">
      <w:start w:val="1"/>
      <w:numFmt w:val="decimal"/>
      <w:pStyle w:val="ListNumber"/>
      <w:lvlText w:val="%1."/>
      <w:lvlJc w:val="left"/>
      <w:pPr>
        <w:tabs>
          <w:tab w:val="num" w:pos="360"/>
        </w:tabs>
        <w:ind w:left="360" w:hanging="360"/>
      </w:pPr>
    </w:lvl>
  </w:abstractNum>
  <w:abstractNum w:abstractNumId="7">
    <w:nsid w:val="FFFFFF89"/>
    <w:multiLevelType w:val="singleLevel"/>
    <w:tmpl w:val="6AC6BA4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31 14:36:13"/>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1"/>
    <w:docVar w:name="DQCResult_ModifiedMarkers" w:val="0;0"/>
    <w:docVar w:name="DQCResult_ModifiedNumbering" w:val="0;0"/>
    <w:docVar w:name="DQCResult_Objects" w:val="0;0"/>
    <w:docVar w:name="DQCResult_Sections" w:val="0;2"/>
    <w:docVar w:name="DQCResult_StructureCheck" w:val="0;0"/>
    <w:docVar w:name="DQCResult_SuperfluousWhitespace" w:val="0;1"/>
    <w:docVar w:name="DQCResult_UnknownFonts" w:val="0;0"/>
    <w:docVar w:name="DQCResult_UnknownStyles" w:val="0;7"/>
    <w:docVar w:name="DQCStatus" w:val="Green"/>
    <w:docVar w:name="DQCVersion" w:val="3"/>
    <w:docVar w:name="DQCWithWarnings" w:val="0"/>
    <w:docVar w:name="LW_CORRIGENDUM" w:val="&lt;UNUSED&gt;"/>
    <w:docVar w:name="LW_COVERPAGE_EXISTS" w:val="True"/>
    <w:docVar w:name="LW_COVERPAGE_GUID" w:val="A1EF5824-0990-451F-A5CD-2CDDD608D9B9"/>
    <w:docVar w:name="LW_COVERPAGE_TYPE" w:val="1"/>
    <w:docVar w:name="LW_CROSSREFERENCE" w:val="&lt;UNUSED&gt;"/>
    <w:docVar w:name="LW_DocType" w:val="COM"/>
    <w:docVar w:name="LW_EMISSION" w:val="17.5.2018"/>
    <w:docVar w:name="LW_EMISSION_ISODATE" w:val="2018-05-17"/>
    <w:docVar w:name="LW_EMISSION_LOCATION" w:val="BRX"/>
    <w:docVar w:name="LW_EMISSION_PREFIX" w:val="Брюксел, "/>
    <w:docVar w:name="LW_EMISSION_SUFFIX" w:val="&lt;EMPTY&gt;"/>
    <w:docVar w:name="LW_ID_DOCMODEL" w:val="SJ-025"/>
    <w:docVar w:name="LW_ID_DOCSIGNATURE" w:val="SJ-025"/>
    <w:docVar w:name="LW_ID_DOCSTRUCTURE" w:val="COM/PL/ORG"/>
    <w:docVar w:name="LW_ID_DOCTYPE" w:val="SJ-025"/>
    <w:docVar w:name="LW_ID_EXP.MOTIFS.NEW" w:val="EM_PL_"/>
    <w:docVar w:name="LW_ID_STATUT" w:val="SJ-025"/>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30"/>
    <w:docVar w:name="LW_REF.II.NEW.CP_YEAR" w:val="2018"/>
    <w:docVar w:name="LW_REF.INST.NEW" w:val="COM"/>
    <w:docVar w:name="LW_REF.INST.NEW_ADOPTED" w:val="final"/>
    <w:docVar w:name="LW_REF.INST.NEW_TEXT" w:val="(2018) 27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44?\u1080?\u1088?\u1077?\u1082?\u1090?\u1080?\u1074?\u1072? 96/53/\u1045?\u1054? \u1085?\u1072? \u1057?\u1098?\u1074?\u1077?\u1090?\u1072? \u1087?\u1086? \u1086?\u1090?\u1085?\u1086?\u1096?\u1077?\u1085?\u1080?\u1077? \u1085?\u1072? \u1089?\u1088?\u1086?\u1082?\u1072? \u1079?\u1072? \u1087?\u1088?\u1080?\u1083?\u1072?\u1075?\u1072?\u1085?\u1077?\u1090?\u1086? \u1085?\u1072? \u1089?\u1087?\u1077?\u1094?\u1080?\u1072?\u1083?\u1085?\u1080?\u1090?\u1077? \u1087?\u1088?\u1072?\u1074?\u1080?\u1083?\u1072? \u1086?\u1090?\u1085?\u1086?\u1089?\u1085?\u1086? \u1084?\u1072?\u1082?\u1089?\u1080?\u1084?\u1072?\u1083?\u1085?\u1072?\u1090?\u1072? \u1076?\u1098?\u1083?\u1078?\u1080?\u1085?\u1072? \u1085?\u1072? \u1082?\u1072?\u1073?\u1080?\u1085?\u1080? \u1089? \u1087?\u1086?\u1076?\u1086?\u1073?\u1088?\u1077?\u1085?\u1080? \u1072?\u1077?\u1088?\u1086?\u1076?\u1080?\u1085?\u1072?\u1084?\u1080?\u1095?\u1085?\u1080? \u1093?\u1072?\u1088?\u1072?\u1082?\u1090?\u1077?\u1088?\u1080?\u1089?\u1090?\u1080?\u1082?\u1080?, \u1077?\u1085?\u1077?\u1088?\u1075?\u1080?\u1081?\u1085?\u1072? \u1077?\u1092?\u1077?\u1082?\u1090?\u1080?\u1074?\u1085?\u1086?\u1089?\u1090? \u1080? \u1073?\u1077?\u1079?\u1086?\u1087?\u1072?\u1089?\u1085?\u1086?\u1089?\u1090?_x000b_"/>
    <w:docVar w:name="LW_TYPE.DOC.CP" w:val="\u1056?\u1045?\u1064?\u1045?\u1053?\u1048?\u1045?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342257">
      <w:bodyDiv w:val="1"/>
      <w:marLeft w:val="0"/>
      <w:marRight w:val="0"/>
      <w:marTop w:val="0"/>
      <w:marBottom w:val="0"/>
      <w:divBdr>
        <w:top w:val="none" w:sz="0" w:space="0" w:color="auto"/>
        <w:left w:val="none" w:sz="0" w:space="0" w:color="auto"/>
        <w:bottom w:val="none" w:sz="0" w:space="0" w:color="auto"/>
        <w:right w:val="none" w:sz="0" w:space="0" w:color="auto"/>
      </w:divBdr>
    </w:div>
    <w:div w:id="205862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7</Pages>
  <Words>1751</Words>
  <Characters>10425</Characters>
  <Application>Microsoft Office Word</Application>
  <DocSecurity>0</DocSecurity>
  <Lines>193</Lines>
  <Paragraphs>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2018-04-30T08:59:00Z</cp:lastPrinted>
  <dcterms:created xsi:type="dcterms:W3CDTF">2018-05-18T14:04:00Z</dcterms:created>
  <dcterms:modified xsi:type="dcterms:W3CDTF">2018-05-31T12:36:00Z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SJ-025</vt:lpwstr>
  </property>
  <property fmtid="{D5CDD505-2E9C-101B-9397-08002B2CF9AE}" pid="10" name="DQCStatus">
    <vt:lpwstr>Green (DQC version 03)</vt:lpwstr>
  </property>
</Properties>
</file>