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43273F1-5B3F-4781-BA8C-6D514AAF56FD" style="width:450.75pt;height:395.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Corpo"/>
        <w:rPr>
          <w:rFonts w:ascii="Times New Roman" w:hAnsi="Times New Roman" w:cs="Times New Roman"/>
          <w:noProof/>
          <w:sz w:val="24"/>
          <w:szCs w:val="24"/>
        </w:rPr>
      </w:pPr>
      <w:bookmarkStart w:id="1" w:name="_GoBack"/>
      <w:bookmarkEnd w:id="1"/>
      <w:r>
        <w:rPr>
          <w:rFonts w:ascii="Times New Roman" w:hAnsi="Times New Roman" w:cs="Times New Roman"/>
          <w:noProof/>
          <w:sz w:val="24"/>
          <w:szCs w:val="24"/>
        </w:rPr>
        <w:lastRenderedPageBreak/>
        <w:t xml:space="preserve">The EU is a global leader for environmental protection and climate action and - as confirmed in the President Juncker's 2017 </w:t>
      </w:r>
      <w:r>
        <w:rPr>
          <w:rFonts w:ascii="Times New Roman" w:hAnsi="Times New Roman" w:cs="Times New Roman"/>
          <w:i/>
          <w:noProof/>
          <w:sz w:val="24"/>
          <w:szCs w:val="24"/>
        </w:rPr>
        <w:t>State of the Union addr</w:t>
      </w:r>
      <w:r>
        <w:rPr>
          <w:rFonts w:ascii="Times New Roman" w:hAnsi="Times New Roman" w:cs="Times New Roman"/>
          <w:noProof/>
          <w:sz w:val="24"/>
          <w:szCs w:val="24"/>
        </w:rPr>
        <w:t>ess</w:t>
      </w:r>
      <w:r>
        <w:rPr>
          <w:rStyle w:val="FootnoteReference"/>
          <w:noProof/>
          <w:sz w:val="24"/>
          <w:szCs w:val="24"/>
        </w:rPr>
        <w:footnoteReference w:id="1"/>
      </w:r>
      <w:r>
        <w:rPr>
          <w:rFonts w:ascii="Times New Roman" w:hAnsi="Times New Roman" w:cs="Times New Roman"/>
          <w:noProof/>
          <w:sz w:val="24"/>
          <w:szCs w:val="24"/>
        </w:rPr>
        <w:t xml:space="preserve"> - wants to enhance this role</w:t>
      </w:r>
      <w:r>
        <w:rPr>
          <w:rStyle w:val="FootnoteReference"/>
          <w:noProof/>
          <w:sz w:val="24"/>
          <w:szCs w:val="24"/>
        </w:rPr>
        <w:footnoteReference w:id="2"/>
      </w:r>
      <w:r>
        <w:rPr>
          <w:rFonts w:ascii="Times New Roman" w:hAnsi="Times New Roman" w:cs="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LIFE programme is the only EU fund entirely dedicated to environmental and climate objectives. With its modest budget it targets a niche between EU programmes supporting research and innovation on the one hand and EU programmes financing large-scale deployment of measures on the other hand.</w:t>
      </w:r>
    </w:p>
    <w:p>
      <w:pPr>
        <w:spacing w:after="6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LIFE activities tackle certain problems directly on the ground, the programme's main</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impact is indirect through its catalytic role </w:t>
      </w:r>
      <w:r>
        <w:rPr>
          <w:rFonts w:ascii="Times New Roman" w:hAnsi="Times New Roman" w:cs="Times New Roman"/>
          <w:noProof/>
          <w:sz w:val="24"/>
          <w:szCs w:val="24"/>
          <w:lang w:eastAsia="en-GB"/>
        </w:rPr>
        <w:t>directed to initiate, expand or accelerate</w:t>
      </w:r>
      <w:r>
        <w:rPr>
          <w:rFonts w:ascii="Times New Roman" w:hAnsi="Times New Roman" w:cs="Times New Roman"/>
          <w:noProof/>
          <w:sz w:val="24"/>
          <w:szCs w:val="24"/>
        </w:rPr>
        <w:t xml:space="preserve"> </w:t>
      </w:r>
      <w:r>
        <w:rPr>
          <w:rFonts w:ascii="Times New Roman" w:hAnsi="Times New Roman" w:cs="Times New Roman"/>
          <w:noProof/>
          <w:sz w:val="24"/>
          <w:szCs w:val="24"/>
          <w:lang w:eastAsia="en-GB"/>
        </w:rPr>
        <w:t xml:space="preserve">sustainable </w:t>
      </w:r>
      <w:r>
        <w:rPr>
          <w:rFonts w:ascii="Times New Roman" w:hAnsi="Times New Roman" w:cs="Times New Roman"/>
          <w:noProof/>
          <w:sz w:val="24"/>
          <w:szCs w:val="24"/>
        </w:rPr>
        <w:t>production, distribution and consumption practices by supporting:</w:t>
      </w:r>
    </w:p>
    <w:p>
      <w:pPr>
        <w:pStyle w:val="ListParagraph"/>
        <w:numPr>
          <w:ilvl w:val="0"/>
          <w:numId w:val="13"/>
        </w:numPr>
        <w:spacing w:after="60" w:line="240" w:lineRule="auto"/>
        <w:ind w:left="426"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development and exchange of best practice and knowledge;</w:t>
      </w:r>
    </w:p>
    <w:p>
      <w:pPr>
        <w:pStyle w:val="ListParagraph"/>
        <w:numPr>
          <w:ilvl w:val="0"/>
          <w:numId w:val="13"/>
        </w:numPr>
        <w:spacing w:after="60" w:line="240" w:lineRule="auto"/>
        <w:ind w:left="709" w:hanging="283"/>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building up of the capacities and the speeding up of the implementation of environmental and climate legislation and policies;</w:t>
      </w:r>
    </w:p>
    <w:p>
      <w:pPr>
        <w:pStyle w:val="ListParagraph"/>
        <w:numPr>
          <w:ilvl w:val="0"/>
          <w:numId w:val="13"/>
        </w:numPr>
        <w:spacing w:after="60" w:line="240" w:lineRule="auto"/>
        <w:ind w:left="426"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Stakeholders testing small-scale technologies and solutions; and</w:t>
      </w:r>
    </w:p>
    <w:p>
      <w:pPr>
        <w:pStyle w:val="ListParagraph"/>
        <w:numPr>
          <w:ilvl w:val="0"/>
          <w:numId w:val="13"/>
        </w:numPr>
        <w:spacing w:after="60" w:line="240" w:lineRule="auto"/>
        <w:ind w:left="426" w:firstLine="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mobilisation of funding from other sources.</w:t>
      </w:r>
    </w:p>
    <w:p>
      <w:pPr>
        <w:pStyle w:val="Corpo"/>
        <w:rPr>
          <w:rFonts w:ascii="Times New Roman" w:hAnsi="Times New Roman" w:cs="Times New Roman"/>
          <w:noProof/>
          <w:sz w:val="24"/>
          <w:szCs w:val="24"/>
        </w:rPr>
      </w:pPr>
      <w:r>
        <w:rPr>
          <w:rFonts w:ascii="Times New Roman" w:hAnsi="Times New Roman" w:cs="Times New Roman"/>
          <w:noProof/>
          <w:sz w:val="24"/>
          <w:szCs w:val="24"/>
        </w:rPr>
        <w:t xml:space="preserve">This impact assessment accompanies the Commission proposal for the future LIFE Programme for the Environment and Climate Action post 2020 and satisfies the requirements of the Financial Regulation in respect of preparing an ex-ante evaluation. </w:t>
      </w:r>
    </w:p>
    <w:p>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Challenges and opportunities for the LIFE programme for the next MFF</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u w:color="000000"/>
          <w:lang w:eastAsia="fr-BE"/>
        </w:rPr>
        <w:t>The recent mid-term evaluation of LIFE (MTE)</w:t>
      </w:r>
      <w:r>
        <w:rPr>
          <w:rFonts w:ascii="Times New Roman" w:eastAsia="Calibri" w:hAnsi="Times New Roman" w:cs="Times New Roman"/>
          <w:noProof/>
          <w:sz w:val="24"/>
          <w:szCs w:val="24"/>
          <w:vertAlign w:val="superscript"/>
        </w:rPr>
        <w:footnoteReference w:id="3"/>
      </w:r>
      <w:r>
        <w:rPr>
          <w:rFonts w:ascii="Times New Roman" w:eastAsia="Calibri" w:hAnsi="Times New Roman" w:cs="Times New Roman"/>
          <w:noProof/>
          <w:color w:val="000000"/>
          <w:sz w:val="24"/>
          <w:szCs w:val="24"/>
          <w:u w:color="000000"/>
          <w:lang w:eastAsia="fr-BE"/>
        </w:rPr>
        <w:t>, confirmed that the current programme is on track to be effective</w:t>
      </w:r>
      <w:r>
        <w:rPr>
          <w:rFonts w:ascii="Times New Roman" w:eastAsia="Calibri" w:hAnsi="Times New Roman" w:cs="Times New Roman"/>
          <w:noProof/>
          <w:color w:val="000000"/>
          <w:sz w:val="24"/>
          <w:szCs w:val="24"/>
          <w:u w:color="000000"/>
          <w:vertAlign w:val="superscript"/>
          <w:lang w:eastAsia="fr-BE"/>
        </w:rPr>
        <w:footnoteReference w:id="4"/>
      </w:r>
      <w:r>
        <w:rPr>
          <w:rFonts w:ascii="Times New Roman" w:eastAsia="Calibri" w:hAnsi="Times New Roman" w:cs="Times New Roman"/>
          <w:noProof/>
          <w:color w:val="000000"/>
          <w:sz w:val="24"/>
          <w:szCs w:val="24"/>
          <w:u w:color="000000"/>
          <w:lang w:eastAsia="fr-BE"/>
        </w:rPr>
        <w:t>, efficient and relevant and it is providing a contribution to the Europe 2020 strategy. Furthermore, m</w:t>
      </w:r>
      <w:r>
        <w:rPr>
          <w:rFonts w:ascii="Times New Roman" w:eastAsia="Calibri" w:hAnsi="Times New Roman" w:cs="Times New Roman"/>
          <w:noProof/>
          <w:sz w:val="24"/>
          <w:szCs w:val="24"/>
        </w:rPr>
        <w:t xml:space="preserve">ost stakeholders see LIFE as being a very important instrument for addressing environmental and climate priorities.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However, the MTE also identified opportunities to further enhance the programme’s overall effectiveness, which would not be realised with a</w:t>
      </w:r>
      <w:r>
        <w:rPr>
          <w:noProof/>
        </w:rPr>
        <w:t xml:space="preserve"> </w:t>
      </w:r>
      <w:r>
        <w:rPr>
          <w:rFonts w:ascii="Times New Roman" w:eastAsia="Calibri" w:hAnsi="Times New Roman" w:cs="Times New Roman"/>
          <w:noProof/>
          <w:sz w:val="24"/>
          <w:szCs w:val="24"/>
        </w:rPr>
        <w:t>continuation of the LIFE programme in its current format, and scale, in the period 2021-2027. They concern, in particular, opportunities to improve coherence between the LIFE programme and other EU funds and to enhance the catalytic role of the programme. Further opportunities for improvements were also identified in relation to the strategic focus of the programme, as well as opportunities to increase the efficiency and simplify the management of LIFE.</w:t>
      </w:r>
    </w:p>
    <w:p>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The preferred options</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address the identified challenges, several options were identified and then screened in terms of their effectiveness, efficiency and coherence. This identified a number of specific improvement options for the new programme, as described further below.</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Three options were shortlisted in relation to the programme’s</w:t>
      </w:r>
      <w:r>
        <w:rPr>
          <w:rFonts w:ascii="Times New Roman" w:hAnsi="Times New Roman" w:cs="Times New Roman"/>
          <w:b/>
          <w:i/>
          <w:noProof/>
          <w:sz w:val="24"/>
          <w:szCs w:val="24"/>
        </w:rPr>
        <w:t xml:space="preserve"> coverage and scope</w:t>
      </w:r>
      <w:r>
        <w:rPr>
          <w:rFonts w:ascii="Times New Roman" w:hAnsi="Times New Roman" w:cs="Times New Roman"/>
          <w:noProof/>
          <w:sz w:val="24"/>
          <w:szCs w:val="24"/>
        </w:rPr>
        <w:t>:</w:t>
      </w:r>
    </w:p>
    <w:p>
      <w:pPr>
        <w:pStyle w:val="ListParagraph"/>
        <w:numPr>
          <w:ilvl w:val="0"/>
          <w:numId w:val="15"/>
        </w:numPr>
        <w:spacing w:after="6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Extending the scope of LIFE to include capacity building projects related to clean energy by adding a sub-programme on Clean Energy Transition would provide a more coherent approach to the funding of capacity building projects in the clean energy area, whilst also improving access to a wider range of beneficiaries.</w:t>
      </w:r>
    </w:p>
    <w:p>
      <w:pPr>
        <w:pStyle w:val="ListParagraph"/>
        <w:numPr>
          <w:ilvl w:val="0"/>
          <w:numId w:val="15"/>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Reinforcing LIFE's support for the mainstreaming of nature and biodiversity objectives. This would enhance the financing of nature, and improve coherence in the overall structuring of the EU budget by facilitating an improved mainstreaming approach. It may though require additional planning and coordination efforts from the environment authorities.</w:t>
      </w:r>
    </w:p>
    <w:p>
      <w:pPr>
        <w:pStyle w:val="ListParagraph"/>
        <w:numPr>
          <w:ilvl w:val="0"/>
          <w:numId w:val="15"/>
        </w:numPr>
        <w:spacing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Extending the eligibility of LIFE to the EU's Overseas Countries and Territories (OCT), specifically for nature and biodiversity actions within the Nature and Biodiversity sub-programme, would address a potential gap in funding of the BEST scheme</w:t>
      </w:r>
      <w:r>
        <w:rPr>
          <w:rFonts w:ascii="Times New Roman" w:hAnsi="Times New Roman" w:cs="Times New Roman"/>
          <w:noProof/>
          <w:sz w:val="24"/>
          <w:szCs w:val="24"/>
          <w:vertAlign w:val="superscript"/>
        </w:rPr>
        <w:footnoteReference w:id="5"/>
      </w:r>
      <w:r>
        <w:rPr>
          <w:rFonts w:ascii="Times New Roman" w:hAnsi="Times New Roman" w:cs="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If the budget is specifically increased to include Clean Energy Transition and/or to include a sub-programme for Nature, these options (option 1 and 2) should be included in the structure of the Life Programme.</w:t>
      </w:r>
    </w:p>
    <w:p>
      <w:pPr>
        <w:spacing w:after="120" w:line="240" w:lineRule="auto"/>
        <w:jc w:val="both"/>
        <w:rPr>
          <w:rFonts w:ascii="Times New Roman" w:hAnsi="Times New Roman" w:cs="Times New Roman"/>
          <w:b/>
          <w:i/>
          <w:noProof/>
          <w:sz w:val="24"/>
          <w:szCs w:val="24"/>
        </w:rPr>
      </w:pPr>
      <w:r>
        <w:rPr>
          <w:rFonts w:ascii="Times New Roman" w:hAnsi="Times New Roman" w:cs="Times New Roman"/>
          <w:noProof/>
          <w:sz w:val="24"/>
          <w:szCs w:val="24"/>
        </w:rPr>
        <w:t xml:space="preserve">Nine options were shortlisted in relation to the programme’s </w:t>
      </w:r>
      <w:r>
        <w:rPr>
          <w:rFonts w:ascii="Times New Roman" w:hAnsi="Times New Roman" w:cs="Times New Roman"/>
          <w:b/>
          <w:i/>
          <w:noProof/>
          <w:sz w:val="24"/>
          <w:szCs w:val="24"/>
        </w:rPr>
        <w:t xml:space="preserve">delivery mechanisms, </w:t>
      </w:r>
      <w:r>
        <w:rPr>
          <w:rFonts w:ascii="Times New Roman" w:hAnsi="Times New Roman" w:cs="Times New Roman"/>
          <w:noProof/>
          <w:sz w:val="24"/>
          <w:szCs w:val="24"/>
        </w:rPr>
        <w:t xml:space="preserve">and </w:t>
      </w:r>
      <w:r>
        <w:rPr>
          <w:rFonts w:ascii="Times New Roman" w:hAnsi="Times New Roman" w:cs="Times New Roman"/>
          <w:b/>
          <w:i/>
          <w:noProof/>
          <w:sz w:val="24"/>
          <w:szCs w:val="24"/>
        </w:rPr>
        <w:t>programme management</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To improve the performance and catalytic role of LIFE, two options were explored which concern the accessibility of LIFE for applicants from all EU Member States. The option to provide centralised support to the entire NCP network instead of the present national capacity building projects (for only certain MSs) is assessed positively.  The option of increasing co-financing rates would need to be further considered once the overall shape and budget of the LIFE programme for the next MFF will be decided and based on the demand over time.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Four other complementary options were considered to improve the performance and catalytic role of the Programme. Among them, the extension of the Strategic Integrated Projects is considered to be the most powerful mechanism based on the pilot experience of integrated projects in the present LIFE programme. This would however, require additional budget compared to the present Programme.</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options to enhance replication and to increase both the flexibility of the programme and the possibility to target key and emerging issues through simplifying the Regulation and the MAWP have no serious negative implications, so should both be introduced. Concerning financial instruments, it would beneficial if approaches developed under the present LIFE pilot instruments were up-scaled under InvestEU.</w:t>
      </w:r>
    </w:p>
    <w:p>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How will performance be monitored and evaluated?</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Performance will continue to be measured at programme and sub-programme level, building on the current project based approach. However, additional performance criteria have been identified to strengthen the monitoring and evaluation of LIFE’s catalytic effect and its contribution to supporting societal transformation. The burden of its application will lie mainly with the Commission so as to avoid inflating current reporting requirements and to ensure accurate and robust reporting.</w:t>
      </w:r>
    </w:p>
    <w:p>
      <w:pPr>
        <w:spacing w:after="120" w:line="240" w:lineRule="auto"/>
        <w:jc w:val="both"/>
        <w:rPr>
          <w:noProof/>
        </w:rPr>
      </w:pPr>
      <w:r>
        <w:rPr>
          <w:rFonts w:ascii="Times New Roman" w:hAnsi="Times New Roman" w:cs="Times New Roman"/>
          <w:noProof/>
          <w:sz w:val="24"/>
          <w:szCs w:val="24"/>
        </w:rPr>
        <w:t>Two in-depth evaluations will be completed at mid-term (by 2024) and on closing of the programming period (by 2027).</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6518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0318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pPr>
      <w:r>
        <w:rPr>
          <w:rStyle w:val="FootnoteReference"/>
        </w:rPr>
        <w:footnoteRef/>
      </w:r>
      <w:r>
        <w:t xml:space="preserve"> </w:t>
      </w:r>
      <w:r>
        <w:tab/>
      </w:r>
      <w:hyperlink r:id="rId1" w:history="1">
        <w:r>
          <w:rPr>
            <w:rStyle w:val="Hyperlink"/>
          </w:rPr>
          <w:t>https://ec.europa.eu/commission/state-union-2017_en</w:t>
        </w:r>
      </w:hyperlink>
      <w:r>
        <w:t xml:space="preserve"> </w:t>
      </w:r>
    </w:p>
  </w:footnote>
  <w:footnote w:id="2">
    <w:p>
      <w:pPr>
        <w:pStyle w:val="FootnoteText"/>
        <w:spacing w:after="60"/>
      </w:pPr>
      <w:r>
        <w:rPr>
          <w:rStyle w:val="FootnoteReference"/>
        </w:rPr>
        <w:footnoteRef/>
      </w:r>
      <w:r>
        <w:t xml:space="preserve"> </w:t>
      </w:r>
      <w:r>
        <w:tab/>
        <w:t>An analysis of the continued need for action in the various environmental policy areas and on climate change to ensure compliance with the relevant EU legislation, the Paris Agreement and the implementation of the Energy Union is presented in Annex 4.</w:t>
      </w:r>
    </w:p>
  </w:footnote>
  <w:footnote w:id="3">
    <w:p>
      <w:pPr>
        <w:pStyle w:val="FootnoteText"/>
        <w:spacing w:after="60"/>
        <w:jc w:val="both"/>
        <w:rPr>
          <w:rFonts w:cs="Times New Roman"/>
          <w:szCs w:val="18"/>
        </w:rPr>
      </w:pPr>
      <w:r>
        <w:rPr>
          <w:rStyle w:val="FootnoteReference"/>
          <w:rFonts w:cs="Arial"/>
        </w:rPr>
        <w:footnoteRef/>
      </w:r>
      <w:r>
        <w:rPr>
          <w:rFonts w:cs="Arial"/>
        </w:rPr>
        <w:t xml:space="preserve"> </w:t>
      </w:r>
      <w:r>
        <w:rPr>
          <w:rFonts w:cs="Arial"/>
        </w:rPr>
        <w:tab/>
      </w:r>
      <w:r>
        <w:rPr>
          <w:rFonts w:cs="Times New Roman"/>
          <w:szCs w:val="18"/>
        </w:rPr>
        <w:t xml:space="preserve">EC (2017) </w:t>
      </w:r>
      <w:hyperlink r:id="rId2" w:history="1">
        <w:r>
          <w:rPr>
            <w:rStyle w:val="Hyperlink"/>
            <w:rFonts w:cs="Times New Roman"/>
            <w:szCs w:val="18"/>
          </w:rPr>
          <w:t>Report on the Mid-term Evaluation of the Programme for Environment and Climate.</w:t>
        </w:r>
      </w:hyperlink>
      <w:r>
        <w:rPr>
          <w:rFonts w:cs="Times New Roman"/>
          <w:szCs w:val="18"/>
        </w:rPr>
        <w:t xml:space="preserve"> </w:t>
      </w:r>
      <w:hyperlink r:id="rId3" w:history="1">
        <w:r>
          <w:rPr>
            <w:rStyle w:val="Hyperlink"/>
            <w:rFonts w:cs="Times New Roman"/>
            <w:szCs w:val="18"/>
          </w:rPr>
          <w:t>SWD(2017) 355 final</w:t>
        </w:r>
      </w:hyperlink>
      <w:r>
        <w:rPr>
          <w:rFonts w:cs="Times New Roman"/>
          <w:szCs w:val="18"/>
        </w:rPr>
        <w:t>. Ecorys (2017) Support for an external and independent LIFE Mid Term Evaluation Report</w:t>
      </w:r>
    </w:p>
  </w:footnote>
  <w:footnote w:id="4">
    <w:p>
      <w:pPr>
        <w:pStyle w:val="FootnoteText"/>
        <w:spacing w:after="60"/>
      </w:pPr>
      <w:r>
        <w:rPr>
          <w:rStyle w:val="FootnoteReference"/>
        </w:rPr>
        <w:footnoteRef/>
      </w:r>
      <w:r>
        <w:t xml:space="preserve"> </w:t>
      </w:r>
      <w:r>
        <w:tab/>
        <w:t>Basing on the analysis of the Key Performance Indicators used to assess the performance of projects.</w:t>
      </w:r>
    </w:p>
  </w:footnote>
  <w:footnote w:id="5">
    <w:p>
      <w:pPr>
        <w:pStyle w:val="FootnoteText"/>
        <w:jc w:val="both"/>
      </w:pPr>
      <w:r>
        <w:rPr>
          <w:rStyle w:val="FootnoteReference"/>
        </w:rPr>
        <w:footnoteRef/>
      </w:r>
      <w:r>
        <w:t xml:space="preserve"> </w:t>
      </w:r>
      <w:r>
        <w:tab/>
        <w:t xml:space="preserve">The </w:t>
      </w:r>
      <w:hyperlink r:id="rId4" w:history="1">
        <w:r>
          <w:rPr>
            <w:rStyle w:val="Hyperlink"/>
          </w:rPr>
          <w:t>BEST – voluntary scheme for Biodiversity and Ecosystem Services in Territories of European overseas –</w:t>
        </w:r>
      </w:hyperlink>
      <w:r>
        <w:t xml:space="preserve"> initiative aims to support the conservation of biodiversity and sustainable use of ecosystem services including ecosystem-based approaches to climate change adaptation and mitigation in the EU Outermost Regions (ORs) and Overseas Countries and Territories (OCTs).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E2A45"/>
    <w:multiLevelType w:val="hybridMultilevel"/>
    <w:tmpl w:val="C3901E2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nsid w:val="14E24C82"/>
    <w:multiLevelType w:val="multilevel"/>
    <w:tmpl w:val="769A8EEE"/>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pStyle w:val="Heading4"/>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2">
    <w:nsid w:val="14E975EB"/>
    <w:multiLevelType w:val="multilevel"/>
    <w:tmpl w:val="DF88F4FE"/>
    <w:lvl w:ilvl="0">
      <w:start w:val="1"/>
      <w:numFmt w:val="decimal"/>
      <w:lvlText w:val="%1"/>
      <w:lvlJc w:val="left"/>
      <w:pPr>
        <w:ind w:left="431" w:hanging="431"/>
      </w:pPr>
      <w:rPr>
        <w:rFonts w:hint="default"/>
      </w:rPr>
    </w:lvl>
    <w:lvl w:ilvl="1">
      <w:start w:val="1"/>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F734306"/>
    <w:multiLevelType w:val="multilevel"/>
    <w:tmpl w:val="A16C432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960"/>
        </w:tabs>
        <w:ind w:left="96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79D748A"/>
    <w:multiLevelType w:val="hybridMultilevel"/>
    <w:tmpl w:val="550886CA"/>
    <w:lvl w:ilvl="0" w:tplc="F6A6F02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265BCD"/>
    <w:multiLevelType w:val="hybridMultilevel"/>
    <w:tmpl w:val="0D6A0E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DF4EDB"/>
    <w:multiLevelType w:val="multilevel"/>
    <w:tmpl w:val="23E6A26C"/>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852" w:hanging="284"/>
      </w:pPr>
      <w:rPr>
        <w:rFonts w:ascii="Arial" w:hAnsi="Arial" w:hint="default"/>
        <w:color w:val="006DB6"/>
      </w:rPr>
    </w:lvl>
    <w:lvl w:ilvl="2">
      <w:start w:val="1"/>
      <w:numFmt w:val="bullet"/>
      <w:lvlText w:val=""/>
      <w:lvlJc w:val="left"/>
      <w:pPr>
        <w:ind w:left="1136" w:hanging="284"/>
      </w:pPr>
      <w:rPr>
        <w:rFonts w:ascii="Symbol" w:hAnsi="Symbol" w:hint="default"/>
        <w:color w:val="006DB6"/>
      </w:rPr>
    </w:lvl>
    <w:lvl w:ilvl="3">
      <w:start w:val="1"/>
      <w:numFmt w:val="bullet"/>
      <w:lvlText w:val="-"/>
      <w:lvlJc w:val="left"/>
      <w:pPr>
        <w:ind w:left="1420" w:hanging="284"/>
      </w:pPr>
      <w:rPr>
        <w:rFonts w:ascii="Arial" w:hAnsi="Arial" w:hint="default"/>
        <w:color w:val="006DB6"/>
      </w:rPr>
    </w:lvl>
    <w:lvl w:ilvl="4">
      <w:start w:val="1"/>
      <w:numFmt w:val="bullet"/>
      <w:lvlText w:val=""/>
      <w:lvlJc w:val="left"/>
      <w:pPr>
        <w:ind w:left="1704" w:hanging="284"/>
      </w:pPr>
      <w:rPr>
        <w:rFonts w:ascii="Symbol" w:hAnsi="Symbol" w:hint="default"/>
        <w:color w:val="006DB6"/>
      </w:rPr>
    </w:lvl>
    <w:lvl w:ilvl="5">
      <w:start w:val="1"/>
      <w:numFmt w:val="bullet"/>
      <w:lvlText w:val="-"/>
      <w:lvlJc w:val="left"/>
      <w:pPr>
        <w:ind w:left="1988" w:hanging="284"/>
      </w:pPr>
      <w:rPr>
        <w:rFonts w:ascii="Arial" w:hAnsi="Arial" w:hint="default"/>
        <w:color w:val="006DB6"/>
      </w:rPr>
    </w:lvl>
    <w:lvl w:ilvl="6">
      <w:start w:val="1"/>
      <w:numFmt w:val="bullet"/>
      <w:lvlText w:val=""/>
      <w:lvlJc w:val="left"/>
      <w:pPr>
        <w:ind w:left="2272" w:hanging="284"/>
      </w:pPr>
      <w:rPr>
        <w:rFonts w:ascii="Symbol" w:hAnsi="Symbol" w:hint="default"/>
        <w:color w:val="006DB6"/>
      </w:rPr>
    </w:lvl>
    <w:lvl w:ilvl="7">
      <w:start w:val="1"/>
      <w:numFmt w:val="bullet"/>
      <w:lvlText w:val="-"/>
      <w:lvlJc w:val="left"/>
      <w:pPr>
        <w:ind w:left="2556" w:hanging="284"/>
      </w:pPr>
      <w:rPr>
        <w:rFonts w:ascii="Arial" w:hAnsi="Arial" w:hint="default"/>
        <w:color w:val="006DB6"/>
      </w:rPr>
    </w:lvl>
    <w:lvl w:ilvl="8">
      <w:start w:val="1"/>
      <w:numFmt w:val="bullet"/>
      <w:lvlText w:val=""/>
      <w:lvlJc w:val="left"/>
      <w:pPr>
        <w:ind w:left="2840" w:hanging="284"/>
      </w:pPr>
      <w:rPr>
        <w:rFonts w:ascii="Symbol" w:hAnsi="Symbol" w:hint="default"/>
        <w:color w:val="006DB6"/>
      </w:rPr>
    </w:lvl>
  </w:abstractNum>
  <w:num w:numId="1">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2">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3">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4">
    <w:abstractNumId w:val="6"/>
  </w:num>
  <w:num w:numId="5">
    <w:abstractNumId w:val="3"/>
  </w:num>
  <w:num w:numId="6">
    <w:abstractNumId w:val="3"/>
  </w:num>
  <w:num w:numId="7">
    <w:abstractNumId w:val="2"/>
  </w:num>
  <w:num w:numId="8">
    <w:abstractNumId w:val="3"/>
  </w:num>
  <w:num w:numId="9">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0">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1">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2">
    <w:abstractNumId w:val="6"/>
  </w:num>
  <w:num w:numId="13">
    <w:abstractNumId w:val="4"/>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43273F1-5B3F-4781-BA8C-6D514AAF56FD"/>
    <w:docVar w:name="LW_COVERPAGE_TYPE" w:val="1"/>
    <w:docVar w:name="LW_CROSSREFERENCE" w:val="{COM(2018) 385 final}_x000b_{SEC(2018) 275 final}_x000b_{SWD(2018) 292 final}"/>
    <w:docVar w:name="LW_DocType" w:val="NORMAL"/>
    <w:docVar w:name="LW_EMISSION" w:val="1.6.2018"/>
    <w:docVar w:name="LW_EMISSION_ISODATE" w:val="2018-06-01"/>
    <w:docVar w:name="LW_EMISSION_LOCATION" w:val="BRX"/>
    <w:docVar w:name="LW_EMISSION_PREFIX" w:val="Brussels, "/>
    <w:docVar w:name="LW_EMISSION_SUFFIX" w:val="&lt;EMPTY&gt;"/>
    <w:docVar w:name="LW_ID_DOCTYPE_NONLW" w:val="CP-027"/>
    <w:docVar w:name="LW_LANGUE" w:val="EN"/>
    <w:docVar w:name="LW_LEVEL_OF_SENSITIVITY" w:val="Standard treatment"/>
    <w:docVar w:name="LW_NOM.INST" w:val="EUROPEAN COMMISSION"/>
    <w:docVar w:name="LW_NOM.INST_JOINTDOC" w:val="&lt;EMPTY&gt;"/>
    <w:docVar w:name="LW_OBJETACTEPRINCIPAL.CP" w:val="on the establishment of a Programme for the Environment and Climate Action (LIFE) and repealing Regulation (EU) No 1293/2013"/>
    <w:docVar w:name="LW_PART_NBR" w:val="1"/>
    <w:docVar w:name="LW_PART_NBR_TOTAL" w:val="1"/>
    <w:docVar w:name="LW_REF.INST.NEW" w:val="SWD"/>
    <w:docVar w:name="LW_REF.INST.NEW_ADOPTED" w:val="final"/>
    <w:docVar w:name="LW_REF.INST.NEW_TEXT" w:val="(2018) 2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and of the Counc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pPr>
      <w:keepNext/>
      <w:numPr>
        <w:numId w:val="8"/>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8"/>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1"/>
    <w:qFormat/>
    <w:pPr>
      <w:keepNext/>
      <w:spacing w:before="240"/>
      <w:ind w:left="7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paragraph" w:customStyle="1" w:styleId="AppendixH1">
    <w:name w:val="Appendix H1"/>
    <w:basedOn w:val="Normal"/>
    <w:link w:val="AppendixH1Char"/>
    <w:qFormat/>
    <w:pPr>
      <w:numPr>
        <w:numId w:val="11"/>
      </w:numPr>
    </w:pPr>
    <w:rPr>
      <w:rFonts w:ascii="Times New Roman" w:hAnsi="Times New Roman" w:cs="Times New Roman"/>
      <w:b/>
      <w:sz w:val="24"/>
      <w:szCs w:val="24"/>
    </w:rPr>
  </w:style>
  <w:style w:type="character" w:customStyle="1" w:styleId="AppendixH1Char">
    <w:name w:val="Appendix H1 Char"/>
    <w:basedOn w:val="DefaultParagraphFont"/>
    <w:link w:val="AppendixH1"/>
    <w:rPr>
      <w:rFonts w:ascii="Times New Roman" w:hAnsi="Times New Roman" w:cs="Times New Roman"/>
      <w:b/>
      <w:sz w:val="24"/>
      <w:szCs w:val="24"/>
    </w:rPr>
  </w:style>
  <w:style w:type="paragraph" w:customStyle="1" w:styleId="AppendixH2">
    <w:name w:val="Appendix H2"/>
    <w:basedOn w:val="Normal"/>
    <w:link w:val="AppendixH2Char"/>
    <w:qFormat/>
    <w:pPr>
      <w:numPr>
        <w:ilvl w:val="1"/>
        <w:numId w:val="11"/>
      </w:numPr>
    </w:pPr>
    <w:rPr>
      <w:rFonts w:ascii="Times New Roman" w:hAnsi="Times New Roman" w:cs="Times New Roman"/>
      <w:b/>
      <w:sz w:val="24"/>
      <w:szCs w:val="24"/>
    </w:rPr>
  </w:style>
  <w:style w:type="character" w:customStyle="1" w:styleId="AppendixH2Char">
    <w:name w:val="Appendix H2 Char"/>
    <w:basedOn w:val="DefaultParagraphFont"/>
    <w:link w:val="AppendixH2"/>
    <w:rPr>
      <w:rFonts w:ascii="Times New Roman" w:hAnsi="Times New Roman" w:cs="Times New Roman"/>
      <w:b/>
      <w:sz w:val="24"/>
      <w:szCs w:val="24"/>
    </w:rPr>
  </w:style>
  <w:style w:type="paragraph" w:customStyle="1" w:styleId="AppendixH3">
    <w:name w:val="Appendix H3"/>
    <w:basedOn w:val="Normal"/>
    <w:qFormat/>
    <w:pPr>
      <w:numPr>
        <w:ilvl w:val="2"/>
        <w:numId w:val="11"/>
      </w:numPr>
    </w:pPr>
    <w:rPr>
      <w:rFonts w:ascii="Times New Roman" w:hAnsi="Times New Roman" w:cs="Times New Roman"/>
      <w:i/>
      <w:sz w:val="24"/>
      <w:szCs w:val="24"/>
    </w:rPr>
  </w:style>
  <w:style w:type="paragraph" w:customStyle="1" w:styleId="list-bullet-color">
    <w:name w:val="list-bullet-color"/>
    <w:basedOn w:val="Normal"/>
    <w:qFormat/>
    <w:pPr>
      <w:numPr>
        <w:numId w:val="12"/>
      </w:numPr>
      <w:spacing w:after="0" w:line="280" w:lineRule="atLeast"/>
    </w:pPr>
    <w:rPr>
      <w:rFonts w:ascii="Arial" w:eastAsia="Times New Roman" w:hAnsi="Arial" w:cs="Times New Roman"/>
      <w:sz w:val="18"/>
      <w:szCs w:val="24"/>
      <w:lang w:eastAsia="nl-NL"/>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1"/>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Schriftart: 9 pt,o,f"/>
    <w:basedOn w:val="Normal"/>
    <w:link w:val="FootnoteTextChar"/>
    <w:uiPriority w:val="99"/>
    <w:unhideWhenUsed/>
    <w:qFormat/>
    <w:pPr>
      <w:spacing w:after="0" w:line="240" w:lineRule="auto"/>
      <w:ind w:left="720" w:hanging="720"/>
    </w:pPr>
    <w:rPr>
      <w:rFonts w:ascii="Times New Roman" w:hAnsi="Times New Roman"/>
      <w:sz w:val="18"/>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qFormat/>
    <w:rPr>
      <w:rFonts w:ascii="Times New Roman" w:hAnsi="Times New Roman"/>
      <w:sz w:val="18"/>
      <w:szCs w:val="20"/>
    </w:rPr>
  </w:style>
  <w:style w:type="paragraph" w:styleId="Caption">
    <w:name w:val="caption"/>
    <w:aliases w:val="Caption1 Char Char Char Char Char Char Char Char Tegn Tegn Tegn Tegn Tegn,Caption1 Char Char Char Char Char Char Char Char Tegn Tegn Tegn,Caption1 Char Char Char Char Char Char Char Char Tegn Tegn, Char Char Char,Tabelko"/>
    <w:basedOn w:val="Normal"/>
    <w:next w:val="Normal"/>
    <w:link w:val="CaptionChar"/>
    <w:autoRedefine/>
    <w:uiPriority w:val="3"/>
    <w:qFormat/>
    <w:pPr>
      <w:keepNext/>
      <w:spacing w:before="120" w:after="0" w:line="240" w:lineRule="auto"/>
      <w:jc w:val="both"/>
    </w:pPr>
    <w:rPr>
      <w:rFonts w:ascii="Times New Roman" w:eastAsia="Times New Roman" w:hAnsi="Times New Roman" w:cs="Times New Roman"/>
      <w:b/>
      <w:i/>
      <w:color w:val="244061" w:themeColor="accent1" w:themeShade="80"/>
      <w:szCs w:val="24"/>
      <w:lang w:eastAsia="en-GB"/>
    </w:rPr>
  </w:style>
  <w:style w:type="character" w:customStyle="1" w:styleId="CaptionChar">
    <w:name w:val="Caption Char"/>
    <w:aliases w:val="Caption1 Char Char Char Char Char Char Char Char Tegn Tegn Tegn Tegn Tegn Char,Caption1 Char Char Char Char Char Char Char Char Tegn Tegn Tegn Char,Caption1 Char Char Char Char Char Char Char Char Tegn Tegn Char, Char Char Char Char"/>
    <w:link w:val="Caption"/>
    <w:uiPriority w:val="3"/>
    <w:rPr>
      <w:rFonts w:ascii="Times New Roman" w:eastAsia="Times New Roman" w:hAnsi="Times New Roman" w:cs="Times New Roman"/>
      <w:b/>
      <w:i/>
      <w:color w:val="244061" w:themeColor="accent1" w:themeShade="80"/>
      <w:szCs w:val="24"/>
      <w:lang w:eastAsia="en-GB"/>
    </w:rPr>
  </w:style>
  <w:style w:type="paragraph" w:styleId="BodyText">
    <w:name w:val="Body Text"/>
    <w:aliases w:val="Document,Doc,Body Text2,doc,Standard paragraph,BodyText,(Norm),Body Text 12,bt,gl,uvlaka 2,heading3,Body Text - Level 2,1body,BodText,body text,Body Txt,Body Text-10,Body Text Char2,Text Char1,Text body, Car, (Norm),Τίτλος Μελέτης,- TF,b."/>
    <w:basedOn w:val="Normal"/>
    <w:link w:val="BodyTextChar"/>
    <w:qFormat/>
    <w:pPr>
      <w:spacing w:after="120" w:line="240" w:lineRule="auto"/>
      <w:jc w:val="both"/>
    </w:pPr>
    <w:rPr>
      <w:rFonts w:ascii="Georgia" w:eastAsia="Times New Roman" w:hAnsi="Georgia" w:cs="Times New Roman"/>
      <w:sz w:val="20"/>
      <w:szCs w:val="24"/>
      <w:lang w:val="fr-FR"/>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rPr>
      <w:rFonts w:ascii="Georgia" w:eastAsia="Times New Roman" w:hAnsi="Georgia" w:cs="Times New Roman"/>
      <w:sz w:val="20"/>
      <w:szCs w:val="24"/>
      <w:lang w:val="fr-FR"/>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style>
  <w:style w:type="paragraph" w:styleId="Quote">
    <w:name w:val="Quote"/>
    <w:aliases w:val="Quotation (long)"/>
    <w:basedOn w:val="Normal"/>
    <w:link w:val="QuoteChar"/>
    <w:uiPriority w:val="11"/>
    <w:qFormat/>
    <w:pPr>
      <w:spacing w:after="120" w:line="240" w:lineRule="auto"/>
      <w:ind w:left="1021" w:right="1021"/>
      <w:jc w:val="both"/>
    </w:pPr>
    <w:rPr>
      <w:rFonts w:ascii="Times New Roman" w:eastAsia="SimSun" w:hAnsi="Times New Roman" w:cs="Times New Roman"/>
      <w:i/>
      <w:iCs/>
      <w:color w:val="404040"/>
      <w:szCs w:val="20"/>
    </w:rPr>
  </w:style>
  <w:style w:type="character" w:customStyle="1" w:styleId="QuoteChar">
    <w:name w:val="Quote Char"/>
    <w:aliases w:val="Quotation (long) Char"/>
    <w:basedOn w:val="DefaultParagraphFont"/>
    <w:link w:val="Quote"/>
    <w:uiPriority w:val="11"/>
    <w:rPr>
      <w:rFonts w:ascii="Times New Roman" w:eastAsia="SimSun" w:hAnsi="Times New Roman" w:cs="Times New Roman"/>
      <w:i/>
      <w:iCs/>
      <w:color w:val="404040"/>
      <w:szCs w:val="20"/>
    </w:rPr>
  </w:style>
  <w:style w:type="character" w:styleId="IntenseEmphasis">
    <w:name w:val="Intense Emphasis"/>
    <w:basedOn w:val="DefaultParagraphFont"/>
    <w:uiPriority w:val="21"/>
    <w:qFormat/>
    <w:rPr>
      <w:b/>
      <w:bCs/>
      <w:i/>
      <w:iCs/>
      <w:color w:val="4F81BD" w:themeColor="accent1"/>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Corpo">
    <w:name w:val="Corpo"/>
    <w:pPr>
      <w:spacing w:after="120" w:line="240" w:lineRule="auto"/>
      <w:jc w:val="both"/>
    </w:pPr>
    <w:rPr>
      <w:rFonts w:ascii="Calibri" w:eastAsia="Calibri" w:hAnsi="Calibri" w:cs="Calibri"/>
      <w:color w:val="000000"/>
      <w:u w:color="000000"/>
      <w:lang w:eastAsia="fr-BE"/>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E,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before="120"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pPr>
      <w:keepNext/>
      <w:numPr>
        <w:numId w:val="8"/>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8"/>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1"/>
    <w:qFormat/>
    <w:pPr>
      <w:keepNext/>
      <w:spacing w:before="240"/>
      <w:ind w:left="7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paragraph" w:customStyle="1" w:styleId="AppendixH1">
    <w:name w:val="Appendix H1"/>
    <w:basedOn w:val="Normal"/>
    <w:link w:val="AppendixH1Char"/>
    <w:qFormat/>
    <w:pPr>
      <w:numPr>
        <w:numId w:val="11"/>
      </w:numPr>
    </w:pPr>
    <w:rPr>
      <w:rFonts w:ascii="Times New Roman" w:hAnsi="Times New Roman" w:cs="Times New Roman"/>
      <w:b/>
      <w:sz w:val="24"/>
      <w:szCs w:val="24"/>
    </w:rPr>
  </w:style>
  <w:style w:type="character" w:customStyle="1" w:styleId="AppendixH1Char">
    <w:name w:val="Appendix H1 Char"/>
    <w:basedOn w:val="DefaultParagraphFont"/>
    <w:link w:val="AppendixH1"/>
    <w:rPr>
      <w:rFonts w:ascii="Times New Roman" w:hAnsi="Times New Roman" w:cs="Times New Roman"/>
      <w:b/>
      <w:sz w:val="24"/>
      <w:szCs w:val="24"/>
    </w:rPr>
  </w:style>
  <w:style w:type="paragraph" w:customStyle="1" w:styleId="AppendixH2">
    <w:name w:val="Appendix H2"/>
    <w:basedOn w:val="Normal"/>
    <w:link w:val="AppendixH2Char"/>
    <w:qFormat/>
    <w:pPr>
      <w:numPr>
        <w:ilvl w:val="1"/>
        <w:numId w:val="11"/>
      </w:numPr>
    </w:pPr>
    <w:rPr>
      <w:rFonts w:ascii="Times New Roman" w:hAnsi="Times New Roman" w:cs="Times New Roman"/>
      <w:b/>
      <w:sz w:val="24"/>
      <w:szCs w:val="24"/>
    </w:rPr>
  </w:style>
  <w:style w:type="character" w:customStyle="1" w:styleId="AppendixH2Char">
    <w:name w:val="Appendix H2 Char"/>
    <w:basedOn w:val="DefaultParagraphFont"/>
    <w:link w:val="AppendixH2"/>
    <w:rPr>
      <w:rFonts w:ascii="Times New Roman" w:hAnsi="Times New Roman" w:cs="Times New Roman"/>
      <w:b/>
      <w:sz w:val="24"/>
      <w:szCs w:val="24"/>
    </w:rPr>
  </w:style>
  <w:style w:type="paragraph" w:customStyle="1" w:styleId="AppendixH3">
    <w:name w:val="Appendix H3"/>
    <w:basedOn w:val="Normal"/>
    <w:qFormat/>
    <w:pPr>
      <w:numPr>
        <w:ilvl w:val="2"/>
        <w:numId w:val="11"/>
      </w:numPr>
    </w:pPr>
    <w:rPr>
      <w:rFonts w:ascii="Times New Roman" w:hAnsi="Times New Roman" w:cs="Times New Roman"/>
      <w:i/>
      <w:sz w:val="24"/>
      <w:szCs w:val="24"/>
    </w:rPr>
  </w:style>
  <w:style w:type="paragraph" w:customStyle="1" w:styleId="list-bullet-color">
    <w:name w:val="list-bullet-color"/>
    <w:basedOn w:val="Normal"/>
    <w:qFormat/>
    <w:pPr>
      <w:numPr>
        <w:numId w:val="12"/>
      </w:numPr>
      <w:spacing w:after="0" w:line="280" w:lineRule="atLeast"/>
    </w:pPr>
    <w:rPr>
      <w:rFonts w:ascii="Arial" w:eastAsia="Times New Roman" w:hAnsi="Arial" w:cs="Times New Roman"/>
      <w:sz w:val="18"/>
      <w:szCs w:val="24"/>
      <w:lang w:eastAsia="nl-NL"/>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1"/>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Schriftart: 9 pt,o,f"/>
    <w:basedOn w:val="Normal"/>
    <w:link w:val="FootnoteTextChar"/>
    <w:uiPriority w:val="99"/>
    <w:unhideWhenUsed/>
    <w:qFormat/>
    <w:pPr>
      <w:spacing w:after="0" w:line="240" w:lineRule="auto"/>
      <w:ind w:left="720" w:hanging="720"/>
    </w:pPr>
    <w:rPr>
      <w:rFonts w:ascii="Times New Roman" w:hAnsi="Times New Roman"/>
      <w:sz w:val="18"/>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qFormat/>
    <w:rPr>
      <w:rFonts w:ascii="Times New Roman" w:hAnsi="Times New Roman"/>
      <w:sz w:val="18"/>
      <w:szCs w:val="20"/>
    </w:rPr>
  </w:style>
  <w:style w:type="paragraph" w:styleId="Caption">
    <w:name w:val="caption"/>
    <w:aliases w:val="Caption1 Char Char Char Char Char Char Char Char Tegn Tegn Tegn Tegn Tegn,Caption1 Char Char Char Char Char Char Char Char Tegn Tegn Tegn,Caption1 Char Char Char Char Char Char Char Char Tegn Tegn, Char Char Char,Tabelko"/>
    <w:basedOn w:val="Normal"/>
    <w:next w:val="Normal"/>
    <w:link w:val="CaptionChar"/>
    <w:autoRedefine/>
    <w:uiPriority w:val="3"/>
    <w:qFormat/>
    <w:pPr>
      <w:keepNext/>
      <w:spacing w:before="120" w:after="0" w:line="240" w:lineRule="auto"/>
      <w:jc w:val="both"/>
    </w:pPr>
    <w:rPr>
      <w:rFonts w:ascii="Times New Roman" w:eastAsia="Times New Roman" w:hAnsi="Times New Roman" w:cs="Times New Roman"/>
      <w:b/>
      <w:i/>
      <w:color w:val="244061" w:themeColor="accent1" w:themeShade="80"/>
      <w:szCs w:val="24"/>
      <w:lang w:eastAsia="en-GB"/>
    </w:rPr>
  </w:style>
  <w:style w:type="character" w:customStyle="1" w:styleId="CaptionChar">
    <w:name w:val="Caption Char"/>
    <w:aliases w:val="Caption1 Char Char Char Char Char Char Char Char Tegn Tegn Tegn Tegn Tegn Char,Caption1 Char Char Char Char Char Char Char Char Tegn Tegn Tegn Char,Caption1 Char Char Char Char Char Char Char Char Tegn Tegn Char, Char Char Char Char"/>
    <w:link w:val="Caption"/>
    <w:uiPriority w:val="3"/>
    <w:rPr>
      <w:rFonts w:ascii="Times New Roman" w:eastAsia="Times New Roman" w:hAnsi="Times New Roman" w:cs="Times New Roman"/>
      <w:b/>
      <w:i/>
      <w:color w:val="244061" w:themeColor="accent1" w:themeShade="80"/>
      <w:szCs w:val="24"/>
      <w:lang w:eastAsia="en-GB"/>
    </w:rPr>
  </w:style>
  <w:style w:type="paragraph" w:styleId="BodyText">
    <w:name w:val="Body Text"/>
    <w:aliases w:val="Document,Doc,Body Text2,doc,Standard paragraph,BodyText,(Norm),Body Text 12,bt,gl,uvlaka 2,heading3,Body Text - Level 2,1body,BodText,body text,Body Txt,Body Text-10,Body Text Char2,Text Char1,Text body, Car, (Norm),Τίτλος Μελέτης,- TF,b."/>
    <w:basedOn w:val="Normal"/>
    <w:link w:val="BodyTextChar"/>
    <w:qFormat/>
    <w:pPr>
      <w:spacing w:after="120" w:line="240" w:lineRule="auto"/>
      <w:jc w:val="both"/>
    </w:pPr>
    <w:rPr>
      <w:rFonts w:ascii="Georgia" w:eastAsia="Times New Roman" w:hAnsi="Georgia" w:cs="Times New Roman"/>
      <w:sz w:val="20"/>
      <w:szCs w:val="24"/>
      <w:lang w:val="fr-FR"/>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rPr>
      <w:rFonts w:ascii="Georgia" w:eastAsia="Times New Roman" w:hAnsi="Georgia" w:cs="Times New Roman"/>
      <w:sz w:val="20"/>
      <w:szCs w:val="24"/>
      <w:lang w:val="fr-FR"/>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style>
  <w:style w:type="paragraph" w:styleId="Quote">
    <w:name w:val="Quote"/>
    <w:aliases w:val="Quotation (long)"/>
    <w:basedOn w:val="Normal"/>
    <w:link w:val="QuoteChar"/>
    <w:uiPriority w:val="11"/>
    <w:qFormat/>
    <w:pPr>
      <w:spacing w:after="120" w:line="240" w:lineRule="auto"/>
      <w:ind w:left="1021" w:right="1021"/>
      <w:jc w:val="both"/>
    </w:pPr>
    <w:rPr>
      <w:rFonts w:ascii="Times New Roman" w:eastAsia="SimSun" w:hAnsi="Times New Roman" w:cs="Times New Roman"/>
      <w:i/>
      <w:iCs/>
      <w:color w:val="404040"/>
      <w:szCs w:val="20"/>
    </w:rPr>
  </w:style>
  <w:style w:type="character" w:customStyle="1" w:styleId="QuoteChar">
    <w:name w:val="Quote Char"/>
    <w:aliases w:val="Quotation (long) Char"/>
    <w:basedOn w:val="DefaultParagraphFont"/>
    <w:link w:val="Quote"/>
    <w:uiPriority w:val="11"/>
    <w:rPr>
      <w:rFonts w:ascii="Times New Roman" w:eastAsia="SimSun" w:hAnsi="Times New Roman" w:cs="Times New Roman"/>
      <w:i/>
      <w:iCs/>
      <w:color w:val="404040"/>
      <w:szCs w:val="20"/>
    </w:rPr>
  </w:style>
  <w:style w:type="character" w:styleId="IntenseEmphasis">
    <w:name w:val="Intense Emphasis"/>
    <w:basedOn w:val="DefaultParagraphFont"/>
    <w:uiPriority w:val="21"/>
    <w:qFormat/>
    <w:rPr>
      <w:b/>
      <w:bCs/>
      <w:i/>
      <w:iCs/>
      <w:color w:val="4F81BD" w:themeColor="accent1"/>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Corpo">
    <w:name w:val="Corpo"/>
    <w:pPr>
      <w:spacing w:after="120" w:line="240" w:lineRule="auto"/>
      <w:jc w:val="both"/>
    </w:pPr>
    <w:rPr>
      <w:rFonts w:ascii="Calibri" w:eastAsia="Calibri" w:hAnsi="Calibri" w:cs="Calibri"/>
      <w:color w:val="000000"/>
      <w:u w:color="000000"/>
      <w:lang w:eastAsia="fr-BE"/>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E,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before="120"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PDF/?uri=CELEX:52017SC0355&amp;from=EN" TargetMode="External"/><Relationship Id="rId2" Type="http://schemas.openxmlformats.org/officeDocument/2006/relationships/hyperlink" Target="http://eur-lex.europa.eu/legal-content/EN/TXT/PDF/?uri=CELEX:52017SC0355&amp;from=EN" TargetMode="External"/><Relationship Id="rId1" Type="http://schemas.openxmlformats.org/officeDocument/2006/relationships/hyperlink" Target="https://ec.europa.eu/commission/state-union-2017_en" TargetMode="External"/><Relationship Id="rId4" Type="http://schemas.openxmlformats.org/officeDocument/2006/relationships/hyperlink" Target="http://ec.europa.eu/environment/nature/biodiversity/best/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0327F-60C0-4CDF-BB20-4661000A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880</Words>
  <Characters>4999</Characters>
  <Application>Microsoft Office Word</Application>
  <DocSecurity>0</DocSecurity>
  <Lines>79</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2018-05-22T09:41:00Z</cp:lastPrinted>
  <dcterms:created xsi:type="dcterms:W3CDTF">2018-05-23T17:02:00Z</dcterms:created>
  <dcterms:modified xsi:type="dcterms:W3CDTF">2018-05-29T13:06:00Z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