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788D461-62F4-4D45-91A8-9873BD90B0CB" style="width:450.75pt;height:380.5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Corpo"/>
        <w:rPr>
          <w:rFonts w:ascii="Times New Roman" w:hAnsi="Times New Roman" w:cs="Times New Roman"/>
          <w:noProof/>
          <w:sz w:val="24"/>
          <w:szCs w:val="24"/>
        </w:rPr>
      </w:pPr>
      <w:bookmarkStart w:id="1" w:name="_GoBack"/>
      <w:bookmarkEnd w:id="1"/>
      <w:r>
        <w:rPr>
          <w:rFonts w:ascii="Times New Roman" w:hAnsi="Times New Roman"/>
          <w:noProof/>
          <w:sz w:val="24"/>
        </w:rPr>
        <w:lastRenderedPageBreak/>
        <w:t xml:space="preserve">L'Union européenne est un acteur mondial de premier plan pour la protection de l’environnement et l’action pour le climat et, comme le président Juncker l’a confirmé dans son </w:t>
      </w:r>
      <w:r>
        <w:rPr>
          <w:rFonts w:ascii="Times New Roman" w:hAnsi="Times New Roman"/>
          <w:i/>
          <w:noProof/>
          <w:sz w:val="24"/>
        </w:rPr>
        <w:t>discours sur l’état de l’Union</w:t>
      </w:r>
      <w:r>
        <w:rPr>
          <w:rStyle w:val="FootnoteReference"/>
          <w:noProof/>
          <w:sz w:val="24"/>
        </w:rPr>
        <w:footnoteReference w:id="1"/>
      </w:r>
      <w:r>
        <w:rPr>
          <w:rFonts w:ascii="Times New Roman" w:hAnsi="Times New Roman"/>
          <w:noProof/>
          <w:sz w:val="24"/>
        </w:rPr>
        <w:t xml:space="preserve"> de 2017, elle entend renforcer ce rôle</w:t>
      </w:r>
      <w:r>
        <w:rPr>
          <w:rStyle w:val="FootnoteReference"/>
          <w:noProof/>
          <w:sz w:val="24"/>
        </w:rPr>
        <w:footnoteReference w:id="2"/>
      </w:r>
      <w:r>
        <w:rPr>
          <w:rFonts w:ascii="Times New Roman" w:hAnsi="Times New Roman"/>
          <w:noProof/>
          <w:sz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 programme LIFE est le seul fonds de l’UE entièrement consacré aux objectifs liés à l’environnement et au climat. Doté d’un modeste budget, il cible une niche entre les programmes de l’UE soutenant la recherche et l’innovation, d’une part, et les programmes qui financent le déploiement de mesures à grande échelle, d’autre part.</w:t>
      </w:r>
    </w:p>
    <w:p>
      <w:pPr>
        <w:spacing w:after="60" w:line="240" w:lineRule="auto"/>
        <w:jc w:val="both"/>
        <w:rPr>
          <w:rFonts w:ascii="Times New Roman" w:hAnsi="Times New Roman" w:cs="Times New Roman"/>
          <w:noProof/>
          <w:sz w:val="24"/>
          <w:szCs w:val="24"/>
        </w:rPr>
      </w:pPr>
      <w:r>
        <w:rPr>
          <w:rFonts w:ascii="Times New Roman" w:hAnsi="Times New Roman"/>
          <w:noProof/>
          <w:sz w:val="24"/>
        </w:rPr>
        <w:t>Si les activités de LIFE concourent à résoudre certains problèmes directement sur le terrain, la principale incidence du programme est indirecte, du fait du rôle catalyseur qu’il exerce pour mettre en place, développer ou promouvoir des pratiques de production, de distribution et de consommation durables en soutenant:</w:t>
      </w:r>
    </w:p>
    <w:p>
      <w:pPr>
        <w:pStyle w:val="ListParagraph"/>
        <w:numPr>
          <w:ilvl w:val="0"/>
          <w:numId w:val="13"/>
        </w:numPr>
        <w:spacing w:after="60" w:line="240" w:lineRule="auto"/>
        <w:ind w:left="426" w:firstLine="0"/>
        <w:contextualSpacing w:val="0"/>
        <w:jc w:val="both"/>
        <w:rPr>
          <w:rFonts w:ascii="Times New Roman" w:hAnsi="Times New Roman" w:cs="Times New Roman"/>
          <w:noProof/>
          <w:sz w:val="24"/>
          <w:szCs w:val="24"/>
        </w:rPr>
      </w:pPr>
      <w:r>
        <w:rPr>
          <w:rFonts w:ascii="Times New Roman" w:hAnsi="Times New Roman"/>
          <w:noProof/>
          <w:sz w:val="24"/>
        </w:rPr>
        <w:t>la mise au point et l’échange des bonnes pratiques et des connaissances;</w:t>
      </w:r>
    </w:p>
    <w:p>
      <w:pPr>
        <w:pStyle w:val="ListParagraph"/>
        <w:numPr>
          <w:ilvl w:val="0"/>
          <w:numId w:val="13"/>
        </w:numPr>
        <w:spacing w:after="60" w:line="240" w:lineRule="auto"/>
        <w:ind w:left="709" w:hanging="283"/>
        <w:contextualSpacing w:val="0"/>
        <w:jc w:val="both"/>
        <w:rPr>
          <w:rFonts w:ascii="Times New Roman" w:hAnsi="Times New Roman" w:cs="Times New Roman"/>
          <w:noProof/>
          <w:sz w:val="24"/>
          <w:szCs w:val="24"/>
        </w:rPr>
      </w:pPr>
      <w:r>
        <w:rPr>
          <w:rFonts w:ascii="Times New Roman" w:hAnsi="Times New Roman"/>
          <w:noProof/>
          <w:sz w:val="24"/>
        </w:rPr>
        <w:t>le renforcement des capacités et l’accélération de la mise en œuvre des textes législatifs et des politiques dans les domaines de l’environnement et du climat;</w:t>
      </w:r>
    </w:p>
    <w:p>
      <w:pPr>
        <w:pStyle w:val="ListParagraph"/>
        <w:numPr>
          <w:ilvl w:val="0"/>
          <w:numId w:val="13"/>
        </w:numPr>
        <w:spacing w:after="60" w:line="240" w:lineRule="auto"/>
        <w:ind w:left="426" w:firstLine="0"/>
        <w:contextualSpacing w:val="0"/>
        <w:jc w:val="both"/>
        <w:rPr>
          <w:rFonts w:ascii="Times New Roman" w:hAnsi="Times New Roman" w:cs="Times New Roman"/>
          <w:noProof/>
          <w:sz w:val="24"/>
          <w:szCs w:val="24"/>
        </w:rPr>
      </w:pPr>
      <w:r>
        <w:rPr>
          <w:rFonts w:ascii="Times New Roman" w:hAnsi="Times New Roman"/>
          <w:noProof/>
          <w:sz w:val="24"/>
        </w:rPr>
        <w:t>l’expérimentation de techniques et de solutions à petite échelle par les parties concernées; et</w:t>
      </w:r>
    </w:p>
    <w:p>
      <w:pPr>
        <w:pStyle w:val="ListParagraph"/>
        <w:numPr>
          <w:ilvl w:val="0"/>
          <w:numId w:val="13"/>
        </w:numPr>
        <w:spacing w:after="60" w:line="240" w:lineRule="auto"/>
        <w:ind w:left="426" w:firstLine="0"/>
        <w:contextualSpacing w:val="0"/>
        <w:jc w:val="both"/>
        <w:rPr>
          <w:rFonts w:ascii="Times New Roman" w:hAnsi="Times New Roman" w:cs="Times New Roman"/>
          <w:noProof/>
          <w:sz w:val="24"/>
          <w:szCs w:val="24"/>
        </w:rPr>
      </w:pPr>
      <w:r>
        <w:rPr>
          <w:rFonts w:ascii="Times New Roman" w:hAnsi="Times New Roman"/>
          <w:noProof/>
          <w:sz w:val="24"/>
        </w:rPr>
        <w:t>la mobilisation de fonds provenant d’autres sources.</w:t>
      </w:r>
    </w:p>
    <w:p>
      <w:pPr>
        <w:pStyle w:val="Corpo"/>
        <w:rPr>
          <w:rFonts w:ascii="Times New Roman" w:hAnsi="Times New Roman" w:cs="Times New Roman"/>
          <w:noProof/>
          <w:sz w:val="24"/>
          <w:szCs w:val="24"/>
        </w:rPr>
      </w:pPr>
      <w:r>
        <w:rPr>
          <w:rFonts w:ascii="Times New Roman" w:hAnsi="Times New Roman"/>
          <w:noProof/>
          <w:sz w:val="24"/>
        </w:rPr>
        <w:t xml:space="preserve">La présente analyse d’impact accompagne la proposition de la Commission relative au futur programme LIFE pour l’environnement et l’action pour le climat et répond aux exigences du règlement financier concernant la préparation d’une évaluation ex ante. </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Défis et perspectives du programme LIFE dans le prochain CFP</w:t>
      </w:r>
    </w:p>
    <w:p>
      <w:pPr>
        <w:spacing w:after="120" w:line="240" w:lineRule="auto"/>
        <w:jc w:val="both"/>
        <w:rPr>
          <w:rFonts w:ascii="Times New Roman" w:eastAsia="Calibri" w:hAnsi="Times New Roman" w:cs="Times New Roman"/>
          <w:noProof/>
          <w:sz w:val="24"/>
          <w:szCs w:val="24"/>
        </w:rPr>
      </w:pPr>
      <w:r>
        <w:rPr>
          <w:rFonts w:ascii="Times New Roman" w:hAnsi="Times New Roman"/>
          <w:noProof/>
          <w:color w:val="000000"/>
          <w:sz w:val="24"/>
          <w:u w:color="000000"/>
        </w:rPr>
        <w:t>La récente évaluation à mi-parcours de LIFE</w:t>
      </w:r>
      <w:r>
        <w:rPr>
          <w:rFonts w:ascii="Times New Roman" w:hAnsi="Times New Roman"/>
          <w:noProof/>
          <w:sz w:val="24"/>
          <w:vertAlign w:val="superscript"/>
        </w:rPr>
        <w:footnoteReference w:id="3"/>
      </w:r>
      <w:r>
        <w:rPr>
          <w:rFonts w:ascii="Times New Roman" w:hAnsi="Times New Roman"/>
          <w:noProof/>
          <w:color w:val="000000"/>
          <w:sz w:val="24"/>
          <w:u w:color="000000"/>
        </w:rPr>
        <w:t xml:space="preserve"> a confirmé que le programme était en voie de se révéler efficace</w:t>
      </w:r>
      <w:r>
        <w:rPr>
          <w:rFonts w:ascii="Times New Roman" w:hAnsi="Times New Roman"/>
          <w:noProof/>
          <w:color w:val="000000"/>
          <w:sz w:val="24"/>
          <w:u w:color="000000"/>
          <w:vertAlign w:val="superscript"/>
        </w:rPr>
        <w:footnoteReference w:id="4"/>
      </w:r>
      <w:r>
        <w:rPr>
          <w:rFonts w:ascii="Times New Roman" w:hAnsi="Times New Roman"/>
          <w:noProof/>
          <w:color w:val="000000"/>
          <w:sz w:val="24"/>
          <w:u w:color="000000"/>
        </w:rPr>
        <w:t>, efficient et pertinent, et qu’il contribuait à la stratégie Europe 2020. Par ailleurs,</w:t>
      </w:r>
      <w:r>
        <w:rPr>
          <w:rFonts w:ascii="Times New Roman" w:hAnsi="Times New Roman"/>
          <w:noProof/>
          <w:sz w:val="24"/>
        </w:rPr>
        <w:t xml:space="preserve"> la plupart des parties prenantes considèrent le programme comme un instrument très important pour aborder les priorités en matière d’environnement et de climat.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rPr>
        <w:t>Toutefois, l’évaluation à mi-parcours a également mis en évidence des possibilités d’amélioration supplémentaire de l’efficacité globale du programme, qui ne pourraient se réaliser si le format et l’échelle actuels du programme LIFE étaient maintenus pour la période 2021-2027. Il s’agit en particulier de possibilités d’amélioration de la cohérence entre le programme LIFE et les autres fonds de l’UE et de renforcement du rôle de catalyseur joué par le programme. D’autres possibilités d’amélioration ont aussi été signalées, en ce qui concerne l’orientation stratégique du programme, ainsi que des possibilités de renforcement de l’efficience et de simplification de la gestion de LIFE.</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Options privilégiées</w:t>
      </w:r>
    </w:p>
    <w:p>
      <w:pPr>
        <w:spacing w:after="120" w:line="240" w:lineRule="auto"/>
        <w:jc w:val="both"/>
        <w:rPr>
          <w:rFonts w:ascii="Times New Roman" w:hAnsi="Times New Roman" w:cs="Times New Roman"/>
          <w:noProof/>
          <w:sz w:val="24"/>
          <w:szCs w:val="24"/>
        </w:rPr>
      </w:pPr>
      <w:r>
        <w:rPr>
          <w:rFonts w:ascii="Times New Roman" w:hAnsi="Times New Roman"/>
          <w:noProof/>
          <w:sz w:val="24"/>
        </w:rPr>
        <w:t>Pour relever les défis mis en évidence, plusieurs options ont été envisagées, puis triées en fonction de leur efficience, de leur efficacité et de leur cohérence. Cette opération a débouché sur un certain nombre d’options spécifiques d’amélioration du nouveau programme, qui sont décrites ci-après.</w:t>
      </w:r>
    </w:p>
    <w:p>
      <w:pPr>
        <w:spacing w:after="120" w:line="240" w:lineRule="auto"/>
        <w:jc w:val="both"/>
        <w:rPr>
          <w:rFonts w:ascii="Times New Roman" w:hAnsi="Times New Roman" w:cs="Times New Roman"/>
          <w:noProof/>
          <w:sz w:val="24"/>
          <w:szCs w:val="24"/>
        </w:rPr>
      </w:pPr>
      <w:r>
        <w:rPr>
          <w:rFonts w:ascii="Times New Roman" w:hAnsi="Times New Roman"/>
          <w:noProof/>
          <w:sz w:val="24"/>
        </w:rPr>
        <w:t xml:space="preserve">Trois options ont été retenues en rapport avec </w:t>
      </w:r>
      <w:r>
        <w:rPr>
          <w:rFonts w:ascii="Times New Roman" w:hAnsi="Times New Roman"/>
          <w:b/>
          <w:i/>
          <w:noProof/>
          <w:sz w:val="24"/>
        </w:rPr>
        <w:t>la portée et le champ d’application</w:t>
      </w:r>
      <w:r>
        <w:rPr>
          <w:rFonts w:ascii="Times New Roman" w:hAnsi="Times New Roman"/>
          <w:noProof/>
          <w:sz w:val="24"/>
        </w:rPr>
        <w:t xml:space="preserve"> du programme:</w:t>
      </w:r>
    </w:p>
    <w:p>
      <w:pPr>
        <w:pStyle w:val="ListParagraph"/>
        <w:numPr>
          <w:ilvl w:val="0"/>
          <w:numId w:val="15"/>
        </w:numPr>
        <w:spacing w:after="60" w:line="240" w:lineRule="auto"/>
        <w:contextualSpacing w:val="0"/>
        <w:jc w:val="both"/>
        <w:rPr>
          <w:rFonts w:ascii="Times New Roman" w:hAnsi="Times New Roman" w:cs="Times New Roman"/>
          <w:noProof/>
          <w:sz w:val="24"/>
          <w:szCs w:val="24"/>
        </w:rPr>
      </w:pPr>
      <w:r>
        <w:rPr>
          <w:rFonts w:ascii="Times New Roman" w:hAnsi="Times New Roman"/>
          <w:noProof/>
          <w:sz w:val="24"/>
        </w:rPr>
        <w:t>L’extension du champ d’application de LIFE à des projets de renforcement des capacités dans le domaine de l’énergie propre par l’ajout d’un sous-programme consacré à la transition vers l’énergie propre constituerait une approche plus cohérente du financement des projets de renforcement des capacités dans le domaine de l'énergie propre, tout en facilitant l’accès de nombreux autres bénéficiaires.</w:t>
      </w:r>
    </w:p>
    <w:p>
      <w:pPr>
        <w:pStyle w:val="ListParagraph"/>
        <w:numPr>
          <w:ilvl w:val="0"/>
          <w:numId w:val="1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Renforcement du soutien de LIFE à l’intégration des objectifs de protection de la nature et de préservation de la biodiversité. Cette option renforcerait le financement des actions de protection de la nature et rendrait la structure générale du budget de l’UE plus cohérente grâce à une meilleure approche d’intégration. Elle pourrait nécessiter des efforts supplémentaires de planification et de coordination de la part des autorités compétentes en matière d’environnement.</w:t>
      </w:r>
    </w:p>
    <w:p>
      <w:pPr>
        <w:pStyle w:val="ListParagraph"/>
        <w:numPr>
          <w:ilvl w:val="0"/>
          <w:numId w:val="15"/>
        </w:numPr>
        <w:spacing w:after="120" w:line="240" w:lineRule="auto"/>
        <w:contextualSpacing w:val="0"/>
        <w:jc w:val="both"/>
        <w:rPr>
          <w:rFonts w:ascii="Times New Roman" w:hAnsi="Times New Roman" w:cs="Times New Roman"/>
          <w:noProof/>
          <w:sz w:val="24"/>
          <w:szCs w:val="24"/>
        </w:rPr>
      </w:pPr>
      <w:r>
        <w:rPr>
          <w:rFonts w:ascii="Times New Roman" w:hAnsi="Times New Roman"/>
          <w:noProof/>
          <w:sz w:val="24"/>
        </w:rPr>
        <w:t>L’extension du bénéfice de LIFE aux pays et territoires d’outre-mer (PTOM) de l'UE, en particulier pour les actions de protection de la nature et de la biodiversité du sous-programme «Nature et biodiversité», comblerait une lacune potentielle dans le financement du régime BEST</w:t>
      </w:r>
      <w:r>
        <w:rPr>
          <w:rFonts w:ascii="Times New Roman" w:hAnsi="Times New Roman"/>
          <w:noProof/>
          <w:sz w:val="24"/>
          <w:vertAlign w:val="superscript"/>
        </w:rPr>
        <w:footnoteReference w:id="5"/>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Si le budget est spécifiquement augmenté pour inclure la transition vers l’énergie propre ou pour inclure un sous-programme consacré à la nature, ces options (options 1 et 2) devraient être intégrées dans la structure du programme Life.</w:t>
      </w:r>
    </w:p>
    <w:p>
      <w:pPr>
        <w:spacing w:after="120" w:line="240" w:lineRule="auto"/>
        <w:jc w:val="both"/>
        <w:rPr>
          <w:rFonts w:ascii="Times New Roman" w:hAnsi="Times New Roman" w:cs="Times New Roman"/>
          <w:b/>
          <w:i/>
          <w:noProof/>
          <w:sz w:val="24"/>
          <w:szCs w:val="24"/>
        </w:rPr>
      </w:pPr>
      <w:r>
        <w:rPr>
          <w:rFonts w:ascii="Times New Roman" w:hAnsi="Times New Roman"/>
          <w:noProof/>
          <w:sz w:val="24"/>
        </w:rPr>
        <w:t xml:space="preserve">Neuf options ont été retenues en ce qui concerne les </w:t>
      </w:r>
      <w:r>
        <w:rPr>
          <w:rFonts w:ascii="Times New Roman" w:hAnsi="Times New Roman"/>
          <w:b/>
          <w:i/>
          <w:noProof/>
          <w:sz w:val="24"/>
        </w:rPr>
        <w:t>mécanismes de mise en oeuvre</w:t>
      </w:r>
      <w:r>
        <w:rPr>
          <w:rFonts w:ascii="Times New Roman" w:hAnsi="Times New Roman"/>
          <w:noProof/>
          <w:sz w:val="24"/>
        </w:rPr>
        <w:t xml:space="preserve"> du programme et la </w:t>
      </w:r>
      <w:r>
        <w:rPr>
          <w:rFonts w:ascii="Times New Roman" w:hAnsi="Times New Roman"/>
          <w:b/>
          <w:i/>
          <w:noProof/>
          <w:sz w:val="24"/>
        </w:rPr>
        <w:t>gestion du programme</w:t>
      </w:r>
      <w:r>
        <w:rPr>
          <w:rFonts w:ascii="Times New Roman" w:hAnsi="Times New Roman"/>
          <w:noProof/>
          <w:sz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rPr>
        <w:t>Afin d’améliorer l’efficacité et le rôle catalyseur de LIFE, deux options ont été étudiées de façon plus approfondie, concernant l’accessibilité de LIFE aux demandeurs de concours financier de tous les États membres de l’UE. L’option consistant à fournir une aide centralisée à l’ensemble du réseau des points de contact nationaux plutôt qu’aux projets nationaux de renforcement des capacités (uniquement pour certains États membres), comme c’est le cas actuellement, fait l’objet d’une évaluation favorable.  L’option consistant à augmenter les taux de cofinancement devra être examinée plus en détail une fois que la structure globale et le budget du programme LIFE dans le prochain CFP seront décidés, et en fonction de l’évolution de la demande dans le temps.</w:t>
      </w:r>
    </w:p>
    <w:p>
      <w:pPr>
        <w:spacing w:after="120" w:line="240" w:lineRule="auto"/>
        <w:jc w:val="both"/>
        <w:rPr>
          <w:rFonts w:ascii="Times New Roman" w:hAnsi="Times New Roman" w:cs="Times New Roman"/>
          <w:noProof/>
          <w:sz w:val="24"/>
          <w:szCs w:val="24"/>
        </w:rPr>
      </w:pPr>
      <w:r>
        <w:rPr>
          <w:rFonts w:ascii="Times New Roman" w:hAnsi="Times New Roman"/>
          <w:noProof/>
          <w:sz w:val="24"/>
        </w:rPr>
        <w:t>Quatre autres options complémentaires ont été envisagées pour améliorer l’efficacité et le rôle catalyseur du programme. Parmi elles, le recours accru aux projets stratégiques intégrés est considéré comme le mécanisme le plus efficace, d’après l’expérience pilote des projets intégrés du programme LIFE actuel. Cela nécessiterait cependant un budget supplémentaire par rapport au programme actuel.</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Les options visant à faciliter la réplication et à renforcer à la fois la flexibilité du programme et la possibilité de cibler les problèmes clés qui se font jour par une simplification du règlement et du programme de travail pluriannuel n’ont pas d’incidence négative majeure; les deux devraient donc être introduites. En ce qui concerne les instruments financiers, il serait intéressant que les approches élaborées dans le cadre des actuels instruments pilotes LIFE soient déployées à plus grande échelle au titre de InvestEU.</w:t>
      </w:r>
    </w:p>
    <w:p>
      <w:pPr>
        <w:spacing w:after="120" w:line="240" w:lineRule="auto"/>
        <w:jc w:val="both"/>
        <w:rPr>
          <w:rFonts w:ascii="Times New Roman" w:hAnsi="Times New Roman" w:cs="Times New Roman"/>
          <w:b/>
          <w:i/>
          <w:noProof/>
          <w:sz w:val="24"/>
          <w:szCs w:val="24"/>
        </w:rPr>
      </w:pPr>
      <w:r>
        <w:rPr>
          <w:rFonts w:ascii="Times New Roman" w:hAnsi="Times New Roman"/>
          <w:b/>
          <w:i/>
          <w:noProof/>
          <w:sz w:val="24"/>
        </w:rPr>
        <w:t>Comment l’efficacité sera-t-elle contrôlée et évaluée?</w:t>
      </w:r>
    </w:p>
    <w:p>
      <w:pPr>
        <w:spacing w:after="120" w:line="240" w:lineRule="auto"/>
        <w:jc w:val="both"/>
        <w:rPr>
          <w:rFonts w:ascii="Times New Roman" w:hAnsi="Times New Roman" w:cs="Times New Roman"/>
          <w:noProof/>
          <w:sz w:val="24"/>
          <w:szCs w:val="24"/>
        </w:rPr>
      </w:pPr>
      <w:r>
        <w:rPr>
          <w:rFonts w:ascii="Times New Roman" w:hAnsi="Times New Roman"/>
          <w:noProof/>
          <w:sz w:val="24"/>
        </w:rPr>
        <w:t>L’efficacité continuera d’être mesurée au niveau du programme et des sous-programmes, en appliquant l’actuelle approche fondée sur les projets. Toutefois, des critères d’efficacité supplémentaires ont été définis afin de renforcer le suivi et l’évaluation de l’effet catalyseur du programme LIFE et de sa contribution à la transformation de la société. L’application du programme sera essentiellement à la charge de la Commission, afin d’éviter d’alourdir les obligations actuelles de communication d’informations et de garantir l’établissement de rapports précis et fiables.</w:t>
      </w:r>
    </w:p>
    <w:p>
      <w:pPr>
        <w:spacing w:after="120" w:line="240" w:lineRule="auto"/>
        <w:jc w:val="both"/>
        <w:rPr>
          <w:noProof/>
        </w:rPr>
      </w:pPr>
      <w:r>
        <w:rPr>
          <w:rFonts w:ascii="Times New Roman" w:hAnsi="Times New Roman"/>
          <w:noProof/>
          <w:sz w:val="24"/>
        </w:rPr>
        <w:t>Deux évaluations approfondies seront réalisées, l’une à mi-parcours (d’ici à 2024) et l’autre à la clôture de la période de programmation (d’ici à 2027).</w:t>
      </w:r>
    </w:p>
    <w:sectPr>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7651802"/>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pPr>
      <w:pStyle w:val="FooterCoverPage"/>
      <w:rPr>
        <w:rFonts w:ascii="Arial" w:hAnsi="Arial" w:cs="Arial"/>
        <w:b/>
        <w:sz w:val="4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303186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after="60"/>
      </w:pPr>
      <w:r>
        <w:rPr>
          <w:rStyle w:val="FootnoteReference"/>
        </w:rPr>
        <w:footnoteRef/>
      </w:r>
      <w:r>
        <w:t xml:space="preserve"> </w:t>
      </w:r>
      <w:r>
        <w:tab/>
      </w:r>
      <w:hyperlink r:id="rId1">
        <w:r>
          <w:rPr>
            <w:rStyle w:val="Hyperlink"/>
          </w:rPr>
          <w:t>https://ec.europa.eu/commission/state-union-2017_fr</w:t>
        </w:r>
      </w:hyperlink>
      <w:r>
        <w:t xml:space="preserve"> </w:t>
      </w:r>
    </w:p>
  </w:footnote>
  <w:footnote w:id="2">
    <w:p>
      <w:pPr>
        <w:pStyle w:val="FootnoteText"/>
        <w:spacing w:after="60"/>
      </w:pPr>
      <w:r>
        <w:rPr>
          <w:rStyle w:val="FootnoteReference"/>
        </w:rPr>
        <w:footnoteRef/>
      </w:r>
      <w:r>
        <w:t xml:space="preserve"> </w:t>
      </w:r>
      <w:r>
        <w:tab/>
        <w:t>L’annexe 4 présente une analyse des mesures qu’il reste à prendre dans les divers domaines liés à la protection de l’environnement et au changement climatique pour garantir le respect de la législation de l’Union dans ce domaine, l’accord de Paris et la mise en œuvre de l’union de l’énergie.</w:t>
      </w:r>
    </w:p>
  </w:footnote>
  <w:footnote w:id="3">
    <w:p>
      <w:pPr>
        <w:pStyle w:val="FootnoteText"/>
        <w:spacing w:after="60"/>
        <w:jc w:val="both"/>
        <w:rPr>
          <w:rFonts w:cs="Times New Roman"/>
          <w:szCs w:val="18"/>
          <w:lang w:val="en-US"/>
        </w:rPr>
      </w:pPr>
      <w:r>
        <w:rPr>
          <w:rStyle w:val="FootnoteReference"/>
        </w:rPr>
        <w:footnoteRef/>
      </w:r>
      <w:r>
        <w:rPr>
          <w:lang w:val="en-US"/>
        </w:rPr>
        <w:t xml:space="preserve"> </w:t>
      </w:r>
      <w:r>
        <w:rPr>
          <w:lang w:val="en-US"/>
        </w:rPr>
        <w:tab/>
        <w:t xml:space="preserve">CE (2017) </w:t>
      </w:r>
      <w:hyperlink r:id="rId2">
        <w:r>
          <w:rPr>
            <w:rStyle w:val="Hyperlink"/>
            <w:lang w:val="en-US"/>
          </w:rPr>
          <w:t>Report on the Mid-term Evaluation of the Programme for Environment and Climate.</w:t>
        </w:r>
      </w:hyperlink>
      <w:r>
        <w:rPr>
          <w:lang w:val="en-US"/>
        </w:rPr>
        <w:t xml:space="preserve"> </w:t>
      </w:r>
      <w:hyperlink r:id="rId3">
        <w:r>
          <w:rPr>
            <w:rStyle w:val="Hyperlink"/>
            <w:lang w:val="en-US"/>
          </w:rPr>
          <w:t>SWD(2017) 355 final</w:t>
        </w:r>
      </w:hyperlink>
      <w:r>
        <w:rPr>
          <w:lang w:val="en-US"/>
        </w:rPr>
        <w:t>. Ecorys (2017) Support for an external and independent LIFE Mid Term Evaluation Report</w:t>
      </w:r>
    </w:p>
  </w:footnote>
  <w:footnote w:id="4">
    <w:p>
      <w:pPr>
        <w:pStyle w:val="FootnoteText"/>
        <w:spacing w:after="60"/>
      </w:pPr>
      <w:r>
        <w:rPr>
          <w:rStyle w:val="FootnoteReference"/>
        </w:rPr>
        <w:footnoteRef/>
      </w:r>
      <w:r>
        <w:t xml:space="preserve"> </w:t>
      </w:r>
      <w:r>
        <w:tab/>
        <w:t>D’après l’analyse des principaux indicateurs de performance utilisés pour évaluer l’efficacité des projets.</w:t>
      </w:r>
    </w:p>
  </w:footnote>
  <w:footnote w:id="5">
    <w:p>
      <w:pPr>
        <w:pStyle w:val="FootnoteText"/>
        <w:jc w:val="both"/>
      </w:pPr>
      <w:r>
        <w:rPr>
          <w:rStyle w:val="FootnoteReference"/>
        </w:rPr>
        <w:footnoteRef/>
      </w:r>
      <w:r>
        <w:t xml:space="preserve"> </w:t>
      </w:r>
      <w:r>
        <w:tab/>
        <w:t xml:space="preserve">L’initiative </w:t>
      </w:r>
      <w:hyperlink r:id="rId4">
        <w:r>
          <w:rPr>
            <w:rStyle w:val="Hyperlink"/>
          </w:rPr>
          <w:t>BEST - régime volontaire pour la biodiversité et les services écosystémiques dans les territoires d’outre-mer européens -</w:t>
        </w:r>
      </w:hyperlink>
      <w:r>
        <w:t xml:space="preserve"> vise à soutenir la conservation de la biodiversité et l’utilisation durable des services écosystémiques, notamment les approches écosystémiques de l’adaptation au changement climatique et de l’atténuation de ce phénomène, dans les régions ultrapériphériques (RUP) et les pays et territoires d’outre-mer (PTOM) de l’Union.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E2A45"/>
    <w:multiLevelType w:val="hybridMultilevel"/>
    <w:tmpl w:val="C3901E2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
    <w:nsid w:val="14E24C82"/>
    <w:multiLevelType w:val="multilevel"/>
    <w:tmpl w:val="769A8EEE"/>
    <w:lvl w:ilvl="0">
      <w:start w:val="1"/>
      <w:numFmt w:val="decimal"/>
      <w:pStyle w:val="AppendixH1"/>
      <w:lvlText w:val="%1 "/>
      <w:lvlJc w:val="left"/>
      <w:pPr>
        <w:ind w:left="454" w:hanging="454"/>
      </w:pPr>
      <w:rPr>
        <w:rFonts w:ascii="Times New Roman" w:hAnsi="Times New Roman" w:hint="default"/>
        <w:b/>
        <w:sz w:val="24"/>
      </w:rPr>
    </w:lvl>
    <w:lvl w:ilvl="1">
      <w:start w:val="1"/>
      <w:numFmt w:val="decimal"/>
      <w:pStyle w:val="AppendixH2"/>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pStyle w:val="Heading4"/>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2">
    <w:nsid w:val="14E975EB"/>
    <w:multiLevelType w:val="multilevel"/>
    <w:tmpl w:val="DF88F4FE"/>
    <w:lvl w:ilvl="0">
      <w:start w:val="1"/>
      <w:numFmt w:val="decimal"/>
      <w:lvlText w:val="%1"/>
      <w:lvlJc w:val="left"/>
      <w:pPr>
        <w:ind w:left="431" w:hanging="431"/>
      </w:pPr>
      <w:rPr>
        <w:rFonts w:hint="default"/>
      </w:rPr>
    </w:lvl>
    <w:lvl w:ilvl="1">
      <w:start w:val="1"/>
      <w:numFmt w:val="decimal"/>
      <w:lvlText w:val="%1.%2"/>
      <w:lvlJc w:val="left"/>
      <w:pPr>
        <w:ind w:left="576" w:hanging="576"/>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nsid w:val="1F734306"/>
    <w:multiLevelType w:val="multilevel"/>
    <w:tmpl w:val="A16C4328"/>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960"/>
        </w:tabs>
        <w:ind w:left="960" w:hanging="72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79D748A"/>
    <w:multiLevelType w:val="hybridMultilevel"/>
    <w:tmpl w:val="550886CA"/>
    <w:lvl w:ilvl="0" w:tplc="F6A6F02E">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F265BCD"/>
    <w:multiLevelType w:val="hybridMultilevel"/>
    <w:tmpl w:val="0D6A0E0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6DF4EDB"/>
    <w:multiLevelType w:val="multilevel"/>
    <w:tmpl w:val="23E6A26C"/>
    <w:lvl w:ilvl="0">
      <w:start w:val="1"/>
      <w:numFmt w:val="bullet"/>
      <w:pStyle w:val="list-bullet-color"/>
      <w:lvlText w:val=""/>
      <w:lvlJc w:val="left"/>
      <w:pPr>
        <w:ind w:left="284" w:hanging="284"/>
      </w:pPr>
      <w:rPr>
        <w:rFonts w:ascii="Symbol" w:hAnsi="Symbol" w:hint="default"/>
        <w:color w:val="006DB6"/>
      </w:rPr>
    </w:lvl>
    <w:lvl w:ilvl="1">
      <w:start w:val="1"/>
      <w:numFmt w:val="bullet"/>
      <w:lvlText w:val="-"/>
      <w:lvlJc w:val="left"/>
      <w:pPr>
        <w:ind w:left="852" w:hanging="284"/>
      </w:pPr>
      <w:rPr>
        <w:rFonts w:ascii="Arial" w:hAnsi="Arial" w:hint="default"/>
        <w:color w:val="006DB6"/>
      </w:rPr>
    </w:lvl>
    <w:lvl w:ilvl="2">
      <w:start w:val="1"/>
      <w:numFmt w:val="bullet"/>
      <w:lvlText w:val=""/>
      <w:lvlJc w:val="left"/>
      <w:pPr>
        <w:ind w:left="1136" w:hanging="284"/>
      </w:pPr>
      <w:rPr>
        <w:rFonts w:ascii="Symbol" w:hAnsi="Symbol" w:hint="default"/>
        <w:color w:val="006DB6"/>
      </w:rPr>
    </w:lvl>
    <w:lvl w:ilvl="3">
      <w:start w:val="1"/>
      <w:numFmt w:val="bullet"/>
      <w:lvlText w:val="-"/>
      <w:lvlJc w:val="left"/>
      <w:pPr>
        <w:ind w:left="1420" w:hanging="284"/>
      </w:pPr>
      <w:rPr>
        <w:rFonts w:ascii="Arial" w:hAnsi="Arial" w:hint="default"/>
        <w:color w:val="006DB6"/>
      </w:rPr>
    </w:lvl>
    <w:lvl w:ilvl="4">
      <w:start w:val="1"/>
      <w:numFmt w:val="bullet"/>
      <w:lvlText w:val=""/>
      <w:lvlJc w:val="left"/>
      <w:pPr>
        <w:ind w:left="1704" w:hanging="284"/>
      </w:pPr>
      <w:rPr>
        <w:rFonts w:ascii="Symbol" w:hAnsi="Symbol" w:hint="default"/>
        <w:color w:val="006DB6"/>
      </w:rPr>
    </w:lvl>
    <w:lvl w:ilvl="5">
      <w:start w:val="1"/>
      <w:numFmt w:val="bullet"/>
      <w:lvlText w:val="-"/>
      <w:lvlJc w:val="left"/>
      <w:pPr>
        <w:ind w:left="1988" w:hanging="284"/>
      </w:pPr>
      <w:rPr>
        <w:rFonts w:ascii="Arial" w:hAnsi="Arial" w:hint="default"/>
        <w:color w:val="006DB6"/>
      </w:rPr>
    </w:lvl>
    <w:lvl w:ilvl="6">
      <w:start w:val="1"/>
      <w:numFmt w:val="bullet"/>
      <w:lvlText w:val=""/>
      <w:lvlJc w:val="left"/>
      <w:pPr>
        <w:ind w:left="2272" w:hanging="284"/>
      </w:pPr>
      <w:rPr>
        <w:rFonts w:ascii="Symbol" w:hAnsi="Symbol" w:hint="default"/>
        <w:color w:val="006DB6"/>
      </w:rPr>
    </w:lvl>
    <w:lvl w:ilvl="7">
      <w:start w:val="1"/>
      <w:numFmt w:val="bullet"/>
      <w:lvlText w:val="-"/>
      <w:lvlJc w:val="left"/>
      <w:pPr>
        <w:ind w:left="2556" w:hanging="284"/>
      </w:pPr>
      <w:rPr>
        <w:rFonts w:ascii="Arial" w:hAnsi="Arial" w:hint="default"/>
        <w:color w:val="006DB6"/>
      </w:rPr>
    </w:lvl>
    <w:lvl w:ilvl="8">
      <w:start w:val="1"/>
      <w:numFmt w:val="bullet"/>
      <w:lvlText w:val=""/>
      <w:lvlJc w:val="left"/>
      <w:pPr>
        <w:ind w:left="2840" w:hanging="284"/>
      </w:pPr>
      <w:rPr>
        <w:rFonts w:ascii="Symbol" w:hAnsi="Symbol" w:hint="default"/>
        <w:color w:val="006DB6"/>
      </w:rPr>
    </w:lvl>
  </w:abstractNum>
  <w:num w:numId="1">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2">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3">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4">
    <w:abstractNumId w:val="6"/>
  </w:num>
  <w:num w:numId="5">
    <w:abstractNumId w:val="3"/>
  </w:num>
  <w:num w:numId="6">
    <w:abstractNumId w:val="3"/>
  </w:num>
  <w:num w:numId="7">
    <w:abstractNumId w:val="2"/>
  </w:num>
  <w:num w:numId="8">
    <w:abstractNumId w:val="3"/>
  </w:num>
  <w:num w:numId="9">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0">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1">
    <w:abstractNumId w:val="1"/>
    <w:lvlOverride w:ilvl="0">
      <w:lvl w:ilvl="0">
        <w:start w:val="1"/>
        <w:numFmt w:val="decimal"/>
        <w:pStyle w:val="AppendixH1"/>
        <w:lvlText w:val="%1 "/>
        <w:lvlJc w:val="left"/>
        <w:pPr>
          <w:ind w:left="454" w:hanging="45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AppendixH2"/>
        <w:lvlText w:val="%1.%2"/>
        <w:lvlJc w:val="left"/>
        <w:pPr>
          <w:ind w:left="454" w:hanging="646"/>
        </w:pPr>
        <w:rPr>
          <w:rFonts w:ascii="Times New Roman" w:hAnsi="Times New Roman" w:hint="default"/>
          <w:b/>
          <w:sz w:val="24"/>
        </w:rPr>
      </w:lvl>
    </w:lvlOverride>
    <w:lvlOverride w:ilvl="2">
      <w:lvl w:ilvl="2">
        <w:start w:val="1"/>
        <w:numFmt w:val="decimal"/>
        <w:pStyle w:val="AppendixH3"/>
        <w:lvlText w:val="%1.%2.%3"/>
        <w:lvlJc w:val="left"/>
        <w:pPr>
          <w:ind w:left="454" w:hanging="454"/>
        </w:pPr>
        <w:rPr>
          <w:rFonts w:ascii="Times New Roman" w:hAnsi="Times New Roman" w:hint="default"/>
          <w:i/>
          <w:sz w:val="24"/>
        </w:rPr>
      </w:lvl>
    </w:lvlOverride>
    <w:lvlOverride w:ilvl="3">
      <w:lvl w:ilvl="3">
        <w:start w:val="1"/>
        <w:numFmt w:val="decimal"/>
        <w:pStyle w:val="Heading4"/>
        <w:lvlText w:val="(%4)"/>
        <w:lvlJc w:val="left"/>
        <w:pPr>
          <w:ind w:left="1608" w:hanging="360"/>
        </w:pPr>
        <w:rPr>
          <w:rFonts w:hint="default"/>
        </w:rPr>
      </w:lvl>
    </w:lvlOverride>
    <w:lvlOverride w:ilvl="4">
      <w:lvl w:ilvl="4">
        <w:start w:val="1"/>
        <w:numFmt w:val="lowerLetter"/>
        <w:lvlText w:val="(%5)"/>
        <w:lvlJc w:val="left"/>
        <w:pPr>
          <w:ind w:left="1968" w:hanging="360"/>
        </w:pPr>
        <w:rPr>
          <w:rFonts w:hint="default"/>
        </w:rPr>
      </w:lvl>
    </w:lvlOverride>
    <w:lvlOverride w:ilvl="5">
      <w:lvl w:ilvl="5">
        <w:start w:val="1"/>
        <w:numFmt w:val="lowerRoman"/>
        <w:lvlText w:val="(%6)"/>
        <w:lvlJc w:val="left"/>
        <w:pPr>
          <w:ind w:left="2328" w:hanging="360"/>
        </w:pPr>
        <w:rPr>
          <w:rFonts w:hint="default"/>
        </w:rPr>
      </w:lvl>
    </w:lvlOverride>
    <w:lvlOverride w:ilvl="6">
      <w:lvl w:ilvl="6">
        <w:start w:val="1"/>
        <w:numFmt w:val="decimal"/>
        <w:lvlText w:val="%7."/>
        <w:lvlJc w:val="left"/>
        <w:pPr>
          <w:ind w:left="2688" w:hanging="360"/>
        </w:pPr>
        <w:rPr>
          <w:rFonts w:hint="default"/>
        </w:rPr>
      </w:lvl>
    </w:lvlOverride>
    <w:lvlOverride w:ilvl="7">
      <w:lvl w:ilvl="7">
        <w:start w:val="1"/>
        <w:numFmt w:val="lowerLetter"/>
        <w:lvlText w:val="%8."/>
        <w:lvlJc w:val="left"/>
        <w:pPr>
          <w:ind w:left="3048" w:hanging="360"/>
        </w:pPr>
        <w:rPr>
          <w:rFonts w:hint="default"/>
        </w:rPr>
      </w:lvl>
    </w:lvlOverride>
    <w:lvlOverride w:ilvl="8">
      <w:lvl w:ilvl="8">
        <w:start w:val="1"/>
        <w:numFmt w:val="lowerRoman"/>
        <w:lvlText w:val="%9."/>
        <w:lvlJc w:val="left"/>
        <w:pPr>
          <w:ind w:left="3408" w:hanging="360"/>
        </w:pPr>
        <w:rPr>
          <w:rFonts w:hint="default"/>
        </w:rPr>
      </w:lvl>
    </w:lvlOverride>
  </w:num>
  <w:num w:numId="12">
    <w:abstractNumId w:val="6"/>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8788D461-62F4-4D45-91A8-9873BD90B0CB"/>
    <w:docVar w:name="LW_COVERPAGE_TYPE" w:val="1"/>
    <w:docVar w:name="LW_CROSSREFERENCE" w:val="{COM(2018) 385 final}_x000b_{SEC(2018) 275 final}_x000b_{SWD(2018) 292 final}"/>
    <w:docVar w:name="LW_DocType" w:val="NORMAL"/>
    <w:docVar w:name="LW_EMISSION" w:val="1.6.2018"/>
    <w:docVar w:name="LW_EMISSION_ISODATE" w:val="2018-06-01"/>
    <w:docVar w:name="LW_EMISSION_LOCATION" w:val="BRX"/>
    <w:docVar w:name="LW_EMISSION_PREFIX" w:val="Bruxelles, le "/>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établissant un programme pour l'environnement et l'action pour le climat (LIFE)"/>
    <w:docVar w:name="LW_PART_NBR" w:val="1"/>
    <w:docVar w:name="LW_PART_NBR_TOTAL" w:val="1"/>
    <w:docVar w:name="LW_REF.INST.NEW" w:val="SWD"/>
    <w:docVar w:name="LW_REF.INST.NEW_ADOPTED" w:val="final"/>
    <w:docVar w:name="LW_REF.INST.NEW_TEXT" w:val="(2018) 29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Règlement du Parlement européen et du Conseil"/>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8"/>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1"/>
    <w:qFormat/>
    <w:pPr>
      <w:keepNext/>
      <w:spacing w:before="240"/>
      <w:ind w:left="7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paragraph" w:customStyle="1" w:styleId="AppendixH1">
    <w:name w:val="Appendix H1"/>
    <w:basedOn w:val="Normal"/>
    <w:link w:val="AppendixH1Char"/>
    <w:qFormat/>
    <w:pPr>
      <w:numPr>
        <w:numId w:val="11"/>
      </w:numPr>
    </w:pPr>
    <w:rPr>
      <w:rFonts w:ascii="Times New Roman" w:hAnsi="Times New Roman" w:cs="Times New Roman"/>
      <w:b/>
      <w:sz w:val="24"/>
      <w:szCs w:val="24"/>
    </w:rPr>
  </w:style>
  <w:style w:type="character" w:customStyle="1" w:styleId="AppendixH1Char">
    <w:name w:val="Appendix H1 Char"/>
    <w:basedOn w:val="DefaultParagraphFont"/>
    <w:link w:val="AppendixH1"/>
    <w:rPr>
      <w:rFonts w:ascii="Times New Roman" w:hAnsi="Times New Roman" w:cs="Times New Roman"/>
      <w:b/>
      <w:sz w:val="24"/>
      <w:szCs w:val="24"/>
    </w:rPr>
  </w:style>
  <w:style w:type="paragraph" w:customStyle="1" w:styleId="AppendixH2">
    <w:name w:val="Appendix H2"/>
    <w:basedOn w:val="Normal"/>
    <w:link w:val="AppendixH2Char"/>
    <w:qFormat/>
    <w:pPr>
      <w:numPr>
        <w:ilvl w:val="1"/>
        <w:numId w:val="11"/>
      </w:numPr>
    </w:pPr>
    <w:rPr>
      <w:rFonts w:ascii="Times New Roman" w:hAnsi="Times New Roman" w:cs="Times New Roman"/>
      <w:b/>
      <w:sz w:val="24"/>
      <w:szCs w:val="24"/>
    </w:rPr>
  </w:style>
  <w:style w:type="character" w:customStyle="1" w:styleId="AppendixH2Char">
    <w:name w:val="Appendix H2 Char"/>
    <w:basedOn w:val="DefaultParagraphFont"/>
    <w:link w:val="AppendixH2"/>
    <w:rPr>
      <w:rFonts w:ascii="Times New Roman" w:hAnsi="Times New Roman" w:cs="Times New Roman"/>
      <w:b/>
      <w:sz w:val="24"/>
      <w:szCs w:val="24"/>
    </w:rPr>
  </w:style>
  <w:style w:type="paragraph" w:customStyle="1" w:styleId="AppendixH3">
    <w:name w:val="Appendix H3"/>
    <w:basedOn w:val="Normal"/>
    <w:qFormat/>
    <w:pPr>
      <w:numPr>
        <w:ilvl w:val="2"/>
        <w:numId w:val="11"/>
      </w:numPr>
    </w:pPr>
    <w:rPr>
      <w:rFonts w:ascii="Times New Roman" w:hAnsi="Times New Roman" w:cs="Times New Roman"/>
      <w:i/>
      <w:sz w:val="24"/>
      <w:szCs w:val="24"/>
    </w:rPr>
  </w:style>
  <w:style w:type="paragraph" w:customStyle="1" w:styleId="list-bullet-color">
    <w:name w:val="list-bullet-color"/>
    <w:basedOn w:val="Normal"/>
    <w:qFormat/>
    <w:pPr>
      <w:numPr>
        <w:numId w:val="12"/>
      </w:numPr>
      <w:spacing w:after="0" w:line="280" w:lineRule="atLeast"/>
    </w:pPr>
    <w:rPr>
      <w:rFonts w:ascii="Arial" w:eastAsia="Times New Roman" w:hAnsi="Arial" w:cs="Times New Roman"/>
      <w:sz w:val="18"/>
      <w:szCs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rFonts w:ascii="Times New Roman" w:hAnsi="Times New Roman"/>
      <w:sz w:val="18"/>
      <w:szCs w:val="20"/>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
    <w:basedOn w:val="Normal"/>
    <w:next w:val="Normal"/>
    <w:link w:val="CaptionChar"/>
    <w:autoRedefine/>
    <w:uiPriority w:val="3"/>
    <w:qFormat/>
    <w:pPr>
      <w:keepNext/>
      <w:spacing w:before="120" w:after="0" w:line="240" w:lineRule="auto"/>
      <w:jc w:val="both"/>
    </w:pPr>
    <w:rPr>
      <w:rFonts w:ascii="Times New Roman" w:eastAsia="Times New Roman" w:hAnsi="Times New Roman" w:cs="Times New Roman"/>
      <w:b/>
      <w:i/>
      <w:color w:val="244061" w:themeColor="accent1" w:themeShade="80"/>
      <w:szCs w:val="24"/>
    </w:r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
    <w:rPr>
      <w:rFonts w:ascii="Times New Roman" w:eastAsia="Times New Roman" w:hAnsi="Times New Roman" w:cs="Times New Roman"/>
      <w:b/>
      <w:i/>
      <w:color w:val="244061" w:themeColor="accent1" w:themeShade="80"/>
      <w:szCs w:val="24"/>
      <w:lang w:eastAsia="fr-FR"/>
    </w:rPr>
  </w:style>
  <w:style w:type="paragraph" w:styleId="BodyText">
    <w:name w:val="Body Text"/>
    <w:aliases w:val="Document,Doc,Body Text2,doc,Standard paragraph,BodyText,(Norm),Body Text 12,bt,gl,uvlaka 2,heading3,Body Text - Level 2,1body,BodText,body text,Body Txt,Body Text-10,Body Text Char2,Text Char1,Text body, Car, (Norm),Τίτλος Μελέτης,- TF,b."/>
    <w:basedOn w:val="Normal"/>
    <w:link w:val="BodyTextChar"/>
    <w:qFormat/>
    <w:pPr>
      <w:spacing w:after="120" w:line="240" w:lineRule="auto"/>
      <w:jc w:val="both"/>
    </w:pPr>
    <w:rPr>
      <w:rFonts w:ascii="Georgia" w:eastAsia="Times New Roman" w:hAnsi="Georgia" w:cs="Times New Roman"/>
      <w:sz w:val="20"/>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rPr>
      <w:rFonts w:ascii="Georgia" w:eastAsia="Times New Roman" w:hAnsi="Georgia" w:cs="Times New Roman"/>
      <w:sz w:val="20"/>
      <w:szCs w:val="24"/>
      <w:lang w:val="fr-FR"/>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style>
  <w:style w:type="paragraph" w:styleId="Quote">
    <w:name w:val="Quote"/>
    <w:aliases w:val="Quotation (long)"/>
    <w:basedOn w:val="Normal"/>
    <w:link w:val="QuoteChar"/>
    <w:uiPriority w:val="11"/>
    <w:qFormat/>
    <w:pPr>
      <w:spacing w:after="120" w:line="240" w:lineRule="auto"/>
      <w:ind w:left="1021" w:right="1021"/>
      <w:jc w:val="both"/>
    </w:pPr>
    <w:rPr>
      <w:rFonts w:ascii="Times New Roman" w:eastAsia="SimSun" w:hAnsi="Times New Roman" w:cs="Times New Roman"/>
      <w:i/>
      <w:iCs/>
      <w:color w:val="404040"/>
      <w:szCs w:val="20"/>
    </w:rPr>
  </w:style>
  <w:style w:type="character" w:customStyle="1" w:styleId="QuoteChar">
    <w:name w:val="Quote Char"/>
    <w:aliases w:val="Quotation (long) Char"/>
    <w:basedOn w:val="DefaultParagraphFont"/>
    <w:link w:val="Quote"/>
    <w:uiPriority w:val="11"/>
    <w:rPr>
      <w:rFonts w:ascii="Times New Roman" w:eastAsia="SimSun" w:hAnsi="Times New Roman" w:cs="Times New Roman"/>
      <w:i/>
      <w:iCs/>
      <w:color w:val="404040"/>
      <w:szCs w:val="20"/>
    </w:rPr>
  </w:style>
  <w:style w:type="character" w:styleId="IntenseEmphasis">
    <w:name w:val="Intense Emphasis"/>
    <w:basedOn w:val="DefaultParagraphFont"/>
    <w:uiPriority w:val="21"/>
    <w:qFormat/>
    <w:rPr>
      <w:b/>
      <w:bCs/>
      <w:i/>
      <w:iCs/>
      <w:color w:val="4F81BD" w:themeColor="accent1"/>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Corpo">
    <w:name w:val="Corpo"/>
    <w:pPr>
      <w:spacing w:after="120" w:line="240" w:lineRule="auto"/>
      <w:jc w:val="both"/>
    </w:pPr>
    <w:rPr>
      <w:rFonts w:ascii="Calibri" w:eastAsia="Calibri" w:hAnsi="Calibri" w:cs="Calibri"/>
      <w:color w:val="000000"/>
      <w:u w:color="00000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E,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before="120"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1"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3" w:qFormat="1"/>
    <w:lsdException w:name="footnote reference" w:qFormat="1"/>
    <w:lsdException w:name="annotation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11"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Normal"/>
    <w:link w:val="Heading1Char"/>
    <w:qFormat/>
    <w:pPr>
      <w:keepNext/>
      <w:numPr>
        <w:numId w:val="8"/>
      </w:numPr>
      <w:spacing w:before="240" w:after="240" w:line="240" w:lineRule="auto"/>
      <w:jc w:val="both"/>
      <w:outlineLvl w:val="0"/>
    </w:pPr>
    <w:rPr>
      <w:rFonts w:ascii="Times New Roman" w:eastAsia="Times New Roman" w:hAnsi="Times New Roman" w:cs="Times New Roman"/>
      <w:b/>
      <w:smallCaps/>
      <w:sz w:val="24"/>
      <w:szCs w:val="20"/>
    </w:rPr>
  </w:style>
  <w:style w:type="paragraph" w:styleId="Heading2">
    <w:name w:val="heading 2"/>
    <w:basedOn w:val="Normal"/>
    <w:next w:val="Normal"/>
    <w:link w:val="Heading2Char"/>
    <w:qFormat/>
    <w:pPr>
      <w:keepNext/>
      <w:numPr>
        <w:ilvl w:val="1"/>
        <w:numId w:val="8"/>
      </w:numPr>
      <w:spacing w:after="240" w:line="240" w:lineRule="auto"/>
      <w:jc w:val="both"/>
      <w:outlineLvl w:val="1"/>
    </w:pPr>
    <w:rPr>
      <w:rFonts w:ascii="Times New Roman" w:eastAsia="Times New Roman" w:hAnsi="Times New Roman" w:cs="Times New Roman"/>
      <w:b/>
      <w:sz w:val="24"/>
      <w:szCs w:val="20"/>
    </w:rPr>
  </w:style>
  <w:style w:type="paragraph" w:styleId="Heading3">
    <w:name w:val="heading 3"/>
    <w:basedOn w:val="Normal"/>
    <w:next w:val="Normal"/>
    <w:link w:val="Heading3Char"/>
    <w:uiPriority w:val="1"/>
    <w:qFormat/>
    <w:pPr>
      <w:keepNext/>
      <w:spacing w:before="240"/>
      <w:ind w:left="720" w:hanging="720"/>
      <w:jc w:val="both"/>
      <w:outlineLvl w:val="2"/>
    </w:pPr>
    <w:rPr>
      <w:rFonts w:ascii="Times New Roman" w:eastAsia="Times New Roman" w:hAnsi="Times New Roman" w:cs="Times New Roman"/>
      <w:i/>
      <w:sz w:val="24"/>
      <w:szCs w:val="20"/>
    </w:rPr>
  </w:style>
  <w:style w:type="paragraph" w:styleId="Heading4">
    <w:name w:val="heading 4"/>
    <w:basedOn w:val="Normal"/>
    <w:next w:val="Normal"/>
    <w:link w:val="Heading4Char"/>
    <w:qFormat/>
    <w:pPr>
      <w:keepNext/>
      <w:numPr>
        <w:ilvl w:val="3"/>
        <w:numId w:val="3"/>
      </w:numPr>
      <w:tabs>
        <w:tab w:val="num" w:pos="1920"/>
      </w:tabs>
      <w:spacing w:after="240" w:line="240" w:lineRule="auto"/>
      <w:ind w:left="1920" w:hanging="720"/>
      <w:jc w:val="both"/>
      <w:outlineLvl w:val="3"/>
    </w:pPr>
    <w:rPr>
      <w:rFonts w:ascii="Times New Roman" w:eastAsia="Times New Roman" w:hAnsi="Times New Roman" w:cs="Times New Roman"/>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Title">
    <w:name w:val="Annex Title"/>
    <w:basedOn w:val="Normal"/>
    <w:next w:val="Normal"/>
    <w:link w:val="AnnexTitleChar"/>
    <w:qFormat/>
    <w:pPr>
      <w:keepNext/>
      <w:spacing w:after="480" w:line="240" w:lineRule="auto"/>
      <w:jc w:val="center"/>
    </w:pPr>
    <w:rPr>
      <w:rFonts w:ascii="Times New Roman" w:eastAsia="Times New Roman" w:hAnsi="Times New Roman" w:cs="Times New Roman"/>
      <w:b/>
      <w:sz w:val="32"/>
      <w:szCs w:val="20"/>
    </w:rPr>
  </w:style>
  <w:style w:type="character" w:customStyle="1" w:styleId="AnnexTitleChar">
    <w:name w:val="Annex Title Char"/>
    <w:basedOn w:val="DefaultParagraphFont"/>
    <w:link w:val="AnnexTitle"/>
    <w:rPr>
      <w:rFonts w:ascii="Times New Roman" w:eastAsia="Times New Roman" w:hAnsi="Times New Roman" w:cs="Times New Roman"/>
      <w:b/>
      <w:sz w:val="32"/>
      <w:szCs w:val="20"/>
    </w:rPr>
  </w:style>
  <w:style w:type="paragraph" w:customStyle="1" w:styleId="AppendixH1">
    <w:name w:val="Appendix H1"/>
    <w:basedOn w:val="Normal"/>
    <w:link w:val="AppendixH1Char"/>
    <w:qFormat/>
    <w:pPr>
      <w:numPr>
        <w:numId w:val="11"/>
      </w:numPr>
    </w:pPr>
    <w:rPr>
      <w:rFonts w:ascii="Times New Roman" w:hAnsi="Times New Roman" w:cs="Times New Roman"/>
      <w:b/>
      <w:sz w:val="24"/>
      <w:szCs w:val="24"/>
    </w:rPr>
  </w:style>
  <w:style w:type="character" w:customStyle="1" w:styleId="AppendixH1Char">
    <w:name w:val="Appendix H1 Char"/>
    <w:basedOn w:val="DefaultParagraphFont"/>
    <w:link w:val="AppendixH1"/>
    <w:rPr>
      <w:rFonts w:ascii="Times New Roman" w:hAnsi="Times New Roman" w:cs="Times New Roman"/>
      <w:b/>
      <w:sz w:val="24"/>
      <w:szCs w:val="24"/>
    </w:rPr>
  </w:style>
  <w:style w:type="paragraph" w:customStyle="1" w:styleId="AppendixH2">
    <w:name w:val="Appendix H2"/>
    <w:basedOn w:val="Normal"/>
    <w:link w:val="AppendixH2Char"/>
    <w:qFormat/>
    <w:pPr>
      <w:numPr>
        <w:ilvl w:val="1"/>
        <w:numId w:val="11"/>
      </w:numPr>
    </w:pPr>
    <w:rPr>
      <w:rFonts w:ascii="Times New Roman" w:hAnsi="Times New Roman" w:cs="Times New Roman"/>
      <w:b/>
      <w:sz w:val="24"/>
      <w:szCs w:val="24"/>
    </w:rPr>
  </w:style>
  <w:style w:type="character" w:customStyle="1" w:styleId="AppendixH2Char">
    <w:name w:val="Appendix H2 Char"/>
    <w:basedOn w:val="DefaultParagraphFont"/>
    <w:link w:val="AppendixH2"/>
    <w:rPr>
      <w:rFonts w:ascii="Times New Roman" w:hAnsi="Times New Roman" w:cs="Times New Roman"/>
      <w:b/>
      <w:sz w:val="24"/>
      <w:szCs w:val="24"/>
    </w:rPr>
  </w:style>
  <w:style w:type="paragraph" w:customStyle="1" w:styleId="AppendixH3">
    <w:name w:val="Appendix H3"/>
    <w:basedOn w:val="Normal"/>
    <w:qFormat/>
    <w:pPr>
      <w:numPr>
        <w:ilvl w:val="2"/>
        <w:numId w:val="11"/>
      </w:numPr>
    </w:pPr>
    <w:rPr>
      <w:rFonts w:ascii="Times New Roman" w:hAnsi="Times New Roman" w:cs="Times New Roman"/>
      <w:i/>
      <w:sz w:val="24"/>
      <w:szCs w:val="24"/>
    </w:rPr>
  </w:style>
  <w:style w:type="paragraph" w:customStyle="1" w:styleId="list-bullet-color">
    <w:name w:val="list-bullet-color"/>
    <w:basedOn w:val="Normal"/>
    <w:qFormat/>
    <w:pPr>
      <w:numPr>
        <w:numId w:val="12"/>
      </w:numPr>
      <w:spacing w:after="0" w:line="280" w:lineRule="atLeast"/>
    </w:pPr>
    <w:rPr>
      <w:rFonts w:ascii="Arial" w:eastAsia="Times New Roman" w:hAnsi="Arial" w:cs="Times New Roman"/>
      <w:sz w:val="18"/>
      <w:szCs w:val="24"/>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customStyle="1" w:styleId="Heading2Char">
    <w:name w:val="Heading 2 Char"/>
    <w:basedOn w:val="DefaultParagraphFont"/>
    <w:link w:val="Heading2"/>
    <w:rPr>
      <w:rFonts w:ascii="Times New Roman" w:eastAsia="Times New Roman" w:hAnsi="Times New Roman" w:cs="Times New Roman"/>
      <w:b/>
      <w:sz w:val="24"/>
      <w:szCs w:val="20"/>
    </w:rPr>
  </w:style>
  <w:style w:type="character" w:customStyle="1" w:styleId="Heading3Char">
    <w:name w:val="Heading 3 Char"/>
    <w:basedOn w:val="DefaultParagraphFont"/>
    <w:link w:val="Heading3"/>
    <w:uiPriority w:val="1"/>
    <w:rPr>
      <w:rFonts w:ascii="Times New Roman" w:eastAsia="Times New Roman" w:hAnsi="Times New Roman" w:cs="Times New Roman"/>
      <w:i/>
      <w:sz w:val="24"/>
      <w:szCs w:val="20"/>
    </w:rPr>
  </w:style>
  <w:style w:type="character" w:customStyle="1" w:styleId="Heading4Char">
    <w:name w:val="Heading 4 Char"/>
    <w:basedOn w:val="DefaultParagraphFont"/>
    <w:link w:val="Heading4"/>
    <w:rPr>
      <w:rFonts w:ascii="Times New Roman" w:eastAsia="Times New Roman" w:hAnsi="Times New Roman" w:cs="Times New Roman"/>
      <w:sz w:val="24"/>
      <w:szCs w:val="20"/>
    </w:rPr>
  </w:style>
  <w:style w:type="paragraph" w:styleId="FootnoteText">
    <w:name w:val="footnote text"/>
    <w:aliases w:val="Char,Fußnote,Carattere,fn,Footnotes,Footnote ak,Footnote Text Char Char,fn Char Char,footnote text Char Char,Footnotes Char Char,Footnote ak Char Char,fn Char1,footnote text Char1,Footnotes Char1,ft,Footnote Text_EP-LC,Schriftart: 9 pt,o,f"/>
    <w:basedOn w:val="Normal"/>
    <w:link w:val="FootnoteTextChar"/>
    <w:uiPriority w:val="99"/>
    <w:unhideWhenUsed/>
    <w:qFormat/>
    <w:pPr>
      <w:spacing w:after="0" w:line="240" w:lineRule="auto"/>
      <w:ind w:left="720" w:hanging="720"/>
    </w:pPr>
    <w:rPr>
      <w:rFonts w:ascii="Times New Roman" w:hAnsi="Times New Roman"/>
      <w:sz w:val="18"/>
      <w:szCs w:val="20"/>
    </w:rPr>
  </w:style>
  <w:style w:type="character" w:customStyle="1" w:styleId="FootnoteTextChar">
    <w:name w:val="Footnote Text Char"/>
    <w:aliases w:val="Char Char,Fußnote Char,Carattere Char,fn Char,Footnotes Char,Footnote ak Char,Footnote Text Char Char Char,fn Char Char Char,footnote text Char Char Char,Footnotes Char Char Char,Footnote ak Char Char Char,fn Char1 Char,ft Char,o Char"/>
    <w:basedOn w:val="DefaultParagraphFont"/>
    <w:link w:val="FootnoteText"/>
    <w:uiPriority w:val="99"/>
    <w:qFormat/>
    <w:rPr>
      <w:rFonts w:ascii="Times New Roman" w:hAnsi="Times New Roman"/>
      <w:sz w:val="18"/>
      <w:szCs w:val="20"/>
    </w:rPr>
  </w:style>
  <w:style w:type="paragraph" w:styleId="Caption">
    <w:name w:val="caption"/>
    <w:aliases w:val="Caption1 Char Char Char Char Char Char Char Char Tegn Tegn Tegn Tegn Tegn,Caption1 Char Char Char Char Char Char Char Char Tegn Tegn Tegn,Caption1 Char Char Char Char Char Char Char Char Tegn Tegn, Char Char Char,Tabelko"/>
    <w:basedOn w:val="Normal"/>
    <w:next w:val="Normal"/>
    <w:link w:val="CaptionChar"/>
    <w:autoRedefine/>
    <w:uiPriority w:val="3"/>
    <w:qFormat/>
    <w:pPr>
      <w:keepNext/>
      <w:spacing w:before="120" w:after="0" w:line="240" w:lineRule="auto"/>
      <w:jc w:val="both"/>
    </w:pPr>
    <w:rPr>
      <w:rFonts w:ascii="Times New Roman" w:eastAsia="Times New Roman" w:hAnsi="Times New Roman" w:cs="Times New Roman"/>
      <w:b/>
      <w:i/>
      <w:color w:val="244061" w:themeColor="accent1" w:themeShade="80"/>
      <w:szCs w:val="24"/>
    </w:rPr>
  </w:style>
  <w:style w:type="character" w:customStyle="1" w:styleId="CaptionChar">
    <w:name w:val="Caption Char"/>
    <w:aliases w:val="Caption1 Char Char Char Char Char Char Char Char Tegn Tegn Tegn Tegn Tegn Char,Caption1 Char Char Char Char Char Char Char Char Tegn Tegn Tegn Char,Caption1 Char Char Char Char Char Char Char Char Tegn Tegn Char, Char Char Char Char"/>
    <w:link w:val="Caption"/>
    <w:uiPriority w:val="3"/>
    <w:rPr>
      <w:rFonts w:ascii="Times New Roman" w:eastAsia="Times New Roman" w:hAnsi="Times New Roman" w:cs="Times New Roman"/>
      <w:b/>
      <w:i/>
      <w:color w:val="244061" w:themeColor="accent1" w:themeShade="80"/>
      <w:szCs w:val="24"/>
      <w:lang w:eastAsia="fr-FR"/>
    </w:rPr>
  </w:style>
  <w:style w:type="paragraph" w:styleId="BodyText">
    <w:name w:val="Body Text"/>
    <w:aliases w:val="Document,Doc,Body Text2,doc,Standard paragraph,BodyText,(Norm),Body Text 12,bt,gl,uvlaka 2,heading3,Body Text - Level 2,1body,BodText,body text,Body Txt,Body Text-10,Body Text Char2,Text Char1,Text body, Car, (Norm),Τίτλος Μελέτης,- TF,b."/>
    <w:basedOn w:val="Normal"/>
    <w:link w:val="BodyTextChar"/>
    <w:qFormat/>
    <w:pPr>
      <w:spacing w:after="120" w:line="240" w:lineRule="auto"/>
      <w:jc w:val="both"/>
    </w:pPr>
    <w:rPr>
      <w:rFonts w:ascii="Georgia" w:eastAsia="Times New Roman" w:hAnsi="Georgia" w:cs="Times New Roman"/>
      <w:sz w:val="20"/>
      <w:szCs w:val="24"/>
    </w:rPr>
  </w:style>
  <w:style w:type="character" w:customStyle="1" w:styleId="BodyTextChar">
    <w:name w:val="Body Text Char"/>
    <w:aliases w:val="Document Char,Doc Char,Body Text2 Char,doc Char,Standard paragraph Char,BodyText Char,(Norm) Char,Body Text 12 Char,bt Char,gl Char,uvlaka 2 Char,heading3 Char,Body Text - Level 2 Char,1body Char,BodText Char,body text Char,Body Txt Char"/>
    <w:basedOn w:val="DefaultParagraphFont"/>
    <w:link w:val="BodyText"/>
    <w:rPr>
      <w:rFonts w:ascii="Georgia" w:eastAsia="Times New Roman" w:hAnsi="Georgia" w:cs="Times New Roman"/>
      <w:sz w:val="20"/>
      <w:szCs w:val="24"/>
      <w:lang w:val="fr-FR"/>
    </w:rPr>
  </w:style>
  <w:style w:type="paragraph" w:styleId="ListParagraph">
    <w:name w:val="List Paragraph"/>
    <w:aliases w:val="Fiche List Paragraph,Task Body,Viñetas (Inicio Parrafo),3 Txt tabla,Zerrenda-paragrafoa,Lista multicolor - Énfasis 11,Paragrafo elenco,Dot pt,No Spacing1,List Paragraph Char Char Char,Indicator Text,Bullet 1,Numbered Para 1,Bullet Points"/>
    <w:basedOn w:val="Normal"/>
    <w:link w:val="ListParagraphChar"/>
    <w:uiPriority w:val="34"/>
    <w:qFormat/>
    <w:pPr>
      <w:ind w:left="720"/>
      <w:contextualSpacing/>
    </w:pPr>
  </w:style>
  <w:style w:type="character" w:customStyle="1" w:styleId="ListParagraphChar">
    <w:name w:val="List Paragraph Char"/>
    <w:aliases w:val="Fiche List Paragraph Char,Task Body Char,Viñetas (Inicio Parrafo) Char,3 Txt tabla Char,Zerrenda-paragrafoa Char,Lista multicolor - Énfasis 11 Char,Paragrafo elenco Char,Dot pt Char,No Spacing1 Char,List Paragraph Char Char Char Char"/>
    <w:basedOn w:val="DefaultParagraphFont"/>
    <w:link w:val="ListParagraph"/>
    <w:uiPriority w:val="34"/>
    <w:qFormat/>
  </w:style>
  <w:style w:type="paragraph" w:styleId="Quote">
    <w:name w:val="Quote"/>
    <w:aliases w:val="Quotation (long)"/>
    <w:basedOn w:val="Normal"/>
    <w:link w:val="QuoteChar"/>
    <w:uiPriority w:val="11"/>
    <w:qFormat/>
    <w:pPr>
      <w:spacing w:after="120" w:line="240" w:lineRule="auto"/>
      <w:ind w:left="1021" w:right="1021"/>
      <w:jc w:val="both"/>
    </w:pPr>
    <w:rPr>
      <w:rFonts w:ascii="Times New Roman" w:eastAsia="SimSun" w:hAnsi="Times New Roman" w:cs="Times New Roman"/>
      <w:i/>
      <w:iCs/>
      <w:color w:val="404040"/>
      <w:szCs w:val="20"/>
    </w:rPr>
  </w:style>
  <w:style w:type="character" w:customStyle="1" w:styleId="QuoteChar">
    <w:name w:val="Quote Char"/>
    <w:aliases w:val="Quotation (long) Char"/>
    <w:basedOn w:val="DefaultParagraphFont"/>
    <w:link w:val="Quote"/>
    <w:uiPriority w:val="11"/>
    <w:rPr>
      <w:rFonts w:ascii="Times New Roman" w:eastAsia="SimSun" w:hAnsi="Times New Roman" w:cs="Times New Roman"/>
      <w:i/>
      <w:iCs/>
      <w:color w:val="404040"/>
      <w:szCs w:val="20"/>
    </w:rPr>
  </w:style>
  <w:style w:type="character" w:styleId="IntenseEmphasis">
    <w:name w:val="Intense Emphasis"/>
    <w:basedOn w:val="DefaultParagraphFont"/>
    <w:uiPriority w:val="21"/>
    <w:qFormat/>
    <w:rPr>
      <w:b/>
      <w:bCs/>
      <w:i/>
      <w:iCs/>
      <w:color w:val="4F81BD" w:themeColor="accent1"/>
    </w:rPr>
  </w:style>
  <w:style w:type="paragraph" w:styleId="TOCHeading">
    <w:name w:val="TOC Heading"/>
    <w:basedOn w:val="Normal"/>
    <w:next w:val="Normal"/>
    <w:qFormat/>
    <w:pPr>
      <w:keepNext/>
      <w:spacing w:before="240" w:after="240" w:line="240" w:lineRule="auto"/>
      <w:jc w:val="center"/>
    </w:pPr>
    <w:rPr>
      <w:rFonts w:ascii="Times New Roman" w:eastAsia="Times New Roman" w:hAnsi="Times New Roman" w:cs="Times New Roman"/>
      <w:b/>
      <w:sz w:val="24"/>
      <w:szCs w:val="20"/>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Corpo">
    <w:name w:val="Corpo"/>
    <w:pPr>
      <w:spacing w:after="120" w:line="240" w:lineRule="auto"/>
      <w:jc w:val="both"/>
    </w:pPr>
    <w:rPr>
      <w:rFonts w:ascii="Calibri" w:eastAsia="Calibri" w:hAnsi="Calibri" w:cs="Calibri"/>
      <w:color w:val="000000"/>
      <w:u w:color="000000"/>
    </w:rPr>
  </w:style>
  <w:style w:type="character" w:styleId="Hyperlink">
    <w:name w:val="Hyperlink"/>
    <w:basedOn w:val="DefaultParagraphFont"/>
    <w:uiPriority w:val="99"/>
    <w:unhideWhenUsed/>
    <w:rPr>
      <w:color w:val="0000FF" w:themeColor="hyperlink"/>
      <w:u w:val="single"/>
    </w:rPr>
  </w:style>
  <w:style w:type="character" w:styleId="FootnoteReference">
    <w:name w:val="footnote reference"/>
    <w:aliases w:val="Footnote Reference Superscript,BVI fnr,Footnote symbol,Footnote reference number,note TESI,Appel note de bas de p,Nota,SUPERS,Footnote number,EN Footnote Reference,-E Fußnotenzeichen,number Char Char,number,Ref,styl,styli,fr,E,R"/>
    <w:basedOn w:val="DefaultParagraphFont"/>
    <w:link w:val="CharCharChar1"/>
    <w:uiPriority w:val="99"/>
    <w:unhideWhenUsed/>
    <w:qFormat/>
    <w:rPr>
      <w:vertAlign w:val="superscript"/>
    </w:rPr>
  </w:style>
  <w:style w:type="paragraph" w:customStyle="1" w:styleId="CharCharChar1">
    <w:name w:val="Char Char Char1"/>
    <w:basedOn w:val="Normal"/>
    <w:link w:val="FootnoteReference"/>
    <w:uiPriority w:val="99"/>
    <w:pPr>
      <w:spacing w:before="120" w:after="160" w:line="240" w:lineRule="exact"/>
      <w:jc w:val="both"/>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EN/TXT/PDF/?uri=CELEX:52017SC0355&amp;from=EN" TargetMode="External"/><Relationship Id="rId2" Type="http://schemas.openxmlformats.org/officeDocument/2006/relationships/hyperlink" Target="http://eur-lex.europa.eu/legal-content/EN/TXT/PDF/?uri=CELEX:52017SC0355&amp;from=EN" TargetMode="External"/><Relationship Id="rId1" Type="http://schemas.openxmlformats.org/officeDocument/2006/relationships/hyperlink" Target="https://ec.europa.eu/commission/state-union-2017_fr" TargetMode="External"/><Relationship Id="rId4" Type="http://schemas.openxmlformats.org/officeDocument/2006/relationships/hyperlink" Target="http://ec.europa.eu/environment/nature/biodiversity/best/index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1058</Words>
  <Characters>5999</Characters>
  <Application>Microsoft Office Word</Application>
  <DocSecurity>0</DocSecurity>
  <Lines>92</Lines>
  <Paragraphs>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2018-05-22T09:41:00Z</cp:lastPrinted>
  <dcterms:created xsi:type="dcterms:W3CDTF">2018-05-23T10:00:00Z</dcterms:created>
  <dcterms:modified xsi:type="dcterms:W3CDTF">2018-06-01T07:35:00Z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